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198755</wp:posOffset>
            </wp:positionH>
            <wp:positionV relativeFrom="page">
              <wp:posOffset>845820</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779780</wp:posOffset>
            </wp:positionV>
            <wp:extent cx="7152005" cy="29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292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280670</wp:posOffset>
            </wp:positionV>
            <wp:extent cx="141859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8590" cy="14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156845</wp:posOffset>
            </wp:positionV>
            <wp:extent cx="141859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8590" cy="14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REPORT OF FOREIGN PRIVATE ISSUER PURSUANT TO RULE 13a-16 OR 15d-16</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173355</wp:posOffset>
            </wp:positionV>
            <wp:extent cx="141859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8590" cy="1460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001-38976</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Genmab A/S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color w:val="333333"/>
        </w:rPr>
        <w:t>(Exact name of Registrant as specified in its charter)</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Carl Jacobsens Vej 30</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2500 Valby</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Denmark</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+45 70 20 27 28</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2861945</wp:posOffset>
            </wp:positionH>
            <wp:positionV relativeFrom="paragraph">
              <wp:posOffset>158750</wp:posOffset>
            </wp:positionV>
            <wp:extent cx="141859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8590" cy="1460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5"/>
          <w:szCs w:val="15"/>
          <w:color w:val="auto"/>
        </w:rPr>
        <w:t>Form 20-F Form 40-F</w:t>
      </w:r>
    </w:p>
    <w:p>
      <w:pPr>
        <w:spacing w:after="0" w:line="198"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5"/>
          <w:szCs w:val="15"/>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167640</wp:posOffset>
            </wp:positionV>
            <wp:extent cx="7152005" cy="29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005" cy="292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131445</wp:posOffset>
            </wp:positionV>
            <wp:extent cx="71520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tcPr>
          <w:p>
            <w:pPr>
              <w:ind w:left="560"/>
              <w:spacing w:after="0"/>
              <w:rPr>
                <w:sz w:val="20"/>
                <w:szCs w:val="20"/>
                <w:color w:val="auto"/>
              </w:rPr>
            </w:pPr>
            <w:r>
              <w:rPr>
                <w:rFonts w:ascii="Arial" w:cs="Arial" w:eastAsia="Arial" w:hAnsi="Arial"/>
                <w:sz w:val="15"/>
                <w:szCs w:val="15"/>
                <w:b w:val="1"/>
                <w:bCs w:val="1"/>
                <w:color w:val="auto"/>
              </w:rPr>
              <w:t>EXHIBIT INDEX</w:t>
            </w:r>
          </w:p>
        </w:tc>
      </w:tr>
      <w:tr>
        <w:trPr>
          <w:trHeight w:val="592"/>
        </w:trPr>
        <w:tc>
          <w:tcPr>
            <w:tcW w:w="1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Exhibit</w:t>
            </w:r>
          </w:p>
        </w:tc>
        <w:tc>
          <w:tcPr>
            <w:tcW w:w="50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Description of Exhibit</w:t>
            </w:r>
          </w:p>
        </w:tc>
      </w:tr>
      <w:tr>
        <w:trPr>
          <w:trHeight w:val="20"/>
        </w:trPr>
        <w:tc>
          <w:tcPr>
            <w:tcW w:w="4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62"/>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99.1</w:t>
            </w:r>
          </w:p>
        </w:tc>
        <w:tc>
          <w:tcPr>
            <w:tcW w:w="1080" w:type="dxa"/>
            <w:vAlign w:val="bottom"/>
          </w:tcPr>
          <w:p>
            <w:pPr>
              <w:spacing w:after="0"/>
              <w:rPr>
                <w:sz w:val="24"/>
                <w:szCs w:val="24"/>
                <w:color w:val="auto"/>
              </w:rPr>
            </w:pPr>
          </w:p>
        </w:tc>
        <w:tc>
          <w:tcPr>
            <w:tcW w:w="50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Company Announcement Dated June 15, 2026: Major Shareholder Announcement</w:t>
            </w:r>
          </w:p>
        </w:tc>
      </w:tr>
      <w:tr>
        <w:trPr>
          <w:trHeight w:val="177"/>
        </w:trPr>
        <w:tc>
          <w:tcPr>
            <w:tcW w:w="440" w:type="dxa"/>
            <w:vAlign w:val="bottom"/>
          </w:tcPr>
          <w:p>
            <w:pPr>
              <w:spacing w:after="0"/>
              <w:rPr>
                <w:sz w:val="20"/>
                <w:szCs w:val="20"/>
                <w:color w:val="auto"/>
              </w:rPr>
            </w:pPr>
            <w:r>
              <w:rPr>
                <w:rFonts w:ascii="Times New Roman" w:cs="Times New Roman" w:eastAsia="Times New Roman" w:hAnsi="Times New Roman"/>
                <w:sz w:val="15"/>
                <w:szCs w:val="15"/>
                <w:color w:val="auto"/>
              </w:rPr>
              <w:t>99.2</w:t>
            </w:r>
          </w:p>
        </w:tc>
        <w:tc>
          <w:tcPr>
            <w:tcW w:w="1080" w:type="dxa"/>
            <w:vAlign w:val="bottom"/>
          </w:tcPr>
          <w:p>
            <w:pPr>
              <w:spacing w:after="0"/>
              <w:rPr>
                <w:sz w:val="15"/>
                <w:szCs w:val="15"/>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Orbis Shareholder Notification</w:t>
            </w:r>
          </w:p>
        </w:tc>
        <w:tc>
          <w:tcPr>
            <w:tcW w:w="2140" w:type="dxa"/>
            <w:vAlign w:val="bottom"/>
            <w:tcBorders>
              <w:top w:val="single" w:sz="8" w:color="auto"/>
            </w:tcBorders>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ectPr>
          <w:pgSz w:w="11900" w:h="16838" w:orient="portrait"/>
          <w:cols w:equalWidth="0" w:num="1">
            <w:col w:w="10079"/>
          </w:cols>
          <w:pgMar w:left="380" w:top="1303" w:right="1440" w:bottom="1440" w:gutter="0" w:footer="0" w:header="0"/>
        </w:sectPr>
      </w:pPr>
    </w:p>
    <w:bookmarkStart w:id="2" w:name="page3"/>
    <w:bookmarkEnd w:id="2"/>
    <w:p>
      <w:pPr>
        <w:jc w:val="center"/>
        <w:ind w:right="-459"/>
        <w:spacing w:after="0"/>
        <w:rPr>
          <w:sz w:val="20"/>
          <w:szCs w:val="20"/>
          <w:color w:val="auto"/>
        </w:rPr>
      </w:pPr>
      <w:r>
        <w:rPr>
          <w:rFonts w:ascii="Arial" w:cs="Arial" w:eastAsia="Arial" w:hAnsi="Arial"/>
          <w:sz w:val="15"/>
          <w:szCs w:val="15"/>
          <w:color w:val="auto"/>
        </w:rPr>
        <w:t>SIGNATURE</w:t>
      </w:r>
    </w:p>
    <w:p>
      <w:pPr>
        <w:spacing w:after="0" w:line="27" w:lineRule="exact"/>
        <w:rPr>
          <w:sz w:val="20"/>
          <w:szCs w:val="20"/>
          <w:color w:val="auto"/>
        </w:rPr>
      </w:pPr>
    </w:p>
    <w:p>
      <w:pPr>
        <w:ind w:right="440" w:firstLine="556"/>
        <w:spacing w:after="0" w:line="278"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GENMAB A/S</w:t>
      </w:r>
    </w:p>
    <w:p>
      <w:pPr>
        <w:spacing w:after="0" w:line="210" w:lineRule="exact"/>
        <w:rPr>
          <w:sz w:val="20"/>
          <w:szCs w:val="20"/>
          <w:color w:val="auto"/>
        </w:rPr>
      </w:pPr>
    </w:p>
    <w:tbl>
      <w:tblPr>
        <w:tblLayout w:type="fixed"/>
        <w:tblInd w:w="4920" w:type="dxa"/>
        <w:tblCellMar>
          <w:top w:w="0" w:type="dxa"/>
          <w:left w:w="0" w:type="dxa"/>
          <w:bottom w:w="0" w:type="dxa"/>
          <w:right w:w="0" w:type="dxa"/>
        </w:tblCellMar>
      </w:tblPr>
      <w:tr>
        <w:trPr>
          <w:trHeight w:val="200"/>
        </w:trPr>
        <w:tc>
          <w:tcPr>
            <w:tcW w:w="740" w:type="dxa"/>
            <w:vAlign w:val="bottom"/>
          </w:tcPr>
          <w:p>
            <w:pPr>
              <w:spacing w:after="0"/>
              <w:rPr>
                <w:sz w:val="20"/>
                <w:szCs w:val="20"/>
                <w:color w:val="auto"/>
              </w:rPr>
            </w:pPr>
            <w:r>
              <w:rPr>
                <w:rFonts w:ascii="Arial" w:cs="Arial" w:eastAsia="Arial" w:hAnsi="Arial"/>
                <w:sz w:val="15"/>
                <w:szCs w:val="15"/>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Anthony Pagano</w:t>
            </w:r>
          </w:p>
        </w:tc>
      </w:tr>
      <w:tr>
        <w:trPr>
          <w:trHeight w:val="185"/>
        </w:trPr>
        <w:tc>
          <w:tcPr>
            <w:tcW w:w="74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5"/>
                <w:szCs w:val="15"/>
                <w:color w:val="auto"/>
              </w:rPr>
              <w:t>Name: Anthony Pagano</w:t>
            </w:r>
          </w:p>
        </w:tc>
      </w:tr>
      <w:tr>
        <w:trPr>
          <w:trHeight w:val="202"/>
        </w:trPr>
        <w:tc>
          <w:tcPr>
            <w:tcW w:w="74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Arial" w:cs="Arial" w:eastAsia="Arial" w:hAnsi="Arial"/>
                <w:sz w:val="15"/>
                <w:szCs w:val="15"/>
                <w:color w:val="auto"/>
              </w:rPr>
              <w:t>Title: Executive Vice President &amp; Chief Financial Officer</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 JUNE 15, 2026</w:t>
      </w:r>
    </w:p>
    <w:p>
      <w:pPr>
        <w:sectPr>
          <w:pgSz w:w="11900" w:h="16838" w:orient="portrait"/>
          <w:cols w:equalWidth="0" w:num="1">
            <w:col w:w="10780"/>
          </w:cols>
          <w:pgMar w:left="320" w:top="1097"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3876040</wp:posOffset>
            </wp:positionH>
            <wp:positionV relativeFrom="paragraph">
              <wp:posOffset>143510</wp:posOffset>
            </wp:positionV>
            <wp:extent cx="1124585" cy="3232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4585" cy="32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Major Shareholder Announcement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Company Announcement</w:t>
      </w:r>
    </w:p>
    <w:p>
      <w:pPr>
        <w:spacing w:after="0" w:line="217" w:lineRule="exact"/>
        <w:rPr>
          <w:sz w:val="20"/>
          <w:szCs w:val="20"/>
          <w:color w:val="auto"/>
        </w:rPr>
      </w:pPr>
    </w:p>
    <w:p>
      <w:pPr>
        <w:ind w:left="540" w:hanging="270"/>
        <w:spacing w:after="0"/>
        <w:tabs>
          <w:tab w:leader="none" w:pos="54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Major shareholder announcement for Genmab A/S</w:t>
      </w:r>
    </w:p>
    <w:p>
      <w:pPr>
        <w:spacing w:after="0" w:line="220"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b w:val="1"/>
          <w:bCs w:val="1"/>
          <w:color w:val="auto"/>
        </w:rPr>
        <w:t>COPENHAGEN, Denmark; June 15, 2026 – Genmab A/S (Nasdaq: GMAB) announces under reference to Section 30 of the Danish Capital Markets Act that Orbis Investment Management Limited has informed us that through shares, as of June 12, 2026, Orbis Investment Management Limited controlled the voting rights to 3,112,476 shares in Genmab A/S, which amounts to 4.99% of the share capital and voting rights in Genmab A/S.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The major shareholder announcement of Orbis Investment Management Limited is attached to this announcement.</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Genmab</w:t>
      </w:r>
    </w:p>
    <w:p>
      <w:pPr>
        <w:spacing w:after="0" w:line="29" w:lineRule="exact"/>
        <w:rPr>
          <w:sz w:val="20"/>
          <w:szCs w:val="20"/>
          <w:color w:val="auto"/>
        </w:rPr>
      </w:pPr>
    </w:p>
    <w:p>
      <w:pPr>
        <w:ind w:right="240"/>
        <w:spacing w:after="0" w:line="262" w:lineRule="auto"/>
        <w:rPr>
          <w:sz w:val="20"/>
          <w:szCs w:val="20"/>
          <w:color w:val="auto"/>
        </w:rPr>
      </w:pPr>
      <w:r>
        <w:rPr>
          <w:rFonts w:ascii="Arial" w:cs="Arial" w:eastAsia="Arial" w:hAnsi="Arial"/>
          <w:sz w:val="15"/>
          <w:szCs w:val="15"/>
          <w:color w:val="auto"/>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spacing w:after="0" w:line="156" w:lineRule="exact"/>
        <w:rPr>
          <w:sz w:val="20"/>
          <w:szCs w:val="20"/>
          <w:color w:val="auto"/>
        </w:rPr>
      </w:pPr>
    </w:p>
    <w:p>
      <w:pPr>
        <w:ind w:right="360"/>
        <w:spacing w:after="0" w:line="267" w:lineRule="auto"/>
        <w:rPr>
          <w:sz w:val="20"/>
          <w:szCs w:val="20"/>
          <w:color w:val="auto"/>
        </w:rPr>
      </w:pPr>
      <w:r>
        <w:rPr>
          <w:rFonts w:ascii="Arial" w:cs="Arial" w:eastAsia="Arial" w:hAnsi="Arial"/>
          <w:sz w:val="15"/>
          <w:szCs w:val="15"/>
          <w:color w:val="auto"/>
        </w:rPr>
        <w:t xml:space="preserve">Established in 1999, Genmab is headquartered in Copenhagen, Denmark, with international presence across North America, Europe and Asia Pacific. For more information, please visit </w:t>
      </w:r>
      <w:r>
        <w:rPr>
          <w:rFonts w:ascii="Arial" w:cs="Arial" w:eastAsia="Arial" w:hAnsi="Arial"/>
          <w:sz w:val="15"/>
          <w:szCs w:val="15"/>
          <w:u w:val="single" w:color="auto"/>
          <w:color w:val="0000FF"/>
        </w:rPr>
        <w:t>Genmab.com</w:t>
      </w:r>
      <w:r>
        <w:rPr>
          <w:rFonts w:ascii="Arial" w:cs="Arial" w:eastAsia="Arial" w:hAnsi="Arial"/>
          <w:sz w:val="15"/>
          <w:szCs w:val="15"/>
          <w:color w:val="auto"/>
        </w:rPr>
        <w:t xml:space="preserve"> and follow us on </w:t>
      </w:r>
      <w:r>
        <w:rPr>
          <w:rFonts w:ascii="Arial" w:cs="Arial" w:eastAsia="Arial" w:hAnsi="Arial"/>
          <w:sz w:val="15"/>
          <w:szCs w:val="15"/>
          <w:u w:val="single" w:color="auto"/>
          <w:color w:val="0000FF"/>
        </w:rPr>
        <w:t>LinkedIn</w:t>
      </w:r>
      <w:r>
        <w:rPr>
          <w:rFonts w:ascii="Arial" w:cs="Arial" w:eastAsia="Arial" w:hAnsi="Arial"/>
          <w:sz w:val="15"/>
          <w:szCs w:val="15"/>
          <w:color w:val="auto"/>
        </w:rPr>
        <w:t xml:space="preserve"> and </w:t>
      </w:r>
      <w:r>
        <w:rPr>
          <w:rFonts w:ascii="Arial" w:cs="Arial" w:eastAsia="Arial" w:hAnsi="Arial"/>
          <w:sz w:val="15"/>
          <w:szCs w:val="15"/>
          <w:u w:val="single" w:color="auto"/>
          <w:color w:val="0000FF"/>
        </w:rPr>
        <w:t>X</w:t>
      </w:r>
      <w:r>
        <w:rPr>
          <w:rFonts w:ascii="Arial" w:cs="Arial" w:eastAsia="Arial" w:hAnsi="Arial"/>
          <w:sz w:val="15"/>
          <w:szCs w:val="15"/>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Marisol Peron, Senior Vice President, Global Communications &amp; Corporate Affairs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 +1 609 524 0065; E: </w:t>
      </w:r>
      <w:r>
        <w:rPr>
          <w:rFonts w:ascii="Arial" w:cs="Arial" w:eastAsia="Arial" w:hAnsi="Arial"/>
          <w:sz w:val="15"/>
          <w:szCs w:val="15"/>
          <w:u w:val="single" w:color="auto"/>
          <w:color w:val="0000FF"/>
        </w:rPr>
        <w:t>mmp@genmab.com</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Andrew Carlsen, Vice President, Head of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 +45 3377 9558; E: </w:t>
      </w:r>
      <w:r>
        <w:rPr>
          <w:rFonts w:ascii="Arial" w:cs="Arial" w:eastAsia="Arial" w:hAnsi="Arial"/>
          <w:sz w:val="15"/>
          <w:szCs w:val="15"/>
          <w:u w:val="single" w:color="auto"/>
          <w:color w:val="0000FF"/>
        </w:rPr>
        <w:t>acn@genmab.com</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i w:val="1"/>
          <w:iCs w:val="1"/>
          <w:color w:val="auto"/>
        </w:rPr>
        <w:t xml:space="preserve">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 w:cs="Arial" w:eastAsia="Arial" w:hAnsi="Arial"/>
          <w:sz w:val="12"/>
          <w:szCs w:val="12"/>
          <w:i w:val="1"/>
          <w:iCs w:val="1"/>
          <w:u w:val="single" w:color="auto"/>
          <w:color w:val="0000FF"/>
        </w:rPr>
        <w:t>www.genmab.com</w:t>
      </w:r>
      <w:r>
        <w:rPr>
          <w:rFonts w:ascii="Arial" w:cs="Arial" w:eastAsia="Arial" w:hAnsi="Arial"/>
          <w:sz w:val="12"/>
          <w:szCs w:val="12"/>
          <w:i w:val="1"/>
          <w:iCs w:val="1"/>
          <w:color w:val="auto"/>
        </w:rPr>
        <w:t xml:space="preserve"> and the risk factors included in Genmab’s most recent Annual Report on Form 20-F and other filings with the U.S. Securities and Exchange Commission (SEC), which are available at </w:t>
      </w:r>
      <w:r>
        <w:rPr>
          <w:rFonts w:ascii="Arial" w:cs="Arial" w:eastAsia="Arial" w:hAnsi="Arial"/>
          <w:sz w:val="12"/>
          <w:szCs w:val="12"/>
          <w:i w:val="1"/>
          <w:iCs w:val="1"/>
          <w:u w:val="single" w:color="auto"/>
          <w:color w:val="0000FF"/>
        </w:rPr>
        <w:t>www.sec.gov</w:t>
      </w:r>
      <w:r>
        <w:rPr>
          <w:rFonts w:ascii="Arial" w:cs="Arial" w:eastAsia="Arial" w:hAnsi="Arial"/>
          <w:sz w:val="12"/>
          <w:szCs w:val="12"/>
          <w:i w:val="1"/>
          <w:iCs w:val="1"/>
          <w:color w:val="auto"/>
        </w:rPr>
        <w:t>. Genmab does not undertake any obligation to update or revise forward looking statements in the Company Announcement nor to confirm such statements to reflect subsequent events or circumstances after the date made or in relation to actual results, unless required by law.</w:t>
      </w:r>
    </w:p>
    <w:p>
      <w:pPr>
        <w:spacing w:after="0" w:line="116" w:lineRule="exact"/>
        <w:rPr>
          <w:sz w:val="20"/>
          <w:szCs w:val="20"/>
          <w:color w:val="auto"/>
        </w:rPr>
      </w:pPr>
    </w:p>
    <w:p>
      <w:pPr>
        <w:ind w:right="380"/>
        <w:spacing w:after="0" w:line="223" w:lineRule="auto"/>
        <w:rPr>
          <w:sz w:val="20"/>
          <w:szCs w:val="20"/>
          <w:color w:val="auto"/>
        </w:rPr>
      </w:pPr>
      <w:r>
        <w:rPr>
          <w:rFonts w:ascii="Arial" w:cs="Arial" w:eastAsia="Arial" w:hAnsi="Arial"/>
          <w:sz w:val="12"/>
          <w:szCs w:val="12"/>
          <w:i w:val="1"/>
          <w:iCs w:val="1"/>
          <w:color w:val="auto"/>
        </w:rPr>
        <w:t>Genmab A/S and/or its subsidiaries own the following trademarks: Genmab</w:t>
      </w:r>
      <w:r>
        <w:rPr>
          <w:rFonts w:ascii="Arial" w:cs="Arial" w:eastAsia="Arial" w:hAnsi="Arial"/>
          <w:sz w:val="16"/>
          <w:szCs w:val="16"/>
          <w:i w:val="1"/>
          <w:iCs w:val="1"/>
          <w:color w:val="auto"/>
          <w:vertAlign w:val="superscript"/>
        </w:rPr>
        <w:t>®</w:t>
      </w:r>
      <w:r>
        <w:rPr>
          <w:rFonts w:ascii="Arial" w:cs="Arial" w:eastAsia="Arial" w:hAnsi="Arial"/>
          <w:sz w:val="12"/>
          <w:szCs w:val="12"/>
          <w:i w:val="1"/>
          <w:iCs w:val="1"/>
          <w:color w:val="auto"/>
        </w:rPr>
        <w:t>; the Y-shaped Genmab logo</w:t>
      </w:r>
      <w:r>
        <w:rPr>
          <w:rFonts w:ascii="Arial" w:cs="Arial" w:eastAsia="Arial" w:hAnsi="Arial"/>
          <w:sz w:val="16"/>
          <w:szCs w:val="16"/>
          <w:i w:val="1"/>
          <w:iCs w:val="1"/>
          <w:color w:val="auto"/>
          <w:vertAlign w:val="superscript"/>
        </w:rPr>
        <w:t>®</w:t>
      </w:r>
      <w:r>
        <w:rPr>
          <w:rFonts w:ascii="Arial" w:cs="Arial" w:eastAsia="Arial" w:hAnsi="Arial"/>
          <w:sz w:val="12"/>
          <w:szCs w:val="12"/>
          <w:i w:val="1"/>
          <w:iCs w:val="1"/>
          <w:color w:val="auto"/>
        </w:rPr>
        <w:t>; Genmab in combination with the Y-shaped Genmab logo</w:t>
      </w:r>
      <w:r>
        <w:rPr>
          <w:rFonts w:ascii="Arial" w:cs="Arial" w:eastAsia="Arial" w:hAnsi="Arial"/>
          <w:sz w:val="16"/>
          <w:szCs w:val="16"/>
          <w:i w:val="1"/>
          <w:iCs w:val="1"/>
          <w:color w:val="auto"/>
          <w:vertAlign w:val="superscript"/>
        </w:rPr>
        <w:t>®</w:t>
      </w:r>
      <w:r>
        <w:rPr>
          <w:rFonts w:ascii="Arial" w:cs="Arial" w:eastAsia="Arial" w:hAnsi="Arial"/>
          <w:sz w:val="12"/>
          <w:szCs w:val="12"/>
          <w:i w:val="1"/>
          <w:iCs w:val="1"/>
          <w:color w:val="auto"/>
        </w:rPr>
        <w:t>; HuMax</w:t>
      </w:r>
      <w:r>
        <w:rPr>
          <w:rFonts w:ascii="Arial" w:cs="Arial" w:eastAsia="Arial" w:hAnsi="Arial"/>
          <w:sz w:val="16"/>
          <w:szCs w:val="16"/>
          <w:i w:val="1"/>
          <w:iCs w:val="1"/>
          <w:color w:val="auto"/>
          <w:vertAlign w:val="superscript"/>
        </w:rPr>
        <w:t>®</w:t>
      </w:r>
      <w:r>
        <w:rPr>
          <w:rFonts w:ascii="Arial" w:cs="Arial" w:eastAsia="Arial" w:hAnsi="Arial"/>
          <w:sz w:val="12"/>
          <w:szCs w:val="12"/>
          <w:i w:val="1"/>
          <w:iCs w:val="1"/>
          <w:color w:val="auto"/>
        </w:rPr>
        <w:t>; DuoBody</w:t>
      </w:r>
      <w:r>
        <w:rPr>
          <w:rFonts w:ascii="Arial" w:cs="Arial" w:eastAsia="Arial" w:hAnsi="Arial"/>
          <w:sz w:val="16"/>
          <w:szCs w:val="16"/>
          <w:i w:val="1"/>
          <w:iCs w:val="1"/>
          <w:color w:val="auto"/>
          <w:vertAlign w:val="superscript"/>
        </w:rPr>
        <w:t>®</w:t>
      </w:r>
      <w:r>
        <w:rPr>
          <w:rFonts w:ascii="Arial" w:cs="Arial" w:eastAsia="Arial" w:hAnsi="Arial"/>
          <w:sz w:val="12"/>
          <w:szCs w:val="12"/>
          <w:i w:val="1"/>
          <w:iCs w:val="1"/>
          <w:color w:val="auto"/>
        </w:rPr>
        <w:t>; HexaBody</w:t>
      </w:r>
      <w:r>
        <w:rPr>
          <w:rFonts w:ascii="Arial" w:cs="Arial" w:eastAsia="Arial" w:hAnsi="Arial"/>
          <w:sz w:val="16"/>
          <w:szCs w:val="16"/>
          <w:i w:val="1"/>
          <w:iCs w:val="1"/>
          <w:color w:val="auto"/>
          <w:vertAlign w:val="superscript"/>
        </w:rPr>
        <w:t>®</w:t>
      </w:r>
      <w:r>
        <w:rPr>
          <w:rFonts w:ascii="Arial" w:cs="Arial" w:eastAsia="Arial" w:hAnsi="Arial"/>
          <w:sz w:val="12"/>
          <w:szCs w:val="12"/>
          <w:i w:val="1"/>
          <w:iCs w:val="1"/>
          <w:color w:val="auto"/>
        </w:rPr>
        <w:t>; DuoHexaBody</w:t>
      </w:r>
      <w:r>
        <w:rPr>
          <w:rFonts w:ascii="Arial" w:cs="Arial" w:eastAsia="Arial" w:hAnsi="Arial"/>
          <w:sz w:val="16"/>
          <w:szCs w:val="16"/>
          <w:i w:val="1"/>
          <w:iCs w:val="1"/>
          <w:color w:val="auto"/>
          <w:vertAlign w:val="superscript"/>
        </w:rPr>
        <w:t>®</w:t>
      </w:r>
      <w:r>
        <w:rPr>
          <w:rFonts w:ascii="Arial" w:cs="Arial" w:eastAsia="Arial" w:hAnsi="Arial"/>
          <w:sz w:val="12"/>
          <w:szCs w:val="12"/>
          <w:i w:val="1"/>
          <w:iCs w:val="1"/>
          <w:color w:val="auto"/>
        </w:rPr>
        <w:t>, HexElect</w:t>
      </w:r>
      <w:r>
        <w:rPr>
          <w:rFonts w:ascii="Arial" w:cs="Arial" w:eastAsia="Arial" w:hAnsi="Arial"/>
          <w:sz w:val="16"/>
          <w:szCs w:val="16"/>
          <w:i w:val="1"/>
          <w:iCs w:val="1"/>
          <w:color w:val="auto"/>
          <w:vertAlign w:val="superscript"/>
        </w:rPr>
        <w:t>®</w:t>
      </w:r>
      <w:r>
        <w:rPr>
          <w:rFonts w:ascii="Arial" w:cs="Arial" w:eastAsia="Arial" w:hAnsi="Arial"/>
          <w:sz w:val="12"/>
          <w:szCs w:val="12"/>
          <w:i w:val="1"/>
          <w:iCs w:val="1"/>
          <w:color w:val="auto"/>
        </w:rPr>
        <w:t xml:space="preserve"> and KYSO</w:t>
      </w:r>
      <w:r>
        <w:rPr>
          <w:rFonts w:ascii="Arial" w:cs="Arial" w:eastAsia="Arial" w:hAnsi="Arial"/>
          <w:sz w:val="20"/>
          <w:szCs w:val="20"/>
          <w:color w:val="auto"/>
          <w:vertAlign w:val="superscript"/>
        </w:rPr>
        <w:t>®</w:t>
      </w:r>
      <w:r>
        <w:rPr>
          <w:rFonts w:ascii="Arial" w:cs="Arial" w:eastAsia="Arial" w:hAnsi="Arial"/>
          <w:sz w:val="12"/>
          <w:szCs w:val="12"/>
          <w:i w:val="1"/>
          <w:iCs w:val="1"/>
          <w:color w:val="auto"/>
        </w:rPr>
        <w: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60" w:type="dxa"/>
            <w:vAlign w:val="bottom"/>
            <w:vMerge w:val="restart"/>
          </w:tcPr>
          <w:p>
            <w:pPr>
              <w:spacing w:after="0"/>
              <w:rPr>
                <w:sz w:val="20"/>
                <w:szCs w:val="20"/>
                <w:color w:val="auto"/>
              </w:rPr>
            </w:pPr>
            <w:r>
              <w:rPr>
                <w:rFonts w:ascii="Arial" w:cs="Arial" w:eastAsia="Arial" w:hAnsi="Arial"/>
                <w:sz w:val="12"/>
                <w:szCs w:val="12"/>
                <w:color w:val="auto"/>
              </w:rPr>
              <w:t>Genmab A/S</w:t>
            </w:r>
          </w:p>
        </w:tc>
        <w:tc>
          <w:tcPr>
            <w:tcW w:w="4500" w:type="dxa"/>
            <w:vAlign w:val="bottom"/>
          </w:tcPr>
          <w:p>
            <w:pPr>
              <w:spacing w:after="0"/>
              <w:rPr>
                <w:sz w:val="12"/>
                <w:szCs w:val="12"/>
                <w:color w:val="auto"/>
              </w:rPr>
            </w:pPr>
          </w:p>
        </w:tc>
        <w:tc>
          <w:tcPr>
            <w:tcW w:w="3580" w:type="dxa"/>
            <w:vAlign w:val="bottom"/>
          </w:tcPr>
          <w:p>
            <w:pPr>
              <w:jc w:val="right"/>
              <w:spacing w:after="0"/>
              <w:rPr>
                <w:sz w:val="20"/>
                <w:szCs w:val="20"/>
                <w:color w:val="auto"/>
              </w:rPr>
            </w:pPr>
            <w:r>
              <w:rPr>
                <w:rFonts w:ascii="Arial" w:cs="Arial" w:eastAsia="Arial" w:hAnsi="Arial"/>
                <w:sz w:val="12"/>
                <w:szCs w:val="12"/>
                <w:color w:val="auto"/>
              </w:rPr>
              <w:t>Company Announcement no. 30</w:t>
            </w:r>
          </w:p>
        </w:tc>
        <w:tc>
          <w:tcPr>
            <w:tcW w:w="0" w:type="dxa"/>
            <w:vAlign w:val="bottom"/>
          </w:tcPr>
          <w:p>
            <w:pPr>
              <w:spacing w:after="0"/>
              <w:rPr>
                <w:sz w:val="1"/>
                <w:szCs w:val="1"/>
                <w:color w:val="auto"/>
              </w:rPr>
            </w:pPr>
          </w:p>
        </w:tc>
      </w:tr>
      <w:tr>
        <w:trPr>
          <w:trHeight w:val="127"/>
        </w:trPr>
        <w:tc>
          <w:tcPr>
            <w:tcW w:w="3160" w:type="dxa"/>
            <w:vAlign w:val="bottom"/>
            <w:vMerge w:val="continue"/>
          </w:tcPr>
          <w:p>
            <w:pPr>
              <w:spacing w:after="0"/>
              <w:rPr>
                <w:sz w:val="11"/>
                <w:szCs w:val="11"/>
                <w:color w:val="auto"/>
              </w:rPr>
            </w:pPr>
          </w:p>
        </w:tc>
        <w:tc>
          <w:tcPr>
            <w:tcW w:w="4500" w:type="dxa"/>
            <w:vAlign w:val="bottom"/>
            <w:vMerge w:val="restart"/>
          </w:tcPr>
          <w:p>
            <w:pPr>
              <w:jc w:val="center"/>
              <w:ind w:left="378"/>
              <w:spacing w:after="0"/>
              <w:rPr>
                <w:sz w:val="20"/>
                <w:szCs w:val="20"/>
                <w:color w:val="auto"/>
              </w:rPr>
            </w:pPr>
            <w:r>
              <w:rPr>
                <w:rFonts w:ascii="Arial" w:cs="Arial" w:eastAsia="Arial" w:hAnsi="Arial"/>
                <w:sz w:val="12"/>
                <w:szCs w:val="12"/>
                <w:color w:val="auto"/>
              </w:rPr>
              <w:t>Tel: +45 7020 2728</w:t>
            </w:r>
          </w:p>
        </w:tc>
        <w:tc>
          <w:tcPr>
            <w:tcW w:w="3580" w:type="dxa"/>
            <w:vAlign w:val="bottom"/>
          </w:tcPr>
          <w:p>
            <w:pPr>
              <w:jc w:val="right"/>
              <w:spacing w:after="0" w:line="128" w:lineRule="exact"/>
              <w:rPr>
                <w:sz w:val="20"/>
                <w:szCs w:val="20"/>
                <w:color w:val="auto"/>
              </w:rPr>
            </w:pPr>
            <w:r>
              <w:rPr>
                <w:rFonts w:ascii="Arial" w:cs="Arial" w:eastAsia="Arial" w:hAnsi="Arial"/>
                <w:sz w:val="12"/>
                <w:szCs w:val="12"/>
                <w:color w:val="auto"/>
              </w:rPr>
              <w:t>Page 1/1</w:t>
            </w:r>
          </w:p>
        </w:tc>
        <w:tc>
          <w:tcPr>
            <w:tcW w:w="0" w:type="dxa"/>
            <w:vAlign w:val="bottom"/>
          </w:tcPr>
          <w:p>
            <w:pPr>
              <w:spacing w:after="0"/>
              <w:rPr>
                <w:sz w:val="1"/>
                <w:szCs w:val="1"/>
                <w:color w:val="auto"/>
              </w:rPr>
            </w:pPr>
          </w:p>
        </w:tc>
      </w:tr>
      <w:tr>
        <w:trPr>
          <w:trHeight w:val="127"/>
        </w:trPr>
        <w:tc>
          <w:tcPr>
            <w:tcW w:w="3160" w:type="dxa"/>
            <w:vAlign w:val="bottom"/>
          </w:tcPr>
          <w:p>
            <w:pPr>
              <w:spacing w:after="0" w:line="128" w:lineRule="exact"/>
              <w:rPr>
                <w:sz w:val="20"/>
                <w:szCs w:val="20"/>
                <w:color w:val="auto"/>
              </w:rPr>
            </w:pPr>
            <w:r>
              <w:rPr>
                <w:rFonts w:ascii="Arial" w:cs="Arial" w:eastAsia="Arial" w:hAnsi="Arial"/>
                <w:sz w:val="12"/>
                <w:szCs w:val="12"/>
                <w:color w:val="auto"/>
              </w:rPr>
              <w:t>Carl Jacobsens Vej 30</w:t>
            </w:r>
          </w:p>
        </w:tc>
        <w:tc>
          <w:tcPr>
            <w:tcW w:w="4500" w:type="dxa"/>
            <w:vAlign w:val="bottom"/>
            <w:vMerge w:val="continue"/>
          </w:tcPr>
          <w:p>
            <w:pPr>
              <w:spacing w:after="0"/>
              <w:rPr>
                <w:sz w:val="11"/>
                <w:szCs w:val="11"/>
                <w:color w:val="auto"/>
              </w:rPr>
            </w:pPr>
          </w:p>
        </w:tc>
        <w:tc>
          <w:tcPr>
            <w:tcW w:w="3580" w:type="dxa"/>
            <w:vAlign w:val="bottom"/>
          </w:tcPr>
          <w:p>
            <w:pPr>
              <w:jc w:val="right"/>
              <w:spacing w:after="0" w:line="128" w:lineRule="exact"/>
              <w:rPr>
                <w:sz w:val="20"/>
                <w:szCs w:val="20"/>
                <w:color w:val="auto"/>
              </w:rPr>
            </w:pPr>
            <w:r>
              <w:rPr>
                <w:rFonts w:ascii="Arial" w:cs="Arial" w:eastAsia="Arial" w:hAnsi="Arial"/>
                <w:sz w:val="12"/>
                <w:szCs w:val="12"/>
                <w:color w:val="auto"/>
              </w:rPr>
              <w:t>CVR no. 2102 3884</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2"/>
                <w:szCs w:val="12"/>
                <w:color w:val="auto"/>
              </w:rPr>
              <w:t>2500 Valby, Denmark</w:t>
            </w:r>
          </w:p>
        </w:tc>
        <w:tc>
          <w:tcPr>
            <w:tcW w:w="4500" w:type="dxa"/>
            <w:vAlign w:val="bottom"/>
          </w:tcPr>
          <w:p>
            <w:pPr>
              <w:jc w:val="center"/>
              <w:ind w:left="378"/>
              <w:spacing w:after="0"/>
              <w:rPr>
                <w:sz w:val="20"/>
                <w:szCs w:val="20"/>
                <w:color w:val="auto"/>
              </w:rPr>
            </w:pPr>
            <w:r>
              <w:rPr>
                <w:rFonts w:ascii="Arial" w:cs="Arial" w:eastAsia="Arial" w:hAnsi="Arial"/>
                <w:sz w:val="12"/>
                <w:szCs w:val="12"/>
                <w:color w:val="auto"/>
              </w:rPr>
              <w:t>www.genmab.com</w:t>
            </w:r>
          </w:p>
        </w:tc>
        <w:tc>
          <w:tcPr>
            <w:tcW w:w="3580" w:type="dxa"/>
            <w:vAlign w:val="bottom"/>
          </w:tcPr>
          <w:p>
            <w:pPr>
              <w:jc w:val="right"/>
              <w:spacing w:after="0"/>
              <w:rPr>
                <w:sz w:val="20"/>
                <w:szCs w:val="20"/>
                <w:color w:val="auto"/>
              </w:rPr>
            </w:pPr>
            <w:r>
              <w:rPr>
                <w:rFonts w:ascii="Arial" w:cs="Arial" w:eastAsia="Arial" w:hAnsi="Arial"/>
                <w:sz w:val="12"/>
                <w:szCs w:val="12"/>
                <w:color w:val="auto"/>
              </w:rPr>
              <w:t>LEI Code 529900MTJPDPE4MHJ122</w:t>
            </w:r>
          </w:p>
        </w:tc>
        <w:tc>
          <w:tcPr>
            <w:tcW w:w="0" w:type="dxa"/>
            <w:vAlign w:val="bottom"/>
          </w:tcPr>
          <w:p>
            <w:pPr>
              <w:spacing w:after="0"/>
              <w:rPr>
                <w:sz w:val="1"/>
                <w:szCs w:val="1"/>
                <w:color w:val="auto"/>
              </w:rPr>
            </w:pPr>
          </w:p>
        </w:tc>
      </w:tr>
    </w:tbl>
    <w:p>
      <w:pPr>
        <w:sectPr>
          <w:pgSz w:w="11900" w:h="16838" w:orient="portrait"/>
          <w:cols w:equalWidth="0" w:num="1">
            <w:col w:w="11260"/>
          </w:cols>
          <w:pgMar w:left="320" w:top="124"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2026-06-15T11:09:56Z</dcterms:created>
  <dcterms:modified xsi:type="dcterms:W3CDTF">2026-06-15T11:09:56Z</dcterms:modified>
</cp:coreProperties>
</file>