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880" w:type="dxa"/>
            <w:vAlign w:val="bottom"/>
            <w:gridSpan w:val="2"/>
          </w:tcPr>
          <w:p>
            <w:pPr>
              <w:ind w:left="1740"/>
              <w:spacing w:after="0"/>
              <w:rPr>
                <w:sz w:val="20"/>
                <w:szCs w:val="20"/>
                <w:color w:val="auto"/>
              </w:rPr>
            </w:pPr>
            <w:r>
              <w:rPr>
                <w:rFonts w:ascii="Arial" w:cs="Arial" w:eastAsia="Arial" w:hAnsi="Arial"/>
                <w:sz w:val="18"/>
                <w:szCs w:val="18"/>
                <w:b w:val="1"/>
                <w:bCs w:val="1"/>
                <w:color w:val="auto"/>
              </w:rPr>
              <w:t>EXHIBIT INDEX</w:t>
            </w:r>
          </w:p>
        </w:tc>
      </w:tr>
      <w:tr>
        <w:trPr>
          <w:trHeight w:val="69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90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80" w:type="dxa"/>
            <w:vAlign w:val="bottom"/>
          </w:tcPr>
          <w:p>
            <w:pPr>
              <w:spacing w:after="0"/>
              <w:rPr>
                <w:sz w:val="24"/>
                <w:szCs w:val="24"/>
                <w:color w:val="auto"/>
              </w:rPr>
            </w:pPr>
          </w:p>
        </w:tc>
        <w:tc>
          <w:tcPr>
            <w:tcW w:w="90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w w:val="99"/>
              </w:rPr>
              <w:t>Company Announcement Dated June 16, 2026: Capital Increase in Genmab as a Result of Employee Warrant Exercise</w:t>
            </w: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bl>
    <w:p>
      <w:pPr>
        <w:sectPr>
          <w:pgSz w:w="11900" w:h="16838" w:orient="portrait"/>
          <w:cols w:equalWidth="0" w:num="1">
            <w:col w:w="10059"/>
          </w:cols>
          <w:pgMar w:left="400" w:top="1440"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35"/>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Pagano</w:t>
            </w:r>
          </w:p>
        </w:tc>
      </w:tr>
      <w:tr>
        <w:trPr>
          <w:trHeight w:val="218"/>
        </w:trPr>
        <w:tc>
          <w:tcPr>
            <w:tcW w:w="7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Name: Anthony Pagano</w:t>
            </w:r>
          </w:p>
        </w:tc>
      </w:tr>
      <w:tr>
        <w:trPr>
          <w:trHeight w:val="239"/>
        </w:trPr>
        <w:tc>
          <w:tcPr>
            <w:tcW w:w="7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Executive Vice President &amp; Chief Financial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JUNE 16, 2026</w:t>
      </w:r>
    </w:p>
    <w:p>
      <w:pPr>
        <w:sectPr>
          <w:pgSz w:w="11900" w:h="16838" w:orient="portrait"/>
          <w:cols w:equalWidth="0" w:num="1">
            <w:col w:w="10980"/>
          </w:cols>
          <w:pgMar w:left="320" w:top="125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163195</wp:posOffset>
            </wp:positionV>
            <wp:extent cx="131127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Capital Increase in Genmab as a Result of Employee Warrant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Announcement</w:t>
      </w:r>
    </w:p>
    <w:p>
      <w:pPr>
        <w:spacing w:after="0" w:line="200" w:lineRule="exact"/>
        <w:rPr>
          <w:sz w:val="20"/>
          <w:szCs w:val="20"/>
          <w:color w:val="auto"/>
        </w:rPr>
      </w:pPr>
    </w:p>
    <w:p>
      <w:pPr>
        <w:spacing w:after="0" w:line="272" w:lineRule="exact"/>
        <w:rPr>
          <w:sz w:val="20"/>
          <w:szCs w:val="20"/>
          <w:color w:val="auto"/>
        </w:rPr>
      </w:pPr>
    </w:p>
    <w:p>
      <w:pPr>
        <w:ind w:right="880"/>
        <w:spacing w:after="0" w:line="281" w:lineRule="auto"/>
        <w:rPr>
          <w:sz w:val="20"/>
          <w:szCs w:val="20"/>
          <w:color w:val="auto"/>
        </w:rPr>
      </w:pPr>
      <w:r>
        <w:rPr>
          <w:rFonts w:ascii="Arial" w:cs="Arial" w:eastAsia="Arial" w:hAnsi="Arial"/>
          <w:sz w:val="18"/>
          <w:szCs w:val="18"/>
          <w:b w:val="1"/>
          <w:bCs w:val="1"/>
          <w:color w:val="auto"/>
        </w:rPr>
        <w:t>COPENHAGEN, Denmark; June 16, 2026 – Genmab A/S (Nasdaq: GMAB) will increase its share capital by 185 shares as a consequence of the exercise of employee warrants.</w:t>
      </w:r>
    </w:p>
    <w:p>
      <w:pPr>
        <w:spacing w:after="0" w:line="16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increase is effected without any preemption rights for the existing shareholders of the Company or others. The shares are subscribed in cash at the following price per share of nominally DKK 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185 shares at DKK 1,334.50.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Proceeds to the Company are approximately DKK 0.2 million. The increase corresponds to less than 0.001%of the Company's share capital.</w:t>
      </w:r>
    </w:p>
    <w:p>
      <w:pPr>
        <w:spacing w:after="0" w:line="2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new shares are ordinary shares without any special rights and are freely transferable negotiable instruments. The new shares give rights to dividends and other rights in relation to the company as of subscription. The new shares will be listed on Nasdaq Copenhagen after registration with the Danish Business Authority. The capital increase is expected to be finalized shortly.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32 of the Danish Capital Markets Act No. 464 of May 1, 2026, it is hereby announced, that the total nominal value of</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Genmab A/S' share capital after the capital increase is DKK 62,353,252 which is made up of 62,353,252 shares of a nominal value of DKK 1 each, corresponding to 62,353,252 votes.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Genmab</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spacing w:after="0" w:line="18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 xml:space="preserve">Established in 1999, Genmab is headquartered in Copenhagen, Denmark, with international presence across North America, Europe and Asia Pacific. For more information, please visit </w:t>
      </w:r>
      <w:r>
        <w:rPr>
          <w:rFonts w:ascii="Arial" w:cs="Arial" w:eastAsia="Arial" w:hAnsi="Arial"/>
          <w:sz w:val="18"/>
          <w:szCs w:val="18"/>
          <w:u w:val="single" w:color="auto"/>
          <w:color w:val="0000FF"/>
        </w:rPr>
        <w:t>Genmab.com</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0000FF"/>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X</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ind w:right="4700"/>
        <w:spacing w:after="0" w:line="266" w:lineRule="auto"/>
        <w:rPr>
          <w:sz w:val="20"/>
          <w:szCs w:val="20"/>
          <w:color w:val="auto"/>
        </w:rPr>
      </w:pPr>
      <w:r>
        <w:rPr>
          <w:rFonts w:ascii="Arial" w:cs="Arial" w:eastAsia="Arial" w:hAnsi="Arial"/>
          <w:sz w:val="18"/>
          <w:szCs w:val="18"/>
          <w:color w:val="auto"/>
        </w:rPr>
        <w:t xml:space="preserve">Marisol Peron, Senior Vice President, Global Communications &amp; Corporate Affairs T: +1 609 524 0065; E: </w:t>
      </w:r>
      <w:r>
        <w:rPr>
          <w:rFonts w:ascii="Arial" w:cs="Arial" w:eastAsia="Arial" w:hAnsi="Arial"/>
          <w:sz w:val="18"/>
          <w:szCs w:val="18"/>
          <w:u w:val="single" w:color="auto"/>
          <w:color w:val="0000FF"/>
        </w:rPr>
        <w:t>mmp@genmab.com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 +45 3377 9558; E: </w:t>
      </w:r>
      <w:r>
        <w:rPr>
          <w:rFonts w:ascii="Arial" w:cs="Arial" w:eastAsia="Arial" w:hAnsi="Arial"/>
          <w:sz w:val="18"/>
          <w:szCs w:val="18"/>
          <w:u w:val="single" w:color="auto"/>
          <w:color w:val="0000FF"/>
        </w:rPr>
        <w:t>acn@genmab.com</w:t>
      </w:r>
    </w:p>
    <w:p>
      <w:pPr>
        <w:spacing w:after="0" w:line="219"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i w:val="1"/>
          <w:iCs w:val="1"/>
          <w:color w:val="auto"/>
        </w:rPr>
        <w:t>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31</w:t>
            </w:r>
          </w:p>
        </w:tc>
        <w:tc>
          <w:tcPr>
            <w:tcW w:w="0" w:type="dxa"/>
            <w:vAlign w:val="bottom"/>
          </w:tcPr>
          <w:p>
            <w:pPr>
              <w:spacing w:after="0"/>
              <w:rPr>
                <w:sz w:val="1"/>
                <w:szCs w:val="1"/>
                <w:color w:val="auto"/>
              </w:rPr>
            </w:pPr>
          </w:p>
        </w:tc>
      </w:tr>
      <w:tr>
        <w:trPr>
          <w:trHeight w:val="149"/>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Page 1/2</w:t>
            </w:r>
          </w:p>
        </w:tc>
        <w:tc>
          <w:tcPr>
            <w:tcW w:w="0" w:type="dxa"/>
            <w:vAlign w:val="bottom"/>
          </w:tcPr>
          <w:p>
            <w:pPr>
              <w:spacing w:after="0"/>
              <w:rPr>
                <w:sz w:val="1"/>
                <w:szCs w:val="1"/>
                <w:color w:val="auto"/>
              </w:rPr>
            </w:pPr>
          </w:p>
        </w:tc>
      </w:tr>
      <w:tr>
        <w:trPr>
          <w:trHeight w:val="144"/>
        </w:trPr>
        <w:tc>
          <w:tcPr>
            <w:tcW w:w="3200" w:type="dxa"/>
            <w:vAlign w:val="bottom"/>
          </w:tcPr>
          <w:p>
            <w:pPr>
              <w:spacing w:after="0" w:line="145"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4734560</wp:posOffset>
            </wp:positionH>
            <wp:positionV relativeFrom="page">
              <wp:posOffset>397510</wp:posOffset>
            </wp:positionV>
            <wp:extent cx="131127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77190"/>
                    </a:xfrm>
                    <a:prstGeom prst="rect">
                      <a:avLst/>
                    </a:prstGeom>
                    <a:noFill/>
                  </pic:spPr>
                </pic:pic>
              </a:graphicData>
            </a:graphic>
          </wp:anchor>
        </w:drawing>
        <w:t>Capital Increase in Genmab as a Result of Employee Warrant Exercise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i w:val="1"/>
          <w:iCs w:val="1"/>
          <w:color w:val="auto"/>
        </w:rPr>
        <w:t xml:space="preserve">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 w:cs="Arial" w:eastAsia="Arial" w:hAnsi="Arial"/>
          <w:sz w:val="14"/>
          <w:szCs w:val="14"/>
          <w:i w:val="1"/>
          <w:iCs w:val="1"/>
          <w:u w:val="single" w:color="auto"/>
          <w:color w:val="0000FF"/>
        </w:rPr>
        <w:t>www.genmab.com</w:t>
      </w:r>
      <w:r>
        <w:rPr>
          <w:rFonts w:ascii="Arial" w:cs="Arial" w:eastAsia="Arial" w:hAnsi="Arial"/>
          <w:sz w:val="14"/>
          <w:szCs w:val="14"/>
          <w:i w:val="1"/>
          <w:iCs w:val="1"/>
          <w:color w:val="auto"/>
        </w:rPr>
        <w:t xml:space="preserve"> and the risk factors included in Genmab’s most recent Annual Report on Form 20-F and other filings with the U.S. Securities and Exchange Commission (SEC), which are available at </w:t>
      </w:r>
      <w:r>
        <w:rPr>
          <w:rFonts w:ascii="Arial" w:cs="Arial" w:eastAsia="Arial" w:hAnsi="Arial"/>
          <w:sz w:val="14"/>
          <w:szCs w:val="14"/>
          <w:i w:val="1"/>
          <w:iCs w:val="1"/>
          <w:u w:val="single" w:color="auto"/>
          <w:color w:val="0000FF"/>
        </w:rPr>
        <w:t>www.sec.gov</w:t>
      </w:r>
      <w:r>
        <w:rPr>
          <w:rFonts w:ascii="Arial" w:cs="Arial" w:eastAsia="Arial" w:hAnsi="Arial"/>
          <w:sz w:val="14"/>
          <w:szCs w:val="14"/>
          <w:i w:val="1"/>
          <w:iCs w:val="1"/>
          <w:color w:val="auto"/>
        </w:rPr>
        <w:t>. Genmab does not undertake any obligation to update or revise forward looking statements in the Company Announcement nor to confirm such statements to reflect subsequent events or circumstances after the date made or in relation to actual results, unless required by law.</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9"/>
          <w:szCs w:val="9"/>
          <w:i w:val="1"/>
          <w:iCs w:val="1"/>
          <w:color w:val="auto"/>
        </w:rPr>
        <w:t>®</w:t>
      </w:r>
      <w:r>
        <w:rPr>
          <w:rFonts w:ascii="Arial" w:cs="Arial" w:eastAsia="Arial" w:hAnsi="Arial"/>
          <w:sz w:val="14"/>
          <w:szCs w:val="14"/>
          <w:i w:val="1"/>
          <w:iCs w:val="1"/>
          <w:color w:val="auto"/>
        </w:rPr>
        <w:t>; the Y-shaped Genmab logo</w:t>
      </w:r>
      <w:r>
        <w:rPr>
          <w:rFonts w:ascii="Arial" w:cs="Arial" w:eastAsia="Arial" w:hAnsi="Arial"/>
          <w:sz w:val="9"/>
          <w:szCs w:val="9"/>
          <w:i w:val="1"/>
          <w:iCs w:val="1"/>
          <w:color w:val="auto"/>
        </w:rPr>
        <w:t>®</w:t>
      </w:r>
      <w:r>
        <w:rPr>
          <w:rFonts w:ascii="Arial" w:cs="Arial" w:eastAsia="Arial" w:hAnsi="Arial"/>
          <w:sz w:val="14"/>
          <w:szCs w:val="14"/>
          <w:i w:val="1"/>
          <w:iCs w:val="1"/>
          <w:color w:val="auto"/>
        </w:rPr>
        <w:t>; Genmab in combination with the Y-shaped Genmab logo</w:t>
      </w:r>
      <w:r>
        <w:rPr>
          <w:rFonts w:ascii="Arial" w:cs="Arial" w:eastAsia="Arial" w:hAnsi="Arial"/>
          <w:sz w:val="9"/>
          <w:szCs w:val="9"/>
          <w:i w:val="1"/>
          <w:iCs w:val="1"/>
          <w:color w:val="auto"/>
        </w:rPr>
        <w:t>®</w:t>
      </w:r>
      <w:r>
        <w:rPr>
          <w:rFonts w:ascii="Arial" w:cs="Arial" w:eastAsia="Arial" w:hAnsi="Arial"/>
          <w:sz w:val="14"/>
          <w:szCs w:val="14"/>
          <w:i w:val="1"/>
          <w:iCs w:val="1"/>
          <w:color w:val="auto"/>
        </w:rPr>
        <w:t>; HuMax</w:t>
      </w:r>
      <w:r>
        <w:rPr>
          <w:rFonts w:ascii="Arial" w:cs="Arial" w:eastAsia="Arial" w:hAnsi="Arial"/>
          <w:sz w:val="9"/>
          <w:szCs w:val="9"/>
          <w:i w:val="1"/>
          <w:iCs w:val="1"/>
          <w:color w:val="auto"/>
        </w:rPr>
        <w:t>®</w:t>
      </w:r>
      <w:r>
        <w:rPr>
          <w:rFonts w:ascii="Arial" w:cs="Arial" w:eastAsia="Arial" w:hAnsi="Arial"/>
          <w:sz w:val="14"/>
          <w:szCs w:val="14"/>
          <w:i w:val="1"/>
          <w:iCs w:val="1"/>
          <w:color w:val="auto"/>
        </w:rPr>
        <w:t>; DuoBody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HexElect</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and KYSO</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31</w:t>
            </w:r>
          </w:p>
        </w:tc>
        <w:tc>
          <w:tcPr>
            <w:tcW w:w="0" w:type="dxa"/>
            <w:vAlign w:val="bottom"/>
          </w:tcPr>
          <w:p>
            <w:pPr>
              <w:spacing w:after="0"/>
              <w:rPr>
                <w:sz w:val="1"/>
                <w:szCs w:val="1"/>
                <w:color w:val="auto"/>
              </w:rPr>
            </w:pPr>
          </w:p>
        </w:tc>
      </w:tr>
      <w:tr>
        <w:trPr>
          <w:trHeight w:val="148"/>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Page 2/2</w:t>
            </w:r>
          </w:p>
        </w:tc>
        <w:tc>
          <w:tcPr>
            <w:tcW w:w="0" w:type="dxa"/>
            <w:vAlign w:val="bottom"/>
          </w:tcPr>
          <w:p>
            <w:pPr>
              <w:spacing w:after="0"/>
              <w:rPr>
                <w:sz w:val="1"/>
                <w:szCs w:val="1"/>
                <w:color w:val="auto"/>
              </w:rPr>
            </w:pPr>
          </w:p>
        </w:tc>
      </w:tr>
      <w:tr>
        <w:trPr>
          <w:trHeight w:val="144"/>
        </w:trPr>
        <w:tc>
          <w:tcPr>
            <w:tcW w:w="3200" w:type="dxa"/>
            <w:vAlign w:val="bottom"/>
          </w:tcPr>
          <w:p>
            <w:pPr>
              <w:spacing w:after="0" w:line="145"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128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2026-06-16T14:38:18Z</dcterms:created>
  <dcterms:modified xsi:type="dcterms:W3CDTF">2026-06-16T14:38:18Z</dcterms:modified>
</cp:coreProperties>
</file>