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52">
        <w:r>
          <w:rPr>
            <w:rFonts w:ascii="Arial" w:cs="Arial" w:eastAsia="Arial" w:hAnsi="Arial"/>
            <w:sz w:val="22"/>
            <w:szCs w:val="22"/>
            <w:u w:val="single" w:color="auto"/>
            <w:color w:val="0000EE"/>
          </w:rPr>
          <w:t>INDEX TO FINANCIAL STATEMENTS</w:t>
        </w:r>
      </w:hyperlink>
    </w:p>
    <w:p>
      <w:pPr>
        <w:spacing w:after="0" w:line="1" w:lineRule="exact"/>
        <w:rPr>
          <w:sz w:val="24"/>
          <w:szCs w:val="24"/>
          <w:color w:val="auto"/>
        </w:rPr>
      </w:pPr>
    </w:p>
    <w:p>
      <w:pPr>
        <w:spacing w:after="0"/>
        <w:rPr>
          <w:rFonts w:ascii="Arial" w:cs="Arial" w:eastAsia="Arial" w:hAnsi="Arial"/>
          <w:sz w:val="22"/>
          <w:szCs w:val="22"/>
          <w:u w:val="single" w:color="auto"/>
          <w:color w:val="0000EE"/>
        </w:rPr>
      </w:pPr>
      <w:hyperlink w:anchor="page254">
        <w:r>
          <w:rPr>
            <w:rFonts w:ascii="Arial" w:cs="Arial" w:eastAsia="Arial" w:hAnsi="Arial"/>
            <w:sz w:val="22"/>
            <w:szCs w:val="22"/>
            <w:u w:val="single" w:color="auto"/>
            <w:color w:val="0000EE"/>
          </w:rPr>
          <w:t>Financial Statements 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As confidentially submitted to the Securities and Exchange Commission on February 4, 2019</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This draft registration statement has not been publicly filed with the</w:t>
      </w:r>
    </w:p>
    <w:p>
      <w:pPr>
        <w:jc w:val="center"/>
        <w:ind w:right="-59"/>
        <w:spacing w:after="0"/>
        <w:rPr>
          <w:sz w:val="20"/>
          <w:szCs w:val="20"/>
          <w:color w:val="auto"/>
        </w:rPr>
      </w:pPr>
      <w:r>
        <w:rPr>
          <w:rFonts w:ascii="Arial" w:cs="Arial" w:eastAsia="Arial" w:hAnsi="Arial"/>
          <w:sz w:val="13"/>
          <w:szCs w:val="13"/>
          <w:b w:val="1"/>
          <w:bCs w:val="1"/>
          <w:color w:val="auto"/>
        </w:rPr>
        <w:t>Securities and Exchange Commission and all information herein remains strictly confidential.</w:t>
      </w:r>
    </w:p>
    <w:p>
      <w:pPr>
        <w:spacing w:after="0" w:line="201" w:lineRule="exact"/>
        <w:rPr>
          <w:sz w:val="24"/>
          <w:szCs w:val="24"/>
          <w:color w:val="auto"/>
        </w:rPr>
      </w:pPr>
    </w:p>
    <w:p>
      <w:pPr>
        <w:ind w:left="96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F-1</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REGISTRATION STATEMENT</w:t>
      </w:r>
    </w:p>
    <w:p>
      <w:pPr>
        <w:jc w:val="center"/>
        <w:ind w:right="-59"/>
        <w:spacing w:after="0"/>
        <w:rPr>
          <w:sz w:val="20"/>
          <w:szCs w:val="20"/>
          <w:color w:val="auto"/>
        </w:rPr>
      </w:pPr>
      <w:r>
        <w:rPr>
          <w:rFonts w:ascii="Arial" w:cs="Arial" w:eastAsia="Arial" w:hAnsi="Arial"/>
          <w:sz w:val="13"/>
          <w:szCs w:val="13"/>
          <w:b w:val="1"/>
          <w:bCs w:val="1"/>
          <w:color w:val="auto"/>
        </w:rPr>
        <w:t>UNDER</w:t>
      </w:r>
    </w:p>
    <w:p>
      <w:pPr>
        <w:jc w:val="center"/>
        <w:ind w:right="-5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Genmab A/S</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(Translation of Registrant's name into English)</w:t>
      </w:r>
    </w:p>
    <w:p>
      <w:pPr>
        <w:spacing w:after="0" w:line="201" w:lineRule="exact"/>
        <w:rPr>
          <w:sz w:val="24"/>
          <w:szCs w:val="24"/>
          <w:color w:val="auto"/>
        </w:rPr>
      </w:pPr>
    </w:p>
    <w:tbl>
      <w:tblPr>
        <w:tblLayout w:type="fixed"/>
        <w:tblInd w:w="3000" w:type="dxa"/>
        <w:tblCellMar>
          <w:top w:w="0" w:type="dxa"/>
          <w:left w:w="0" w:type="dxa"/>
          <w:bottom w:w="0" w:type="dxa"/>
          <w:right w:w="0" w:type="dxa"/>
        </w:tblCellMar>
      </w:tblPr>
      <w:tr>
        <w:trPr>
          <w:trHeight w:val="151"/>
        </w:trPr>
        <w:tc>
          <w:tcPr>
            <w:tcW w:w="172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The Kingdom of Denmark</w:t>
            </w:r>
          </w:p>
        </w:tc>
        <w:tc>
          <w:tcPr>
            <w:tcW w:w="19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2834</w:t>
            </w:r>
          </w:p>
        </w:tc>
        <w:tc>
          <w:tcPr>
            <w:tcW w:w="1460" w:type="dxa"/>
            <w:vAlign w:val="bottom"/>
          </w:tcPr>
          <w:p>
            <w:pPr>
              <w:jc w:val="center"/>
              <w:ind w:left="133"/>
              <w:spacing w:after="0"/>
              <w:rPr>
                <w:sz w:val="20"/>
                <w:szCs w:val="20"/>
                <w:color w:val="auto"/>
              </w:rPr>
            </w:pPr>
            <w:r>
              <w:rPr>
                <w:rFonts w:ascii="Arial" w:cs="Arial" w:eastAsia="Arial" w:hAnsi="Arial"/>
                <w:sz w:val="13"/>
                <w:szCs w:val="13"/>
                <w:b w:val="1"/>
                <w:bCs w:val="1"/>
                <w:color w:val="auto"/>
                <w:w w:val="94"/>
              </w:rPr>
              <w:t>Not Applicable</w:t>
            </w:r>
          </w:p>
        </w:tc>
      </w:tr>
      <w:tr>
        <w:trPr>
          <w:trHeight w:val="148"/>
        </w:trPr>
        <w:tc>
          <w:tcPr>
            <w:tcW w:w="1720" w:type="dxa"/>
            <w:vAlign w:val="bottom"/>
          </w:tcPr>
          <w:p>
            <w:pPr>
              <w:jc w:val="center"/>
              <w:ind w:right="33"/>
              <w:spacing w:after="0"/>
              <w:rPr>
                <w:sz w:val="20"/>
                <w:szCs w:val="20"/>
                <w:color w:val="auto"/>
              </w:rPr>
            </w:pPr>
            <w:r>
              <w:rPr>
                <w:rFonts w:ascii="Arial" w:cs="Arial" w:eastAsia="Arial" w:hAnsi="Arial"/>
                <w:sz w:val="13"/>
                <w:szCs w:val="13"/>
                <w:color w:val="auto"/>
                <w:w w:val="97"/>
              </w:rPr>
              <w:t>(State or other jurisdiction of</w:t>
            </w:r>
          </w:p>
        </w:tc>
        <w:tc>
          <w:tcPr>
            <w:tcW w:w="1900" w:type="dxa"/>
            <w:vAlign w:val="bottom"/>
          </w:tcPr>
          <w:p>
            <w:pPr>
              <w:jc w:val="center"/>
              <w:ind w:right="13"/>
              <w:spacing w:after="0"/>
              <w:rPr>
                <w:sz w:val="20"/>
                <w:szCs w:val="20"/>
                <w:color w:val="auto"/>
              </w:rPr>
            </w:pPr>
            <w:r>
              <w:rPr>
                <w:rFonts w:ascii="Arial" w:cs="Arial" w:eastAsia="Arial" w:hAnsi="Arial"/>
                <w:sz w:val="13"/>
                <w:szCs w:val="13"/>
                <w:color w:val="auto"/>
                <w:w w:val="95"/>
              </w:rPr>
              <w:t>(Primary Standard Industrial</w:t>
            </w:r>
          </w:p>
        </w:tc>
        <w:tc>
          <w:tcPr>
            <w:tcW w:w="1460" w:type="dxa"/>
            <w:vAlign w:val="bottom"/>
          </w:tcPr>
          <w:p>
            <w:pPr>
              <w:jc w:val="center"/>
              <w:ind w:left="113"/>
              <w:spacing w:after="0"/>
              <w:rPr>
                <w:sz w:val="20"/>
                <w:szCs w:val="20"/>
                <w:color w:val="auto"/>
              </w:rPr>
            </w:pPr>
            <w:r>
              <w:rPr>
                <w:rFonts w:ascii="Arial" w:cs="Arial" w:eastAsia="Arial" w:hAnsi="Arial"/>
                <w:sz w:val="13"/>
                <w:szCs w:val="13"/>
                <w:color w:val="auto"/>
                <w:w w:val="96"/>
              </w:rPr>
              <w:t>(I.R.S. Employer</w:t>
            </w:r>
          </w:p>
        </w:tc>
      </w:tr>
      <w:tr>
        <w:trPr>
          <w:trHeight w:val="172"/>
        </w:trPr>
        <w:tc>
          <w:tcPr>
            <w:tcW w:w="1720" w:type="dxa"/>
            <w:vAlign w:val="bottom"/>
          </w:tcPr>
          <w:p>
            <w:pPr>
              <w:jc w:val="center"/>
              <w:ind w:right="33"/>
              <w:spacing w:after="0"/>
              <w:rPr>
                <w:sz w:val="20"/>
                <w:szCs w:val="20"/>
                <w:color w:val="auto"/>
              </w:rPr>
            </w:pPr>
            <w:r>
              <w:rPr>
                <w:rFonts w:ascii="Arial" w:cs="Arial" w:eastAsia="Arial" w:hAnsi="Arial"/>
                <w:sz w:val="13"/>
                <w:szCs w:val="13"/>
                <w:color w:val="auto"/>
                <w:w w:val="95"/>
              </w:rPr>
              <w:t>incorporation or organization)</w:t>
            </w:r>
          </w:p>
        </w:tc>
        <w:tc>
          <w:tcPr>
            <w:tcW w:w="1900" w:type="dxa"/>
            <w:vAlign w:val="bottom"/>
          </w:tcPr>
          <w:p>
            <w:pPr>
              <w:jc w:val="center"/>
              <w:ind w:right="13"/>
              <w:spacing w:after="0"/>
              <w:rPr>
                <w:sz w:val="20"/>
                <w:szCs w:val="20"/>
                <w:color w:val="auto"/>
              </w:rPr>
            </w:pPr>
            <w:r>
              <w:rPr>
                <w:rFonts w:ascii="Arial" w:cs="Arial" w:eastAsia="Arial" w:hAnsi="Arial"/>
                <w:sz w:val="13"/>
                <w:szCs w:val="13"/>
                <w:color w:val="auto"/>
                <w:w w:val="95"/>
              </w:rPr>
              <w:t>Classification Code Number)</w:t>
            </w:r>
          </w:p>
        </w:tc>
        <w:tc>
          <w:tcPr>
            <w:tcW w:w="1460" w:type="dxa"/>
            <w:vAlign w:val="bottom"/>
          </w:tcPr>
          <w:p>
            <w:pPr>
              <w:jc w:val="center"/>
              <w:ind w:left="133"/>
              <w:spacing w:after="0"/>
              <w:rPr>
                <w:sz w:val="20"/>
                <w:szCs w:val="20"/>
                <w:color w:val="auto"/>
              </w:rPr>
            </w:pPr>
            <w:r>
              <w:rPr>
                <w:rFonts w:ascii="Arial" w:cs="Arial" w:eastAsia="Arial" w:hAnsi="Arial"/>
                <w:sz w:val="13"/>
                <w:szCs w:val="13"/>
                <w:color w:val="auto"/>
                <w:w w:val="99"/>
              </w:rPr>
              <w:t>Identification Number)</w:t>
            </w: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Kalvebod Brygge 43</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1560 Copenhagen V</w:t>
      </w:r>
    </w:p>
    <w:p>
      <w:pPr>
        <w:jc w:val="center"/>
        <w:ind w:right="-59"/>
        <w:spacing w:after="0"/>
        <w:rPr>
          <w:sz w:val="20"/>
          <w:szCs w:val="20"/>
          <w:color w:val="auto"/>
        </w:rPr>
      </w:pPr>
      <w:r>
        <w:rPr>
          <w:rFonts w:ascii="Arial" w:cs="Arial" w:eastAsia="Arial" w:hAnsi="Arial"/>
          <w:sz w:val="13"/>
          <w:szCs w:val="13"/>
          <w:b w:val="1"/>
          <w:bCs w:val="1"/>
          <w:color w:val="auto"/>
        </w:rPr>
        <w:t>Denmark</w:t>
      </w:r>
    </w:p>
    <w:p>
      <w:pPr>
        <w:jc w:val="center"/>
        <w:ind w:right="-59"/>
        <w:spacing w:after="0"/>
        <w:rPr>
          <w:sz w:val="20"/>
          <w:szCs w:val="20"/>
          <w:color w:val="auto"/>
        </w:rPr>
      </w:pPr>
      <w:r>
        <w:rPr>
          <w:rFonts w:ascii="Arial" w:cs="Arial" w:eastAsia="Arial" w:hAnsi="Arial"/>
          <w:sz w:val="13"/>
          <w:szCs w:val="13"/>
          <w:b w:val="1"/>
          <w:bCs w:val="1"/>
          <w:color w:val="auto"/>
        </w:rPr>
        <w:t>+45 70 20 27 28</w:t>
      </w:r>
    </w:p>
    <w:p>
      <w:pPr>
        <w:jc w:val="center"/>
        <w:ind w:right="-5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Genmab US, Inc.</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902 Carnegie Center, Suite 301</w:t>
      </w:r>
    </w:p>
    <w:p>
      <w:pPr>
        <w:jc w:val="center"/>
        <w:ind w:right="-59"/>
        <w:spacing w:after="0"/>
        <w:rPr>
          <w:sz w:val="20"/>
          <w:szCs w:val="20"/>
          <w:color w:val="auto"/>
        </w:rPr>
      </w:pPr>
      <w:r>
        <w:rPr>
          <w:rFonts w:ascii="Arial" w:cs="Arial" w:eastAsia="Arial" w:hAnsi="Arial"/>
          <w:sz w:val="13"/>
          <w:szCs w:val="13"/>
          <w:b w:val="1"/>
          <w:bCs w:val="1"/>
          <w:color w:val="auto"/>
        </w:rPr>
        <w:t>Princeton, New Jersey 08540</w:t>
      </w:r>
    </w:p>
    <w:p>
      <w:pPr>
        <w:jc w:val="center"/>
        <w:ind w:right="-59"/>
        <w:spacing w:after="0"/>
        <w:rPr>
          <w:sz w:val="20"/>
          <w:szCs w:val="20"/>
          <w:color w:val="auto"/>
        </w:rPr>
      </w:pPr>
      <w:r>
        <w:rPr>
          <w:rFonts w:ascii="Arial" w:cs="Arial" w:eastAsia="Arial" w:hAnsi="Arial"/>
          <w:sz w:val="13"/>
          <w:szCs w:val="13"/>
          <w:b w:val="1"/>
          <w:bCs w:val="1"/>
          <w:color w:val="auto"/>
        </w:rPr>
        <w:t>(609) 430-2481</w:t>
      </w:r>
    </w:p>
    <w:p>
      <w:pPr>
        <w:jc w:val="center"/>
        <w:ind w:right="-5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346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gridSpan w:val="2"/>
          </w:tcPr>
          <w:p>
            <w:pPr>
              <w:ind w:left="180"/>
              <w:spacing w:after="0"/>
              <w:rPr>
                <w:sz w:val="20"/>
                <w:szCs w:val="20"/>
                <w:color w:val="auto"/>
              </w:rPr>
            </w:pPr>
            <w:r>
              <w:rPr>
                <w:rFonts w:ascii="Arial" w:cs="Arial" w:eastAsia="Arial" w:hAnsi="Arial"/>
                <w:sz w:val="13"/>
                <w:szCs w:val="13"/>
                <w:b w:val="1"/>
                <w:bCs w:val="1"/>
                <w:color w:val="auto"/>
              </w:rPr>
              <w:t>Copies to:</w:t>
            </w:r>
          </w:p>
        </w:tc>
      </w:tr>
      <w:tr>
        <w:trPr>
          <w:trHeight w:val="366"/>
        </w:trPr>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Harald Halbhuber</w:t>
            </w:r>
          </w:p>
        </w:tc>
        <w:tc>
          <w:tcPr>
            <w:tcW w:w="2700" w:type="dxa"/>
            <w:vAlign w:val="bottom"/>
            <w:gridSpan w:val="2"/>
          </w:tcPr>
          <w:p>
            <w:pPr>
              <w:jc w:val="center"/>
              <w:ind w:left="993"/>
              <w:spacing w:after="0"/>
              <w:rPr>
                <w:sz w:val="20"/>
                <w:szCs w:val="20"/>
                <w:color w:val="auto"/>
              </w:rPr>
            </w:pPr>
            <w:r>
              <w:rPr>
                <w:rFonts w:ascii="Arial" w:cs="Arial" w:eastAsia="Arial" w:hAnsi="Arial"/>
                <w:sz w:val="13"/>
                <w:szCs w:val="13"/>
                <w:b w:val="1"/>
                <w:bCs w:val="1"/>
                <w:color w:val="auto"/>
                <w:w w:val="95"/>
              </w:rPr>
              <w:t>Peter Handrinos</w:t>
            </w:r>
          </w:p>
        </w:tc>
      </w:tr>
      <w:tr>
        <w:trPr>
          <w:trHeight w:val="149"/>
        </w:trPr>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Shearman &amp; Sterling LLP</w:t>
            </w:r>
          </w:p>
        </w:tc>
        <w:tc>
          <w:tcPr>
            <w:tcW w:w="2700" w:type="dxa"/>
            <w:vAlign w:val="bottom"/>
            <w:gridSpan w:val="2"/>
          </w:tcPr>
          <w:p>
            <w:pPr>
              <w:jc w:val="center"/>
              <w:ind w:left="973"/>
              <w:spacing w:after="0"/>
              <w:rPr>
                <w:sz w:val="20"/>
                <w:szCs w:val="20"/>
                <w:color w:val="auto"/>
              </w:rPr>
            </w:pPr>
            <w:r>
              <w:rPr>
                <w:rFonts w:ascii="Arial" w:cs="Arial" w:eastAsia="Arial" w:hAnsi="Arial"/>
                <w:sz w:val="13"/>
                <w:szCs w:val="13"/>
                <w:b w:val="1"/>
                <w:bCs w:val="1"/>
                <w:color w:val="auto"/>
                <w:w w:val="97"/>
              </w:rPr>
              <w:t>Nathan Ajiashvili</w:t>
            </w:r>
          </w:p>
        </w:tc>
      </w:tr>
      <w:tr>
        <w:trPr>
          <w:trHeight w:val="148"/>
        </w:trPr>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599 Lexington Avenue</w:t>
            </w:r>
          </w:p>
        </w:tc>
        <w:tc>
          <w:tcPr>
            <w:tcW w:w="2700" w:type="dxa"/>
            <w:vAlign w:val="bottom"/>
            <w:gridSpan w:val="2"/>
          </w:tcPr>
          <w:p>
            <w:pPr>
              <w:jc w:val="center"/>
              <w:ind w:left="973"/>
              <w:spacing w:after="0"/>
              <w:rPr>
                <w:sz w:val="20"/>
                <w:szCs w:val="20"/>
                <w:color w:val="auto"/>
              </w:rPr>
            </w:pPr>
            <w:r>
              <w:rPr>
                <w:rFonts w:ascii="Arial" w:cs="Arial" w:eastAsia="Arial" w:hAnsi="Arial"/>
                <w:sz w:val="13"/>
                <w:szCs w:val="13"/>
                <w:b w:val="1"/>
                <w:bCs w:val="1"/>
                <w:color w:val="auto"/>
              </w:rPr>
              <w:t>Latham &amp; Watkins LLP</w:t>
            </w:r>
          </w:p>
        </w:tc>
      </w:tr>
      <w:tr>
        <w:trPr>
          <w:trHeight w:val="149"/>
        </w:trPr>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New York, NY 10022</w:t>
            </w:r>
          </w:p>
        </w:tc>
        <w:tc>
          <w:tcPr>
            <w:tcW w:w="2700" w:type="dxa"/>
            <w:vAlign w:val="bottom"/>
            <w:gridSpan w:val="2"/>
          </w:tcPr>
          <w:p>
            <w:pPr>
              <w:jc w:val="center"/>
              <w:ind w:left="973"/>
              <w:spacing w:after="0"/>
              <w:rPr>
                <w:sz w:val="20"/>
                <w:szCs w:val="20"/>
                <w:color w:val="auto"/>
              </w:rPr>
            </w:pPr>
            <w:r>
              <w:rPr>
                <w:rFonts w:ascii="Arial" w:cs="Arial" w:eastAsia="Arial" w:hAnsi="Arial"/>
                <w:sz w:val="13"/>
                <w:szCs w:val="13"/>
                <w:b w:val="1"/>
                <w:bCs w:val="1"/>
                <w:color w:val="auto"/>
                <w:w w:val="93"/>
              </w:rPr>
              <w:t>200 Clarendon Street</w:t>
            </w:r>
          </w:p>
        </w:tc>
      </w:tr>
      <w:tr>
        <w:trPr>
          <w:trHeight w:val="149"/>
        </w:trPr>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Telephone: (212) 848-4000</w:t>
            </w:r>
          </w:p>
        </w:tc>
        <w:tc>
          <w:tcPr>
            <w:tcW w:w="2700" w:type="dxa"/>
            <w:vAlign w:val="bottom"/>
            <w:gridSpan w:val="2"/>
          </w:tcPr>
          <w:p>
            <w:pPr>
              <w:jc w:val="center"/>
              <w:ind w:left="973"/>
              <w:spacing w:after="0"/>
              <w:rPr>
                <w:sz w:val="20"/>
                <w:szCs w:val="20"/>
                <w:color w:val="auto"/>
              </w:rPr>
            </w:pPr>
            <w:r>
              <w:rPr>
                <w:rFonts w:ascii="Arial" w:cs="Arial" w:eastAsia="Arial" w:hAnsi="Arial"/>
                <w:sz w:val="13"/>
                <w:szCs w:val="13"/>
                <w:b w:val="1"/>
                <w:bCs w:val="1"/>
                <w:color w:val="auto"/>
                <w:w w:val="89"/>
              </w:rPr>
              <w:t>Boston, Massachusetts 02116</w:t>
            </w:r>
          </w:p>
        </w:tc>
      </w:tr>
      <w:tr>
        <w:trPr>
          <w:trHeight w:val="174"/>
        </w:trPr>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gridSpan w:val="2"/>
          </w:tcPr>
          <w:p>
            <w:pPr>
              <w:jc w:val="center"/>
              <w:ind w:left="973"/>
              <w:spacing w:after="0"/>
              <w:rPr>
                <w:sz w:val="20"/>
                <w:szCs w:val="20"/>
                <w:color w:val="auto"/>
              </w:rPr>
            </w:pPr>
            <w:r>
              <w:rPr>
                <w:rFonts w:ascii="Arial" w:cs="Arial" w:eastAsia="Arial" w:hAnsi="Arial"/>
                <w:sz w:val="13"/>
                <w:szCs w:val="13"/>
                <w:b w:val="1"/>
                <w:bCs w:val="1"/>
                <w:color w:val="auto"/>
                <w:w w:val="92"/>
              </w:rPr>
              <w:t>Telephone: (617) 948-6000</w:t>
            </w:r>
          </w:p>
        </w:tc>
      </w:tr>
      <w:tr>
        <w:trPr>
          <w:trHeight w:val="203"/>
        </w:trPr>
        <w:tc>
          <w:tcPr>
            <w:tcW w:w="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3" w:lineRule="exact"/>
        <w:rPr>
          <w:sz w:val="24"/>
          <w:szCs w:val="24"/>
          <w:color w:val="auto"/>
        </w:rPr>
      </w:pPr>
    </w:p>
    <w:p>
      <w:pPr>
        <w:ind w:left="380"/>
        <w:spacing w:after="0"/>
        <w:tabs>
          <w:tab w:leader="none" w:pos="104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40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40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190" w:lineRule="exact"/>
        <w:rPr>
          <w:sz w:val="24"/>
          <w:szCs w:val="24"/>
          <w:color w:val="auto"/>
        </w:rPr>
      </w:pPr>
    </w:p>
    <w:p>
      <w:pPr>
        <w:ind w:left="8320"/>
        <w:spacing w:after="0" w:line="150" w:lineRule="exact"/>
        <w:tabs>
          <w:tab w:leader="none" w:pos="998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ectPr>
          <w:pgSz w:w="11900" w:h="16838" w:orient="portrait"/>
          <w:cols w:equalWidth="0" w:num="1">
            <w:col w:w="11180"/>
          </w:cols>
          <w:pgMar w:left="320" w:top="685" w:right="399" w:bottom="0" w:gutter="0" w:footer="0" w:header="0"/>
        </w:sectPr>
      </w:pPr>
    </w:p>
    <w:bookmarkStart w:id="1" w:name="page2"/>
    <w:bookmarkEnd w:id="1"/>
    <w:p>
      <w:pPr>
        <w:ind w:right="100" w:firstLine="371"/>
        <w:spacing w:after="0" w:line="274"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115570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20" w:type="dxa"/>
            <w:vAlign w:val="bottom"/>
          </w:tcPr>
          <w:p>
            <w:pPr>
              <w:ind w:left="1920"/>
              <w:spacing w:after="0"/>
              <w:rPr>
                <w:sz w:val="20"/>
                <w:szCs w:val="20"/>
                <w:color w:val="auto"/>
              </w:rPr>
            </w:pPr>
            <w:r>
              <w:rPr>
                <w:rFonts w:ascii="Arial" w:cs="Arial" w:eastAsia="Arial" w:hAnsi="Arial"/>
                <w:sz w:val="13"/>
                <w:szCs w:val="13"/>
                <w:b w:val="1"/>
                <w:bCs w:val="1"/>
                <w:color w:val="auto"/>
              </w:rPr>
              <w:t>CALCULATION OF REGISTRATION FEE</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446"/>
        </w:trPr>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6"/>
        </w:trPr>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40" w:type="dxa"/>
            <w:vAlign w:val="bottom"/>
          </w:tcPr>
          <w:p>
            <w:pPr>
              <w:jc w:val="center"/>
              <w:ind w:left="13"/>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1"/>
        </w:trPr>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20" w:type="dxa"/>
            <w:vAlign w:val="bottom"/>
          </w:tcPr>
          <w:p>
            <w:pPr>
              <w:jc w:val="center"/>
              <w:ind w:right="1013"/>
              <w:spacing w:after="0"/>
              <w:rPr>
                <w:sz w:val="20"/>
                <w:szCs w:val="20"/>
                <w:color w:val="auto"/>
              </w:rPr>
            </w:pPr>
            <w:r>
              <w:rPr>
                <w:rFonts w:ascii="Arial" w:cs="Arial" w:eastAsia="Arial" w:hAnsi="Arial"/>
                <w:sz w:val="13"/>
                <w:szCs w:val="13"/>
                <w:b w:val="1"/>
                <w:bCs w:val="1"/>
                <w:color w:val="auto"/>
                <w:w w:val="90"/>
              </w:rPr>
              <w:t>Title of each class of securities</w:t>
            </w:r>
          </w:p>
        </w:tc>
        <w:tc>
          <w:tcPr>
            <w:tcW w:w="1240" w:type="dxa"/>
            <w:vAlign w:val="bottom"/>
          </w:tcPr>
          <w:p>
            <w:pPr>
              <w:jc w:val="center"/>
              <w:ind w:left="13"/>
              <w:spacing w:after="0"/>
              <w:rPr>
                <w:sz w:val="20"/>
                <w:szCs w:val="20"/>
                <w:color w:val="auto"/>
              </w:rPr>
            </w:pPr>
            <w:r>
              <w:rPr>
                <w:rFonts w:ascii="Arial" w:cs="Arial" w:eastAsia="Arial" w:hAnsi="Arial"/>
                <w:sz w:val="13"/>
                <w:szCs w:val="13"/>
                <w:b w:val="1"/>
                <w:bCs w:val="1"/>
                <w:color w:val="auto"/>
                <w:w w:val="91"/>
              </w:rPr>
              <w:t>aggregate offering</w:t>
            </w:r>
          </w:p>
        </w:tc>
        <w:tc>
          <w:tcPr>
            <w:tcW w:w="2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Amount of</w:t>
            </w:r>
          </w:p>
        </w:tc>
        <w:tc>
          <w:tcPr>
            <w:tcW w:w="740" w:type="dxa"/>
            <w:vAlign w:val="bottom"/>
          </w:tcPr>
          <w:p>
            <w:pPr>
              <w:spacing w:after="0"/>
              <w:rPr>
                <w:sz w:val="14"/>
                <w:szCs w:val="14"/>
                <w:color w:val="auto"/>
              </w:rPr>
            </w:pPr>
          </w:p>
        </w:tc>
      </w:tr>
      <w:tr>
        <w:trPr>
          <w:trHeight w:val="203"/>
        </w:trPr>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20" w:type="dxa"/>
            <w:vAlign w:val="bottom"/>
          </w:tcPr>
          <w:p>
            <w:pPr>
              <w:jc w:val="center"/>
              <w:ind w:right="1033"/>
              <w:spacing w:after="0"/>
              <w:rPr>
                <w:sz w:val="20"/>
                <w:szCs w:val="20"/>
                <w:color w:val="auto"/>
              </w:rPr>
            </w:pPr>
            <w:r>
              <w:rPr>
                <w:rFonts w:ascii="Arial" w:cs="Arial" w:eastAsia="Arial" w:hAnsi="Arial"/>
                <w:sz w:val="13"/>
                <w:szCs w:val="13"/>
                <w:b w:val="1"/>
                <w:bCs w:val="1"/>
                <w:color w:val="auto"/>
                <w:w w:val="90"/>
              </w:rPr>
              <w:t>to be registered</w:t>
            </w:r>
          </w:p>
        </w:tc>
        <w:tc>
          <w:tcPr>
            <w:tcW w:w="1240" w:type="dxa"/>
            <w:vAlign w:val="bottom"/>
          </w:tcPr>
          <w:p>
            <w:pPr>
              <w:jc w:val="center"/>
              <w:ind w:left="33"/>
              <w:spacing w:after="0" w:line="203" w:lineRule="exact"/>
              <w:rPr>
                <w:sz w:val="20"/>
                <w:szCs w:val="20"/>
                <w:color w:val="auto"/>
              </w:rPr>
            </w:pPr>
            <w:r>
              <w:rPr>
                <w:rFonts w:ascii="Arial" w:cs="Arial" w:eastAsia="Arial" w:hAnsi="Arial"/>
                <w:sz w:val="13"/>
                <w:szCs w:val="13"/>
                <w:b w:val="1"/>
                <w:bCs w:val="1"/>
                <w:color w:val="auto"/>
                <w:w w:val="85"/>
              </w:rPr>
              <w:t>price</w:t>
            </w:r>
            <w:r>
              <w:rPr>
                <w:rFonts w:ascii="Arial" w:cs="Arial" w:eastAsia="Arial" w:hAnsi="Arial"/>
                <w:sz w:val="22"/>
                <w:szCs w:val="22"/>
                <w:b w:val="1"/>
                <w:bCs w:val="1"/>
                <w:color w:val="auto"/>
                <w:w w:val="85"/>
                <w:vertAlign w:val="superscript"/>
              </w:rPr>
              <w:t>(1)</w:t>
            </w:r>
          </w:p>
        </w:tc>
        <w:tc>
          <w:tcPr>
            <w:tcW w:w="220" w:type="dxa"/>
            <w:vAlign w:val="bottom"/>
          </w:tcPr>
          <w:p>
            <w:pPr>
              <w:spacing w:after="0"/>
              <w:rPr>
                <w:sz w:val="17"/>
                <w:szCs w:val="17"/>
                <w:color w:val="auto"/>
              </w:rPr>
            </w:pPr>
          </w:p>
        </w:tc>
        <w:tc>
          <w:tcPr>
            <w:tcW w:w="1560" w:type="dxa"/>
            <w:vAlign w:val="bottom"/>
            <w:gridSpan w:val="2"/>
          </w:tcPr>
          <w:p>
            <w:pPr>
              <w:jc w:val="center"/>
              <w:ind w:right="240"/>
              <w:spacing w:after="0" w:line="203" w:lineRule="exact"/>
              <w:rPr>
                <w:sz w:val="20"/>
                <w:szCs w:val="20"/>
                <w:color w:val="auto"/>
              </w:rPr>
            </w:pPr>
            <w:r>
              <w:rPr>
                <w:rFonts w:ascii="Arial" w:cs="Arial" w:eastAsia="Arial" w:hAnsi="Arial"/>
                <w:sz w:val="13"/>
                <w:szCs w:val="13"/>
                <w:b w:val="1"/>
                <w:bCs w:val="1"/>
                <w:color w:val="auto"/>
                <w:w w:val="89"/>
              </w:rPr>
              <w:t>registration fee</w:t>
            </w:r>
            <w:r>
              <w:rPr>
                <w:rFonts w:ascii="Arial" w:cs="Arial" w:eastAsia="Arial" w:hAnsi="Arial"/>
                <w:sz w:val="22"/>
                <w:szCs w:val="22"/>
                <w:b w:val="1"/>
                <w:bCs w:val="1"/>
                <w:color w:val="auto"/>
                <w:w w:val="89"/>
                <w:vertAlign w:val="superscript"/>
              </w:rPr>
              <w:t>(2)</w:t>
            </w:r>
          </w:p>
        </w:tc>
        <w:tc>
          <w:tcPr>
            <w:tcW w:w="74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60" w:type="dxa"/>
            <w:vAlign w:val="bottom"/>
            <w:tcBorders>
              <w:top w:val="single" w:sz="8" w:color="auto"/>
              <w:bottom w:val="single" w:sz="8" w:color="auto"/>
            </w:tcBorders>
            <w:gridSpan w:val="2"/>
          </w:tcPr>
          <w:p>
            <w:pPr>
              <w:spacing w:after="0" w:line="195" w:lineRule="exact"/>
              <w:rPr>
                <w:sz w:val="20"/>
                <w:szCs w:val="20"/>
                <w:color w:val="auto"/>
              </w:rPr>
            </w:pPr>
            <w:r>
              <w:rPr>
                <w:rFonts w:ascii="Arial" w:cs="Arial" w:eastAsia="Arial" w:hAnsi="Arial"/>
                <w:sz w:val="13"/>
                <w:szCs w:val="13"/>
                <w:color w:val="auto"/>
              </w:rPr>
              <w:t>Ordinary shares, DKK 1 nominal value per share</w:t>
            </w:r>
            <w:r>
              <w:rPr>
                <w:rFonts w:ascii="Arial" w:cs="Arial" w:eastAsia="Arial" w:hAnsi="Arial"/>
                <w:sz w:val="22"/>
                <w:szCs w:val="22"/>
                <w:color w:val="auto"/>
                <w:vertAlign w:val="superscript"/>
              </w:rPr>
              <w:t>(3)</w:t>
            </w:r>
          </w:p>
        </w:tc>
        <w:tc>
          <w:tcPr>
            <w:tcW w:w="12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340" w:type="dxa"/>
            <w:vAlign w:val="bottom"/>
            <w:tcBorders>
              <w:bottom w:val="single" w:sz="8" w:color="auto"/>
            </w:tcBorders>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21"/>
        </w:trPr>
        <w:tc>
          <w:tcPr>
            <w:tcW w:w="360" w:type="dxa"/>
            <w:vAlign w:val="bottom"/>
          </w:tcPr>
          <w:p>
            <w:pPr>
              <w:jc w:val="right"/>
              <w:ind w:right="133"/>
              <w:spacing w:after="0"/>
              <w:rPr>
                <w:sz w:val="20"/>
                <w:szCs w:val="20"/>
                <w:color w:val="auto"/>
              </w:rPr>
            </w:pPr>
            <w:r>
              <w:rPr>
                <w:rFonts w:ascii="Arial" w:cs="Arial" w:eastAsia="Arial" w:hAnsi="Arial"/>
                <w:sz w:val="13"/>
                <w:szCs w:val="13"/>
                <w:color w:val="auto"/>
                <w:w w:val="87"/>
              </w:rPr>
              <w:t>(1)</w:t>
            </w:r>
          </w:p>
        </w:tc>
        <w:tc>
          <w:tcPr>
            <w:tcW w:w="9680" w:type="dxa"/>
            <w:vAlign w:val="bottom"/>
            <w:gridSpan w:val="7"/>
          </w:tcPr>
          <w:p>
            <w:pPr>
              <w:ind w:left="180"/>
              <w:spacing w:after="0"/>
              <w:rPr>
                <w:sz w:val="20"/>
                <w:szCs w:val="20"/>
                <w:color w:val="auto"/>
              </w:rPr>
            </w:pPr>
            <w:r>
              <w:rPr>
                <w:rFonts w:ascii="Arial" w:cs="Arial" w:eastAsia="Arial" w:hAnsi="Arial"/>
                <w:sz w:val="13"/>
                <w:szCs w:val="13"/>
                <w:color w:val="auto"/>
                <w:w w:val="96"/>
              </w:rPr>
              <w:t>Estimated solely for the purpose of calculating the amount of the registration fee in accordance with Rule 457(o) under the Securities Act of 1933, as amended. Includes the</w:t>
            </w:r>
          </w:p>
        </w:tc>
        <w:tc>
          <w:tcPr>
            <w:tcW w:w="740" w:type="dxa"/>
            <w:vAlign w:val="bottom"/>
          </w:tcPr>
          <w:p>
            <w:pPr>
              <w:ind w:left="200"/>
              <w:spacing w:after="0"/>
              <w:rPr>
                <w:sz w:val="20"/>
                <w:szCs w:val="20"/>
                <w:color w:val="auto"/>
              </w:rPr>
            </w:pPr>
            <w:r>
              <w:rPr>
                <w:rFonts w:ascii="Arial" w:cs="Arial" w:eastAsia="Arial" w:hAnsi="Arial"/>
                <w:sz w:val="13"/>
                <w:szCs w:val="13"/>
                <w:color w:val="auto"/>
                <w:w w:val="93"/>
              </w:rPr>
              <w:t>additional</w:t>
            </w:r>
          </w:p>
        </w:tc>
      </w:tr>
      <w:tr>
        <w:trPr>
          <w:trHeight w:val="147"/>
        </w:trPr>
        <w:tc>
          <w:tcPr>
            <w:tcW w:w="360" w:type="dxa"/>
            <w:vAlign w:val="bottom"/>
          </w:tcPr>
          <w:p>
            <w:pPr>
              <w:spacing w:after="0"/>
              <w:rPr>
                <w:sz w:val="12"/>
                <w:szCs w:val="12"/>
                <w:color w:val="auto"/>
              </w:rPr>
            </w:pPr>
          </w:p>
        </w:tc>
        <w:tc>
          <w:tcPr>
            <w:tcW w:w="2040" w:type="dxa"/>
            <w:vAlign w:val="bottom"/>
            <w:gridSpan w:val="2"/>
          </w:tcPr>
          <w:p>
            <w:pPr>
              <w:ind w:left="180"/>
              <w:spacing w:after="0" w:line="147" w:lineRule="exact"/>
              <w:rPr>
                <w:sz w:val="20"/>
                <w:szCs w:val="20"/>
                <w:color w:val="auto"/>
              </w:rPr>
            </w:pPr>
            <w:r>
              <w:rPr>
                <w:rFonts w:ascii="Arial" w:cs="Arial" w:eastAsia="Arial" w:hAnsi="Arial"/>
                <w:sz w:val="13"/>
                <w:szCs w:val="13"/>
                <w:color w:val="auto"/>
              </w:rPr>
              <w:t>ordinary shares represented by</w:t>
            </w:r>
          </w:p>
        </w:tc>
        <w:tc>
          <w:tcPr>
            <w:tcW w:w="5860" w:type="dxa"/>
            <w:vAlign w:val="bottom"/>
            <w:gridSpan w:val="2"/>
          </w:tcPr>
          <w:p>
            <w:pPr>
              <w:ind w:left="200"/>
              <w:spacing w:after="0" w:line="147" w:lineRule="exact"/>
              <w:rPr>
                <w:sz w:val="20"/>
                <w:szCs w:val="20"/>
                <w:color w:val="auto"/>
              </w:rPr>
            </w:pPr>
            <w:r>
              <w:rPr>
                <w:rFonts w:ascii="Arial" w:cs="Arial" w:eastAsia="Arial" w:hAnsi="Arial"/>
                <w:sz w:val="13"/>
                <w:szCs w:val="13"/>
                <w:color w:val="auto"/>
              </w:rPr>
              <w:t>American Depositary Shares, or ADSs, that the underwriters have the option to purchase.</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ind w:left="540" w:hanging="532"/>
        <w:spacing w:after="0" w:line="216"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w:t>
      </w:r>
    </w:p>
    <w:p>
      <w:pPr>
        <w:spacing w:after="0"/>
        <w:tabs>
          <w:tab w:leader="none" w:pos="520" w:val="left"/>
          <w:tab w:leader="none" w:pos="994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3"/>
          <w:szCs w:val="13"/>
          <w:color w:val="auto"/>
        </w:rPr>
        <w:t>ADSs issuable upon deposit of the ordinary shares registered hereby will be registered pursuant to a separate registration statement on Form F-6. Each ADS represents</w:t>
      </w:r>
      <w:r>
        <w:rPr>
          <w:sz w:val="20"/>
          <w:szCs w:val="20"/>
          <w:color w:val="auto"/>
        </w:rPr>
        <w:tab/>
      </w:r>
      <w:r>
        <w:rPr>
          <w:rFonts w:ascii="Arial" w:cs="Arial" w:eastAsia="Arial" w:hAnsi="Arial"/>
          <w:sz w:val="12"/>
          <w:szCs w:val="12"/>
          <w:color w:val="auto"/>
        </w:rPr>
        <w:t>of one ordinary share.</w:t>
      </w:r>
    </w:p>
    <w:p>
      <w:pPr>
        <w:spacing w:after="0" w:line="201" w:lineRule="exact"/>
        <w:rPr>
          <w:sz w:val="20"/>
          <w:szCs w:val="20"/>
          <w:color w:val="auto"/>
        </w:rPr>
      </w:pPr>
    </w:p>
    <w:p>
      <w:pPr>
        <w:ind w:right="80" w:firstLine="3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29"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EF50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2600" w:type="dxa"/>
            <w:vAlign w:val="bottom"/>
          </w:tcPr>
          <w:p>
            <w:pPr>
              <w:ind w:left="760"/>
              <w:spacing w:after="0"/>
              <w:rPr>
                <w:sz w:val="20"/>
                <w:szCs w:val="20"/>
                <w:color w:val="auto"/>
              </w:rPr>
            </w:pPr>
            <w:r>
              <w:rPr>
                <w:rFonts w:ascii="Arial" w:cs="Arial" w:eastAsia="Arial" w:hAnsi="Arial"/>
                <w:sz w:val="18"/>
                <w:szCs w:val="18"/>
                <w:b w:val="1"/>
                <w:bCs w:val="1"/>
                <w:color w:val="EF505F"/>
                <w:w w:val="95"/>
              </w:rPr>
              <w:t>Subject to Completion</w:t>
            </w:r>
          </w:p>
        </w:tc>
        <w:tc>
          <w:tcPr>
            <w:tcW w:w="600" w:type="dxa"/>
            <w:vAlign w:val="bottom"/>
          </w:tcPr>
          <w:p>
            <w:pPr>
              <w:spacing w:after="0"/>
              <w:rPr>
                <w:sz w:val="18"/>
                <w:szCs w:val="18"/>
                <w:color w:val="auto"/>
              </w:rPr>
            </w:pPr>
          </w:p>
        </w:tc>
      </w:t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EF505F"/>
              </w:rPr>
              <w:t>Preliminary Prospectus dated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EF505F"/>
              </w:rPr>
              <w:t>, 2019</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 R O S P E C T U 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160020</wp:posOffset>
            </wp:positionV>
            <wp:extent cx="192849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225" w:lineRule="exact"/>
        <w:rPr>
          <w:sz w:val="20"/>
          <w:szCs w:val="20"/>
          <w:color w:val="auto"/>
        </w:rPr>
      </w:pPr>
    </w:p>
    <w:p>
      <w:pPr>
        <w:ind w:left="3580"/>
        <w:spacing w:after="0"/>
        <w:tabs>
          <w:tab w:leader="none" w:pos="5900" w:val="left"/>
        </w:tabs>
        <w:rPr>
          <w:sz w:val="20"/>
          <w:szCs w:val="20"/>
          <w:color w:val="auto"/>
        </w:rPr>
      </w:pPr>
      <w:r>
        <w:rPr>
          <w:rFonts w:ascii="Arial" w:cs="Arial" w:eastAsia="Arial" w:hAnsi="Arial"/>
          <w:sz w:val="24"/>
          <w:szCs w:val="24"/>
          <w:b w:val="1"/>
          <w:bCs w:val="1"/>
          <w:color w:val="auto"/>
        </w:rPr>
        <w:t>Representing</w:t>
      </w:r>
      <w:r>
        <w:rPr>
          <w:sz w:val="20"/>
          <w:szCs w:val="20"/>
          <w:color w:val="auto"/>
        </w:rPr>
        <w:tab/>
      </w: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tabs>
          <w:tab w:leader="none" w:pos="8520" w:val="left"/>
          <w:tab w:leader="none" w:pos="10640" w:val="left"/>
        </w:tabs>
        <w:rPr>
          <w:sz w:val="20"/>
          <w:szCs w:val="20"/>
          <w:color w:val="auto"/>
        </w:rPr>
      </w:pPr>
      <w:r>
        <w:rPr>
          <w:rFonts w:ascii="Arial" w:cs="Arial" w:eastAsia="Arial" w:hAnsi="Arial"/>
          <w:sz w:val="18"/>
          <w:szCs w:val="18"/>
          <w:color w:val="auto"/>
        </w:rPr>
        <w:t>This is the initial public offering of American Depositary Shares, or ADSs, of Genmab A/S. We are selling</w:t>
      </w:r>
      <w:r>
        <w:rPr>
          <w:sz w:val="20"/>
          <w:szCs w:val="20"/>
          <w:color w:val="auto"/>
        </w:rPr>
        <w:tab/>
      </w:r>
      <w:r>
        <w:rPr>
          <w:rFonts w:ascii="Arial" w:cs="Arial" w:eastAsia="Arial" w:hAnsi="Arial"/>
          <w:sz w:val="18"/>
          <w:szCs w:val="18"/>
          <w:color w:val="auto"/>
        </w:rPr>
        <w:t>ADSs, representing</w:t>
      </w:r>
      <w:r>
        <w:rPr>
          <w:sz w:val="20"/>
          <w:szCs w:val="20"/>
          <w:color w:val="auto"/>
        </w:rPr>
        <w:tab/>
      </w:r>
      <w:r>
        <w:rPr>
          <w:rFonts w:ascii="Arial" w:cs="Arial" w:eastAsia="Arial" w:hAnsi="Arial"/>
          <w:sz w:val="16"/>
          <w:szCs w:val="16"/>
          <w:color w:val="auto"/>
        </w:rPr>
        <w:t>of our</w:t>
      </w:r>
    </w:p>
    <w:p>
      <w:pPr>
        <w:spacing w:after="0" w:line="15"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ordinary shares. Each ADS represents the right to receive</w:t>
      </w:r>
      <w:r>
        <w:rPr>
          <w:sz w:val="20"/>
          <w:szCs w:val="20"/>
          <w:color w:val="auto"/>
        </w:rPr>
        <w:tab/>
      </w:r>
      <w:r>
        <w:rPr>
          <w:rFonts w:ascii="Arial" w:cs="Arial" w:eastAsia="Arial" w:hAnsi="Arial"/>
          <w:sz w:val="15"/>
          <w:szCs w:val="15"/>
          <w:color w:val="auto"/>
        </w:rPr>
        <w:t>of one ordinary share. We intend to apply to list our ADSs on the Nasdaq Global Select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under the symbol "GMAB."</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Currently, our ordinary shares are listed on Nasdaq Copenhagen A/S, or Nasdaq Copenhagen, under the symbol "GEN" and our ADSs are traded on the</w:t>
      </w:r>
    </w:p>
    <w:p>
      <w:pPr>
        <w:spacing w:after="0" w:line="38" w:lineRule="exact"/>
        <w:rPr>
          <w:sz w:val="20"/>
          <w:szCs w:val="20"/>
          <w:color w:val="auto"/>
        </w:rPr>
      </w:pPr>
    </w:p>
    <w:p>
      <w:pPr>
        <w:spacing w:after="0"/>
        <w:tabs>
          <w:tab w:leader="none" w:pos="10700" w:val="left"/>
        </w:tabs>
        <w:rPr>
          <w:sz w:val="20"/>
          <w:szCs w:val="20"/>
          <w:color w:val="auto"/>
        </w:rPr>
      </w:pPr>
      <w:r>
        <w:rPr>
          <w:rFonts w:ascii="Arial" w:cs="Arial" w:eastAsia="Arial" w:hAnsi="Arial"/>
          <w:sz w:val="16"/>
          <w:szCs w:val="16"/>
          <w:color w:val="auto"/>
        </w:rPr>
        <w:t>over-the-counter market in the United States under the symbol "GMXAY." The closing price of our ordinary shares on Nasdaq Copenhagen on</w:t>
      </w:r>
      <w:r>
        <w:rPr>
          <w:sz w:val="20"/>
          <w:szCs w:val="20"/>
          <w:color w:val="auto"/>
        </w:rPr>
        <w:tab/>
      </w:r>
      <w:r>
        <w:rPr>
          <w:rFonts w:ascii="Arial" w:cs="Arial" w:eastAsia="Arial" w:hAnsi="Arial"/>
          <w:sz w:val="15"/>
          <w:szCs w:val="15"/>
          <w:color w:val="auto"/>
        </w:rPr>
        <w:t>, 2019</w:t>
      </w:r>
    </w:p>
    <w:p>
      <w:pPr>
        <w:spacing w:after="0" w:line="32" w:lineRule="exact"/>
        <w:rPr>
          <w:sz w:val="20"/>
          <w:szCs w:val="20"/>
          <w:color w:val="auto"/>
        </w:rPr>
      </w:pPr>
    </w:p>
    <w:p>
      <w:pPr>
        <w:spacing w:after="0"/>
        <w:tabs>
          <w:tab w:leader="none" w:pos="1040" w:val="left"/>
          <w:tab w:leader="none" w:pos="4680" w:val="left"/>
          <w:tab w:leader="none" w:pos="8080" w:val="left"/>
          <w:tab w:leader="none" w:pos="9820" w:val="left"/>
        </w:tabs>
        <w:rPr>
          <w:sz w:val="20"/>
          <w:szCs w:val="20"/>
          <w:color w:val="auto"/>
        </w:rPr>
      </w:pPr>
      <w:r>
        <w:rPr>
          <w:rFonts w:ascii="Arial" w:cs="Arial" w:eastAsia="Arial" w:hAnsi="Arial"/>
          <w:sz w:val="18"/>
          <w:szCs w:val="18"/>
          <w:color w:val="auto"/>
        </w:rPr>
        <w:t>was DKK</w:t>
      </w:r>
      <w:r>
        <w:rPr>
          <w:sz w:val="20"/>
          <w:szCs w:val="20"/>
          <w:color w:val="auto"/>
        </w:rPr>
        <w:tab/>
      </w:r>
      <w:r>
        <w:rPr>
          <w:rFonts w:ascii="Arial" w:cs="Arial" w:eastAsia="Arial" w:hAnsi="Arial"/>
          <w:sz w:val="18"/>
          <w:szCs w:val="18"/>
          <w:color w:val="auto"/>
        </w:rPr>
        <w:t>per ordinary share, which equals a price of $</w:t>
      </w:r>
      <w:r>
        <w:rPr>
          <w:sz w:val="20"/>
          <w:szCs w:val="20"/>
          <w:color w:val="auto"/>
        </w:rPr>
        <w:tab/>
      </w:r>
      <w:r>
        <w:rPr>
          <w:rFonts w:ascii="Arial" w:cs="Arial" w:eastAsia="Arial" w:hAnsi="Arial"/>
          <w:sz w:val="18"/>
          <w:szCs w:val="18"/>
          <w:color w:val="auto"/>
        </w:rPr>
        <w:t>per ADS, based on an exchange rate of $</w:t>
      </w:r>
      <w:r>
        <w:rPr>
          <w:sz w:val="20"/>
          <w:szCs w:val="20"/>
          <w:color w:val="auto"/>
        </w:rPr>
        <w:tab/>
      </w:r>
      <w:r>
        <w:rPr>
          <w:rFonts w:ascii="Arial" w:cs="Arial" w:eastAsia="Arial" w:hAnsi="Arial"/>
          <w:sz w:val="18"/>
          <w:szCs w:val="18"/>
          <w:color w:val="auto"/>
        </w:rPr>
        <w:t>per DKK as of</w:t>
      </w:r>
      <w:r>
        <w:rPr>
          <w:sz w:val="20"/>
          <w:szCs w:val="20"/>
          <w:color w:val="auto"/>
        </w:rPr>
        <w:tab/>
      </w:r>
      <w:r>
        <w:rPr>
          <w:rFonts w:ascii="Arial" w:cs="Arial" w:eastAsia="Arial" w:hAnsi="Arial"/>
          <w:sz w:val="15"/>
          <w:szCs w:val="15"/>
          <w:color w:val="auto"/>
        </w:rPr>
        <w:t>, 2019 and an ADS-</w:t>
      </w:r>
    </w:p>
    <w:p>
      <w:pPr>
        <w:spacing w:after="0" w:line="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to-share ratio of</w:t>
      </w:r>
      <w:r>
        <w:rPr>
          <w:sz w:val="20"/>
          <w:szCs w:val="20"/>
          <w:color w:val="auto"/>
        </w:rPr>
        <w:tab/>
      </w:r>
      <w:r>
        <w:rPr>
          <w:rFonts w:ascii="Arial" w:cs="Arial" w:eastAsia="Arial" w:hAnsi="Arial"/>
          <w:sz w:val="15"/>
          <w:szCs w:val="15"/>
          <w:color w:val="auto"/>
        </w:rPr>
        <w:t>to 1.</w:t>
      </w:r>
    </w:p>
    <w:p>
      <w:pPr>
        <w:spacing w:after="0" w:line="219"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 See "Prospectus Summary—Implications of Being an Emerging Growth Company and a Foreign Private Issuer" for additional information.</w:t>
      </w:r>
    </w:p>
    <w:p>
      <w:pPr>
        <w:spacing w:after="0" w:line="175" w:lineRule="exact"/>
        <w:rPr>
          <w:sz w:val="20"/>
          <w:szCs w:val="20"/>
          <w:color w:val="auto"/>
        </w:rPr>
      </w:pPr>
    </w:p>
    <w:p>
      <w:pPr>
        <w:ind w:right="520" w:firstLine="351"/>
        <w:spacing w:after="0" w:line="256" w:lineRule="auto"/>
        <w:rPr>
          <w:sz w:val="20"/>
          <w:szCs w:val="20"/>
          <w:color w:val="auto"/>
        </w:rPr>
      </w:pPr>
      <w:r>
        <w:rPr>
          <w:rFonts w:ascii="Arial" w:cs="Arial" w:eastAsia="Arial" w:hAnsi="Arial"/>
          <w:sz w:val="22"/>
          <w:szCs w:val="22"/>
          <w:b w:val="1"/>
          <w:bCs w:val="1"/>
          <w:color w:val="auto"/>
        </w:rPr>
        <w:t>Investing in the ADSs involves risks that are described in the "Risk Factors" section beginning on page 17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120650</wp:posOffset>
            </wp:positionV>
            <wp:extent cx="1868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Per ADS</w:t>
            </w:r>
          </w:p>
        </w:tc>
        <w:tc>
          <w:tcPr>
            <w:tcW w:w="1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6360" w:type="dxa"/>
            <w:vAlign w:val="bottom"/>
            <w:vMerge w:val="continue"/>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Underwriting commission(1)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We refer you to "Underwriting" for additional information regarding underwriting compensation.</w:t>
      </w:r>
    </w:p>
    <w:p>
      <w:pPr>
        <w:spacing w:after="0" w:line="217" w:lineRule="exact"/>
        <w:rPr>
          <w:sz w:val="20"/>
          <w:szCs w:val="20"/>
          <w:color w:val="auto"/>
        </w:rPr>
      </w:pPr>
    </w:p>
    <w:p>
      <w:pPr>
        <w:ind w:left="360"/>
        <w:spacing w:after="0"/>
        <w:tabs>
          <w:tab w:leader="none" w:pos="640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6"/>
          <w:szCs w:val="16"/>
          <w:color w:val="auto"/>
        </w:rPr>
        <w:t>ADSs from us, at the public offering price, less the underwriting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commission, for 30 days after the date of this prospectus.</w:t>
      </w:r>
    </w:p>
    <w:p>
      <w:pPr>
        <w:spacing w:after="0" w:line="21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None of the Securities and Exchange Commission, any state securities commission, the Danish Financial Supervisory Authority, nor any other foreign securities commission has approved or disapproved of these securities or determined if this prospectus is truthful or complete. Any representation to the contrary is a criminal offense.</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The ADSs will be ready for delivery on or about</w:t>
            </w:r>
          </w:p>
        </w:tc>
        <w:tc>
          <w:tcPr>
            <w:tcW w:w="2940" w:type="dxa"/>
            <w:vAlign w:val="bottom"/>
          </w:tcPr>
          <w:p>
            <w:pPr>
              <w:jc w:val="right"/>
              <w:ind w:right="2072"/>
              <w:spacing w:after="0"/>
              <w:rPr>
                <w:sz w:val="20"/>
                <w:szCs w:val="20"/>
                <w:color w:val="auto"/>
              </w:rPr>
            </w:pPr>
            <w:r>
              <w:rPr>
                <w:rFonts w:ascii="Arial" w:cs="Arial" w:eastAsia="Arial" w:hAnsi="Arial"/>
                <w:sz w:val="18"/>
                <w:szCs w:val="18"/>
                <w:color w:val="auto"/>
              </w:rPr>
              <w:t>, 2019.</w:t>
            </w:r>
          </w:p>
        </w:tc>
      </w:tr>
      <w:tr>
        <w:trPr>
          <w:trHeight w:val="218"/>
        </w:trPr>
        <w:tc>
          <w:tcPr>
            <w:tcW w:w="3800" w:type="dxa"/>
            <w:vAlign w:val="bottom"/>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BofA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161290</wp:posOffset>
            </wp:positionV>
            <wp:extent cx="1868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240"/>
          </w:cols>
          <w:pgMar w:left="320" w:top="131" w:right="339" w:bottom="9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0"/>
        <w:spacing w:after="0"/>
        <w:tabs>
          <w:tab w:leader="none" w:pos="674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923"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780" w:type="dxa"/>
            <w:vAlign w:val="bottom"/>
            <w:gridSpan w:val="18"/>
            <w:vMerge w:val="restart"/>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PRESENTATION OF FINANCIAL INFORMATION</w:t>
              </w:r>
            </w:hyperlink>
          </w:p>
        </w:tc>
        <w:tc>
          <w:tcPr>
            <w:tcW w:w="4600" w:type="dxa"/>
            <w:vAlign w:val="bottom"/>
            <w:gridSpan w:val="9"/>
            <w:vMerge w:val="restart"/>
          </w:tcPr>
          <w:p>
            <w:pPr>
              <w:spacing w:after="0"/>
              <w:rPr>
                <w:sz w:val="24"/>
                <w:szCs w:val="24"/>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0000EE"/>
            </w:tcBorders>
            <w:gridSpan w:val="18"/>
            <w:vMerge w:val="continue"/>
          </w:tcPr>
          <w:p>
            <w:pPr>
              <w:spacing w:after="0"/>
              <w:rPr>
                <w:sz w:val="14"/>
                <w:szCs w:val="14"/>
                <w:color w:val="auto"/>
              </w:rPr>
            </w:pPr>
          </w:p>
        </w:tc>
        <w:tc>
          <w:tcPr>
            <w:tcW w:w="4600" w:type="dxa"/>
            <w:vAlign w:val="bottom"/>
            <w:gridSpan w:val="9"/>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0000EE"/>
            </w:tcBorders>
          </w:tcPr>
          <w:p>
            <w:pPr>
              <w:spacing w:after="0"/>
              <w:rPr>
                <w:rFonts w:ascii="Arial" w:cs="Arial" w:eastAsia="Arial" w:hAnsi="Arial"/>
                <w:sz w:val="12"/>
                <w:szCs w:val="12"/>
                <w:color w:val="0000EE"/>
                <w:w w:val="74"/>
              </w:rPr>
            </w:pPr>
            <w:hyperlink w:anchor="page6">
              <w:r>
                <w:rPr>
                  <w:rFonts w:ascii="Arial" w:cs="Arial" w:eastAsia="Arial" w:hAnsi="Arial"/>
                  <w:sz w:val="12"/>
                  <w:szCs w:val="12"/>
                  <w:color w:val="0000EE"/>
                  <w:w w:val="74"/>
                </w:rPr>
                <w:t>iii</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PRESENTATION OF SHARE INFORMATION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gridSpan w:val="2"/>
          </w:tcPr>
          <w:p>
            <w:pPr>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iii</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4980" w:type="dxa"/>
            <w:vAlign w:val="bottom"/>
            <w:gridSpan w:val="11"/>
          </w:tcPr>
          <w:p>
            <w:pPr>
              <w:spacing w:after="0"/>
              <w:rPr>
                <w:sz w:val="17"/>
                <w:szCs w:val="17"/>
                <w:color w:val="auto"/>
              </w:rPr>
            </w:pPr>
          </w:p>
        </w:tc>
        <w:tc>
          <w:tcPr>
            <w:tcW w:w="34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RISK FACTORS</w:t>
              </w:r>
            </w:hyperlink>
          </w:p>
        </w:tc>
        <w:tc>
          <w:tcPr>
            <w:tcW w:w="800" w:type="dxa"/>
            <w:vAlign w:val="bottom"/>
            <w:gridSpan w:val="6"/>
          </w:tcPr>
          <w:p>
            <w:pPr>
              <w:spacing w:after="0"/>
              <w:rPr>
                <w:sz w:val="17"/>
                <w:szCs w:val="17"/>
                <w:color w:val="auto"/>
              </w:rPr>
            </w:pPr>
          </w:p>
        </w:tc>
        <w:tc>
          <w:tcPr>
            <w:tcW w:w="6360" w:type="dxa"/>
            <w:vAlign w:val="bottom"/>
            <w:gridSpan w:val="17"/>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2"/>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SPECIAL NOTE REGARDING FORWARD-LOOKING STATEMENTS</w:t>
              </w:r>
            </w:hyperlink>
          </w:p>
        </w:tc>
        <w:tc>
          <w:tcPr>
            <w:tcW w:w="3180" w:type="dxa"/>
            <w:vAlign w:val="bottom"/>
            <w:gridSpan w:val="5"/>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gridSpan w:val="15"/>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MARKET, INDUSTRY AND OTHER DATA</w:t>
              </w:r>
            </w:hyperlink>
          </w:p>
        </w:tc>
        <w:tc>
          <w:tcPr>
            <w:tcW w:w="1960" w:type="dxa"/>
            <w:vAlign w:val="bottom"/>
            <w:gridSpan w:val="7"/>
          </w:tcPr>
          <w:p>
            <w:pPr>
              <w:spacing w:after="0"/>
              <w:rPr>
                <w:sz w:val="17"/>
                <w:szCs w:val="17"/>
                <w:color w:val="auto"/>
              </w:rPr>
            </w:pPr>
          </w:p>
        </w:tc>
        <w:tc>
          <w:tcPr>
            <w:tcW w:w="3180" w:type="dxa"/>
            <w:vAlign w:val="bottom"/>
            <w:gridSpan w:val="5"/>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gridSpan w:val="9"/>
          </w:tcPr>
          <w:p>
            <w:pPr>
              <w:spacing w:after="0" w:line="196" w:lineRule="exact"/>
              <w:rPr>
                <w:rFonts w:ascii="Arial" w:cs="Arial" w:eastAsia="Arial" w:hAnsi="Arial"/>
                <w:sz w:val="18"/>
                <w:szCs w:val="18"/>
                <w:color w:val="0000EE"/>
                <w:w w:val="86"/>
              </w:rPr>
            </w:pPr>
            <w:hyperlink w:anchor="page76">
              <w:r>
                <w:rPr>
                  <w:rFonts w:ascii="Arial" w:cs="Arial" w:eastAsia="Arial" w:hAnsi="Arial"/>
                  <w:sz w:val="18"/>
                  <w:szCs w:val="18"/>
                  <w:color w:val="0000EE"/>
                  <w:w w:val="86"/>
                </w:rPr>
                <w:t>USE OF PROCEEDS</w:t>
              </w:r>
            </w:hyperlink>
          </w:p>
        </w:tc>
        <w:tc>
          <w:tcPr>
            <w:tcW w:w="1700" w:type="dxa"/>
            <w:vAlign w:val="bottom"/>
            <w:gridSpan w:val="6"/>
          </w:tcPr>
          <w:p>
            <w:pPr>
              <w:spacing w:after="0"/>
              <w:rPr>
                <w:sz w:val="17"/>
                <w:szCs w:val="17"/>
                <w:color w:val="auto"/>
              </w:rPr>
            </w:pPr>
          </w:p>
        </w:tc>
        <w:tc>
          <w:tcPr>
            <w:tcW w:w="5140" w:type="dxa"/>
            <w:vAlign w:val="bottom"/>
            <w:gridSpan w:val="12"/>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gridSpan w:val="9"/>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DIVIDEND POLICY</w:t>
              </w:r>
            </w:hyperlink>
          </w:p>
        </w:tc>
        <w:tc>
          <w:tcPr>
            <w:tcW w:w="6840" w:type="dxa"/>
            <w:vAlign w:val="bottom"/>
            <w:gridSpan w:val="18"/>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gridSpan w:val="8"/>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CAPITALIZATION</w:t>
              </w:r>
            </w:hyperlink>
          </w:p>
        </w:tc>
        <w:tc>
          <w:tcPr>
            <w:tcW w:w="100" w:type="dxa"/>
            <w:vAlign w:val="bottom"/>
          </w:tcPr>
          <w:p>
            <w:pPr>
              <w:spacing w:after="0"/>
              <w:rPr>
                <w:sz w:val="17"/>
                <w:szCs w:val="17"/>
                <w:color w:val="auto"/>
              </w:rPr>
            </w:pPr>
          </w:p>
        </w:tc>
        <w:tc>
          <w:tcPr>
            <w:tcW w:w="6840" w:type="dxa"/>
            <w:vAlign w:val="bottom"/>
            <w:gridSpan w:val="18"/>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DILUTION</w:t>
              </w:r>
            </w:hyperlink>
          </w:p>
        </w:tc>
        <w:tc>
          <w:tcPr>
            <w:tcW w:w="620" w:type="dxa"/>
            <w:vAlign w:val="bottom"/>
            <w:gridSpan w:val="5"/>
          </w:tcPr>
          <w:p>
            <w:pPr>
              <w:spacing w:after="0"/>
              <w:rPr>
                <w:sz w:val="17"/>
                <w:szCs w:val="17"/>
                <w:color w:val="auto"/>
              </w:rPr>
            </w:pPr>
          </w:p>
        </w:tc>
        <w:tc>
          <w:tcPr>
            <w:tcW w:w="6940" w:type="dxa"/>
            <w:vAlign w:val="bottom"/>
            <w:gridSpan w:val="19"/>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SELECTED CONSOLIDATED FINANCIAL DATA</w:t>
              </w:r>
            </w:hyperlink>
          </w:p>
        </w:tc>
        <w:tc>
          <w:tcPr>
            <w:tcW w:w="4640" w:type="dxa"/>
            <w:vAlign w:val="bottom"/>
            <w:gridSpan w:val="10"/>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 AND RESULTS OF</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OPERATIONS</w:t>
              </w:r>
            </w:hyperlink>
          </w:p>
        </w:tc>
        <w:tc>
          <w:tcPr>
            <w:tcW w:w="840" w:type="dxa"/>
            <w:vAlign w:val="bottom"/>
          </w:tcPr>
          <w:p>
            <w:pPr>
              <w:spacing w:after="0"/>
              <w:rPr>
                <w:sz w:val="17"/>
                <w:szCs w:val="17"/>
                <w:color w:val="auto"/>
              </w:rPr>
            </w:pPr>
          </w:p>
        </w:tc>
        <w:tc>
          <w:tcPr>
            <w:tcW w:w="440" w:type="dxa"/>
            <w:vAlign w:val="bottom"/>
            <w:gridSpan w:val="4"/>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BUSINESS</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MANAGEMENT</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176</w:t>
              </w:r>
            </w:hyperlink>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97">
              <w:r>
                <w:rPr>
                  <w:rFonts w:ascii="Arial" w:cs="Arial" w:eastAsia="Arial" w:hAnsi="Arial"/>
                  <w:sz w:val="18"/>
                  <w:szCs w:val="18"/>
                  <w:color w:val="0000EE"/>
                  <w:w w:val="93"/>
                </w:rPr>
                <w:t>CERTAIN RELATIONSHIPS AND RELATED PARTY TRANSACTIONS</w:t>
              </w:r>
            </w:hyperlink>
          </w:p>
        </w:tc>
        <w:tc>
          <w:tcPr>
            <w:tcW w:w="30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97">
              <w:r>
                <w:rPr>
                  <w:rFonts w:ascii="Arial" w:cs="Arial" w:eastAsia="Arial" w:hAnsi="Arial"/>
                  <w:sz w:val="18"/>
                  <w:szCs w:val="18"/>
                  <w:color w:val="0000EE"/>
                  <w:w w:val="79"/>
                </w:rPr>
                <w:t>191</w:t>
              </w:r>
            </w:hyperlink>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PRINCIPAL SHAREHOLDERS</w:t>
              </w:r>
            </w:hyperlink>
          </w:p>
        </w:tc>
        <w:tc>
          <w:tcPr>
            <w:tcW w:w="6060" w:type="dxa"/>
            <w:vAlign w:val="bottom"/>
            <w:gridSpan w:val="16"/>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98">
              <w:r>
                <w:rPr>
                  <w:rFonts w:ascii="Arial" w:cs="Arial" w:eastAsia="Arial" w:hAnsi="Arial"/>
                  <w:sz w:val="18"/>
                  <w:szCs w:val="18"/>
                  <w:color w:val="0000EE"/>
                  <w:w w:val="79"/>
                </w:rPr>
                <w:t>192</w:t>
              </w:r>
            </w:hyperlink>
          </w:p>
        </w:tc>
        <w:tc>
          <w:tcPr>
            <w:tcW w:w="0" w:type="dxa"/>
            <w:vAlign w:val="bottom"/>
          </w:tcPr>
          <w:p>
            <w:pPr>
              <w:spacing w:after="0"/>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DESCRIPTION OF SHARE CAPITAL AND CERTAIN CORPORATE MATTERS</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194</w:t>
              </w:r>
            </w:hyperlink>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216">
              <w:r>
                <w:rPr>
                  <w:rFonts w:ascii="Arial" w:cs="Arial" w:eastAsia="Arial" w:hAnsi="Arial"/>
                  <w:sz w:val="18"/>
                  <w:szCs w:val="18"/>
                  <w:color w:val="0000EE"/>
                  <w:w w:val="92"/>
                </w:rPr>
                <w:t>DESCRIPTION OF AMERICAN DEPOSITARY SHARES</w:t>
              </w:r>
            </w:hyperlink>
          </w:p>
        </w:tc>
        <w:tc>
          <w:tcPr>
            <w:tcW w:w="1680" w:type="dxa"/>
            <w:vAlign w:val="bottom"/>
            <w:tcBorders>
              <w:top w:val="single" w:sz="8" w:color="0000EE"/>
            </w:tcBorders>
            <w:gridSpan w:val="5"/>
          </w:tcPr>
          <w:p>
            <w:pPr>
              <w:spacing w:after="0"/>
              <w:rPr>
                <w:sz w:val="17"/>
                <w:szCs w:val="17"/>
                <w:color w:val="auto"/>
              </w:rPr>
            </w:pPr>
          </w:p>
        </w:tc>
        <w:tc>
          <w:tcPr>
            <w:tcW w:w="24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16">
              <w:r>
                <w:rPr>
                  <w:rFonts w:ascii="Arial" w:cs="Arial" w:eastAsia="Arial" w:hAnsi="Arial"/>
                  <w:sz w:val="18"/>
                  <w:szCs w:val="18"/>
                  <w:color w:val="0000EE"/>
                  <w:w w:val="79"/>
                </w:rPr>
                <w:t>210</w:t>
              </w:r>
            </w:hyperlink>
          </w:p>
        </w:tc>
        <w:tc>
          <w:tcPr>
            <w:tcW w:w="0" w:type="dxa"/>
            <w:vAlign w:val="bottom"/>
          </w:tcPr>
          <w:p>
            <w:pPr>
              <w:spacing w:after="0"/>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SHARES AND AMERICAN DEPOSITARY SHARES ELIGIBLE FOR FUTURE SALE</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221</w:t>
              </w:r>
            </w:hyperlink>
          </w:p>
        </w:tc>
        <w:tc>
          <w:tcPr>
            <w:tcW w:w="0" w:type="dxa"/>
            <w:vAlign w:val="bottom"/>
          </w:tcPr>
          <w:p>
            <w:pPr>
              <w:spacing w:after="0"/>
              <w:rPr>
                <w:sz w:val="1"/>
                <w:szCs w:val="1"/>
                <w:color w:val="auto"/>
              </w:rPr>
            </w:pPr>
          </w:p>
        </w:tc>
      </w:tr>
      <w:tr>
        <w:trPr>
          <w:trHeight w:val="196"/>
        </w:trPr>
        <w:tc>
          <w:tcPr>
            <w:tcW w:w="63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MATERIAL U.S. FEDERAL INCOME TAX CONSIDERATIONS</w:t>
              </w:r>
            </w:hyperlink>
          </w:p>
        </w:tc>
        <w:tc>
          <w:tcPr>
            <w:tcW w:w="2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29">
              <w:r>
                <w:rPr>
                  <w:rFonts w:ascii="Arial" w:cs="Arial" w:eastAsia="Arial" w:hAnsi="Arial"/>
                  <w:sz w:val="18"/>
                  <w:szCs w:val="18"/>
                  <w:color w:val="0000EE"/>
                  <w:w w:val="79"/>
                </w:rPr>
                <w:t>223</w:t>
              </w:r>
            </w:hyperlink>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MATERIAL DANISH INCOME TAX CONSIDERATIONS</w:t>
              </w:r>
            </w:hyperlink>
          </w:p>
        </w:tc>
        <w:tc>
          <w:tcPr>
            <w:tcW w:w="364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35">
              <w:r>
                <w:rPr>
                  <w:rFonts w:ascii="Arial" w:cs="Arial" w:eastAsia="Arial" w:hAnsi="Arial"/>
                  <w:sz w:val="18"/>
                  <w:szCs w:val="18"/>
                  <w:color w:val="0000EE"/>
                  <w:w w:val="79"/>
                </w:rPr>
                <w:t>229</w:t>
              </w:r>
            </w:hyperlink>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239">
              <w:r>
                <w:rPr>
                  <w:rFonts w:ascii="Arial" w:cs="Arial" w:eastAsia="Arial" w:hAnsi="Arial"/>
                  <w:sz w:val="18"/>
                  <w:szCs w:val="18"/>
                  <w:color w:val="0000EE"/>
                  <w:w w:val="94"/>
                </w:rPr>
                <w:t>UNDERWRITING</w:t>
              </w:r>
            </w:hyperlink>
          </w:p>
        </w:tc>
        <w:tc>
          <w:tcPr>
            <w:tcW w:w="2900" w:type="dxa"/>
            <w:vAlign w:val="bottom"/>
            <w:tcBorders>
              <w:top w:val="single" w:sz="8" w:color="0000EE"/>
            </w:tcBorders>
            <w:gridSpan w:val="13"/>
          </w:tcPr>
          <w:p>
            <w:pPr>
              <w:spacing w:after="0"/>
              <w:rPr>
                <w:sz w:val="17"/>
                <w:szCs w:val="17"/>
                <w:color w:val="auto"/>
              </w:rPr>
            </w:pPr>
          </w:p>
        </w:tc>
        <w:tc>
          <w:tcPr>
            <w:tcW w:w="41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39">
              <w:r>
                <w:rPr>
                  <w:rFonts w:ascii="Arial" w:cs="Arial" w:eastAsia="Arial" w:hAnsi="Arial"/>
                  <w:sz w:val="18"/>
                  <w:szCs w:val="18"/>
                  <w:color w:val="0000EE"/>
                  <w:w w:val="79"/>
                </w:rPr>
                <w:t>233</w:t>
              </w:r>
            </w:hyperlink>
          </w:p>
        </w:tc>
        <w:tc>
          <w:tcPr>
            <w:tcW w:w="0" w:type="dxa"/>
            <w:vAlign w:val="bottom"/>
          </w:tcPr>
          <w:p>
            <w:pPr>
              <w:spacing w:after="0"/>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EXPENSES OF THIS OFFERING</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241</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248">
              <w:r>
                <w:rPr>
                  <w:rFonts w:ascii="Arial" w:cs="Arial" w:eastAsia="Arial" w:hAnsi="Arial"/>
                  <w:sz w:val="18"/>
                  <w:szCs w:val="18"/>
                  <w:color w:val="0000EE"/>
                  <w:w w:val="93"/>
                </w:rPr>
                <w:t>LEGAL MATTERS</w:t>
              </w:r>
            </w:hyperlink>
          </w:p>
        </w:tc>
        <w:tc>
          <w:tcPr>
            <w:tcW w:w="1020" w:type="dxa"/>
            <w:vAlign w:val="bottom"/>
            <w:tcBorders>
              <w:top w:val="single" w:sz="8" w:color="0000EE"/>
            </w:tcBorders>
            <w:gridSpan w:val="4"/>
          </w:tcPr>
          <w:p>
            <w:pPr>
              <w:spacing w:after="0"/>
              <w:rPr>
                <w:sz w:val="17"/>
                <w:szCs w:val="17"/>
                <w:color w:val="auto"/>
              </w:rPr>
            </w:pPr>
          </w:p>
        </w:tc>
        <w:tc>
          <w:tcPr>
            <w:tcW w:w="59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48">
              <w:r>
                <w:rPr>
                  <w:rFonts w:ascii="Arial" w:cs="Arial" w:eastAsia="Arial" w:hAnsi="Arial"/>
                  <w:sz w:val="18"/>
                  <w:szCs w:val="18"/>
                  <w:color w:val="0000EE"/>
                  <w:w w:val="79"/>
                </w:rPr>
                <w:t>242</w:t>
              </w:r>
            </w:hyperlink>
          </w:p>
        </w:tc>
        <w:tc>
          <w:tcPr>
            <w:tcW w:w="0" w:type="dxa"/>
            <w:vAlign w:val="bottom"/>
          </w:tcPr>
          <w:p>
            <w:pPr>
              <w:spacing w:after="0"/>
              <w:rPr>
                <w:sz w:val="1"/>
                <w:szCs w:val="1"/>
                <w:color w:val="auto"/>
              </w:rPr>
            </w:pPr>
          </w:p>
        </w:tc>
      </w:tr>
      <w:tr>
        <w:trPr>
          <w:trHeight w:val="196"/>
        </w:trPr>
        <w:tc>
          <w:tcPr>
            <w:tcW w:w="8380" w:type="dxa"/>
            <w:vAlign w:val="bottom"/>
            <w:gridSpan w:val="27"/>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EXPERTS</w:t>
              </w:r>
            </w:hyperlink>
          </w:p>
        </w:tc>
        <w:tc>
          <w:tcPr>
            <w:tcW w:w="440" w:type="dxa"/>
            <w:vAlign w:val="bottom"/>
            <w:gridSpan w:val="4"/>
          </w:tcPr>
          <w:p>
            <w:pPr>
              <w:jc w:val="right"/>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243</w:t>
              </w:r>
            </w:hyperlink>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50">
              <w:r>
                <w:rPr>
                  <w:rFonts w:ascii="Arial" w:cs="Arial" w:eastAsia="Arial" w:hAnsi="Arial"/>
                  <w:sz w:val="18"/>
                  <w:szCs w:val="18"/>
                  <w:color w:val="0000EE"/>
                  <w:w w:val="95"/>
                </w:rPr>
                <w:t>ENFORCEMENT OF CIVIL LIABILITIES</w:t>
              </w:r>
            </w:hyperlink>
          </w:p>
        </w:tc>
        <w:tc>
          <w:tcPr>
            <w:tcW w:w="526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0">
              <w:r>
                <w:rPr>
                  <w:rFonts w:ascii="Arial" w:cs="Arial" w:eastAsia="Arial" w:hAnsi="Arial"/>
                  <w:sz w:val="18"/>
                  <w:szCs w:val="18"/>
                  <w:color w:val="0000EE"/>
                  <w:w w:val="79"/>
                </w:rPr>
                <w:t>244</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251">
              <w:r>
                <w:rPr>
                  <w:rFonts w:ascii="Arial" w:cs="Arial" w:eastAsia="Arial" w:hAnsi="Arial"/>
                  <w:sz w:val="18"/>
                  <w:szCs w:val="18"/>
                  <w:color w:val="0000EE"/>
                  <w:w w:val="94"/>
                </w:rPr>
                <w:t>WHERE YOU CAN FIND MORE INFORMATION</w:t>
              </w:r>
            </w:hyperlink>
          </w:p>
        </w:tc>
        <w:tc>
          <w:tcPr>
            <w:tcW w:w="4640" w:type="dxa"/>
            <w:vAlign w:val="bottom"/>
            <w:gridSpan w:val="10"/>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1">
              <w:r>
                <w:rPr>
                  <w:rFonts w:ascii="Arial" w:cs="Arial" w:eastAsia="Arial" w:hAnsi="Arial"/>
                  <w:sz w:val="18"/>
                  <w:szCs w:val="18"/>
                  <w:color w:val="0000EE"/>
                  <w:w w:val="79"/>
                </w:rPr>
                <w:t>245</w:t>
              </w:r>
            </w:hyperlink>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252">
              <w:r>
                <w:rPr>
                  <w:rFonts w:ascii="Arial" w:cs="Arial" w:eastAsia="Arial" w:hAnsi="Arial"/>
                  <w:sz w:val="18"/>
                  <w:szCs w:val="18"/>
                  <w:color w:val="0000EE"/>
                  <w:w w:val="94"/>
                </w:rPr>
                <w:t>INDEX TO FINANCIAL STATEMENTS</w:t>
              </w:r>
            </w:hyperlink>
          </w:p>
        </w:tc>
        <w:tc>
          <w:tcPr>
            <w:tcW w:w="5420" w:type="dxa"/>
            <w:vAlign w:val="bottom"/>
            <w:gridSpan w:val="14"/>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8"/>
              </w:rPr>
            </w:pPr>
            <w:hyperlink w:anchor="page252">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our business and the markets for our products and product candidates, including our general expectations, market position, market opportunity and market share, is based on information from our own management estimates and research, as well as from industry and general publications,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72" w:lineRule="exact"/>
        <w:rPr>
          <w:sz w:val="20"/>
          <w:szCs w:val="20"/>
          <w:color w:val="auto"/>
        </w:rPr>
      </w:pPr>
    </w:p>
    <w:p>
      <w:pPr>
        <w:jc w:val="both"/>
        <w:ind w:right="20" w:firstLine="348"/>
        <w:spacing w:after="0" w:line="288" w:lineRule="auto"/>
        <w:rPr>
          <w:sz w:val="20"/>
          <w:szCs w:val="20"/>
          <w:color w:val="auto"/>
        </w:rPr>
      </w:pPr>
      <w:r>
        <w:rPr>
          <w:rFonts w:ascii="Arial" w:cs="Arial" w:eastAsia="Arial" w:hAnsi="Arial"/>
          <w:sz w:val="15"/>
          <w:szCs w:val="15"/>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 ™ and </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7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Neither we nor the underwriters have authorized anyone to provide you with information that is different from that contained in this prospectus or in any free writing prospectus we may authorize to be delivered or made available to you. Neither we nor the underwriters take any responsibility for, or provide any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front of this prospectus, regardless of the time of delivery of this prospectus or any sale of ADSs.</w:t>
      </w:r>
    </w:p>
    <w:p>
      <w:pPr>
        <w:spacing w:after="0" w:line="16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maintain our books and records in Danish kroner and report under International Financial Reporting Standards, or IFRS, as issued by the International Accounting Standards Board, or IASB. None of the consolidated financial statements in this prospectus were prepared in accordance with accounting principles generally accepted in the United States, or U.S. GAAP. Except with respect to U.S. dollar amounts presented as contractual terms, amounts denominated in U.S. dollars when received or paid, including milestone payments and royalties received from Janssen Biotech, Inc. under our daratumumab collaboration, or as otherwise indicated, all amounts that are presented in U.S. dollars herein have been translated from DKK solely for convenience at an assumed exchange rate of DKK 6.2067 per $1.00, which was the rounded official exchange rate as of December 31, 2017, as reported by Danmarks Nationalbank. We use the symbol "$" to refer to the U.S. dollar, "DKK" to refer to the Danish kroner and the symbol "€" to refer to the Euro herein. Neither we nor the underwriters represent that any amounts presented herein could be or could have been converted into U.S. dollars or Danish kroner at any particular rate indicated or at any other rate.</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SHARE INFORMATION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references to "shares" in this prospectus refer to ordinary shares of Genmab A/S with a nominal value of DKK 1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414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414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deciding to invest in the ADSs, you should read this entire prospectus carefully, including the sections of this prospectus entitled "Risk Factors" and "Management's Discussion and Analysis of Financial Condition and Results of Operations" and our consolidated financial statements contained elsewhere in this prospectus. Unless the context otherwise requires, references in this prospectus to the "Company," "Genmab," "we," "us" and "our" refer to Genmab A/S and its subsidiaries.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348"/>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indications of multiple myeloma, or MM, and ofatumumab, marketed as Arzerra® for the treatment of certain indications of chronic lymphocytic leukemia, or CLL, in addition to a broad pipeline of differentiated product candidates. Our pipeline includes four proprietary product candidates in clinical development and approximately 20 proprietary and partnered pre-clinical programs, including three proprietary product candidates for which we intend to submit an application for an investigational new drug, or IND, to the U.S. Food and Drug Administration, or FDA, and/or a clinical trial application, or a CTA, to the European Medicines Agency, or EMA, in 2019. In addition to our proprietary clinical product candidates and our partners' ongoing label expansion studies for daratumumab and ofatumumab, our partners have eight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8122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Portfolio</w:t>
      </w:r>
    </w:p>
    <w:p>
      <w:pPr>
        <w:spacing w:after="0" w:line="231" w:lineRule="exact"/>
        <w:rPr>
          <w:sz w:val="20"/>
          <w:szCs w:val="20"/>
          <w:color w:val="auto"/>
        </w:rPr>
      </w:pPr>
    </w:p>
    <w:p>
      <w:pPr>
        <w:ind w:left="240" w:right="200" w:firstLine="348"/>
        <w:spacing w:after="0" w:line="331" w:lineRule="auto"/>
        <w:rPr>
          <w:sz w:val="20"/>
          <w:szCs w:val="20"/>
          <w:color w:val="auto"/>
        </w:rPr>
      </w:pPr>
      <w:r>
        <w:rPr>
          <w:rFonts w:ascii="Arial" w:cs="Arial" w:eastAsia="Arial" w:hAnsi="Arial"/>
          <w:sz w:val="16"/>
          <w:szCs w:val="16"/>
          <w:color w:val="auto"/>
        </w:rPr>
        <w:t>The following chart summarizes the disease indications and most advanced development status of our marketed products, each of the proprietary product candidates in our clinical pipeline and the most advanced product candidates in our pre-clinical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780" w:hanging="538"/>
        <w:spacing w:after="0" w:line="256" w:lineRule="auto"/>
        <w:tabs>
          <w:tab w:leader="none" w:pos="780" w:val="left"/>
        </w:tabs>
        <w:numPr>
          <w:ilvl w:val="0"/>
          <w:numId w:val="2"/>
        </w:numPr>
        <w:rPr>
          <w:rFonts w:ascii="Arial" w:cs="Arial" w:eastAsia="Arial" w:hAnsi="Arial"/>
          <w:sz w:val="13"/>
          <w:szCs w:val="13"/>
          <w:color w:val="auto"/>
        </w:rPr>
      </w:pPr>
      <w:r>
        <w:rPr>
          <w:rFonts w:ascii="Arial" w:cs="Arial" w:eastAsia="Arial" w:hAnsi="Arial"/>
          <w:sz w:val="13"/>
          <w:szCs w:val="13"/>
          <w:color w:val="auto"/>
        </w:rPr>
        <w:t>Pursuant to our development, manufacturing and commercialization agreement with Janssen Biotech, Inc., or Janssen, we receive tiered royalty payments of 12% to 20% based on Janssen's annual net product sales of daratumumab. See "Business—Our Products and Product Candidates—Daratumumab (DARZALEX)—Collaboration with Janssen" for more information about our agreement with Janssen.</w:t>
      </w:r>
    </w:p>
    <w:p>
      <w:pPr>
        <w:sectPr>
          <w:pgSz w:w="11900" w:h="16838" w:orient="portrait"/>
          <w:cols w:equalWidth="0" w:num="1">
            <w:col w:w="10960"/>
          </w:cols>
          <w:pgMar w:left="320" w:top="13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52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52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right="80" w:hanging="538"/>
        <w:spacing w:after="0" w:line="265" w:lineRule="auto"/>
        <w:tabs>
          <w:tab w:leader="none" w:pos="780" w:val="left"/>
        </w:tabs>
        <w:numPr>
          <w:ilvl w:val="0"/>
          <w:numId w:val="3"/>
        </w:numPr>
        <w:rPr>
          <w:rFonts w:ascii="Arial" w:cs="Arial" w:eastAsia="Arial" w:hAnsi="Arial"/>
          <w:sz w:val="12"/>
          <w:szCs w:val="12"/>
          <w:color w:val="auto"/>
        </w:rPr>
      </w:pPr>
      <w:r>
        <w:rPr>
          <w:rFonts w:ascii="Arial" w:cs="Arial" w:eastAsia="Arial" w:hAnsi="Arial"/>
          <w:sz w:val="12"/>
          <w:szCs w:val="12"/>
          <w:color w:val="auto"/>
        </w:rPr>
        <w:t>DARZALEX has received marketing approval in combination with certain treatment regimens for frontline and relapsed/refractory, or R/R, MM, and as a monotherapy for heavily pre-treated MM, in a number of countries, including the United States and the European Union. See "Business—Our Products and Product Candidates—Daratumumab (DARZALEX)— Daratumumab for the Treatment of Multiple Myeloma—Existing Marketing Approvals and Pending Regulatory Applications" for more information about existing marketing approvals for</w:t>
      </w:r>
    </w:p>
    <w:p>
      <w:pPr>
        <w:ind w:left="780"/>
        <w:spacing w:after="0" w:line="216" w:lineRule="auto"/>
        <w:rPr>
          <w:rFonts w:ascii="Arial" w:cs="Arial" w:eastAsia="Arial" w:hAnsi="Arial"/>
          <w:sz w:val="12"/>
          <w:szCs w:val="12"/>
          <w:color w:val="auto"/>
        </w:rPr>
      </w:pPr>
      <w:r>
        <w:rPr>
          <w:rFonts w:ascii="Arial" w:cs="Arial" w:eastAsia="Arial" w:hAnsi="Arial"/>
          <w:sz w:val="13"/>
          <w:szCs w:val="13"/>
          <w:color w:val="auto"/>
        </w:rPr>
        <w:t>DARZALEX.</w:t>
      </w:r>
    </w:p>
    <w:p>
      <w:pPr>
        <w:ind w:left="780" w:right="20" w:hanging="538"/>
        <w:spacing w:after="0" w:line="232" w:lineRule="auto"/>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addition to existing approvals for frontline MM in certain jurisdictions, Janssen is conducting studies of daratumumab for additional frontline MM indications, which differ from existing frontline approvals based on the combination treatment regimen, transplant-eligibility of patients and/or jurisdiction(s) of the study. See "Business—Our Products and Product Candidates— Daratumumab (DARZALEX)—Daratumumab for the Treatment of Multiple Myeloma—Key Ongoing Trials for Additional MM Indications" for more information about these ongoing trials.</w:t>
      </w:r>
    </w:p>
    <w:p>
      <w:pPr>
        <w:spacing w:after="0" w:line="2" w:lineRule="exact"/>
        <w:rPr>
          <w:rFonts w:ascii="Arial" w:cs="Arial" w:eastAsia="Arial" w:hAnsi="Arial"/>
          <w:sz w:val="13"/>
          <w:szCs w:val="13"/>
          <w:color w:val="auto"/>
        </w:rPr>
      </w:pPr>
    </w:p>
    <w:p>
      <w:pPr>
        <w:ind w:left="780" w:right="180" w:hanging="538"/>
        <w:spacing w:after="0" w:line="246" w:lineRule="auto"/>
        <w:tabs>
          <w:tab w:leader="none" w:pos="7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addition to certain clinical studies specifically assessing the safety and efficacy of a subcutaneous, or subQ, formulation of daratumumab for the treatment of certain MM indications, a subQ formulation of daratumumab is being used in a number of other studies of daratumumab for the treatment of frontline MM, R/R MM and other disease indications.</w:t>
      </w:r>
    </w:p>
    <w:p>
      <w:pPr>
        <w:ind w:left="780" w:right="80" w:hanging="538"/>
        <w:spacing w:after="0" w:line="231" w:lineRule="auto"/>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Pursuant to our agreement with Novartis, we are entitled to royalties of 20% of worldwide net sales of ofatumumab for the treatment of cancer, and low double-digit royalties of worldwide net sales of ofatumumab for non-cancer treatments. See "Business—Our Products and Product Candidates—Ofatumumab—Collaboration with Novartis" for more information about our agreement with Novartis.</w:t>
      </w:r>
    </w:p>
    <w:p>
      <w:pPr>
        <w:ind w:left="780" w:right="20" w:hanging="538"/>
        <w:spacing w:after="0" w:line="232" w:lineRule="auto"/>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Ofatumumab, marketed as Arzerra, has been approved for certain CLL indications in the United States, the European Union and a number of other countries. Due to significant competition in the CLL treatment space and low and decreasing global demand for Arzerra, on January 22, 2018, Novartis announced that it intends to transition Arzerra in non-U.S. markets from commercial availability to limited availability through managed access programs or alternative solutions for approved CLL indications where applicable and allowed by local regulators, but will continue to market Arzerra for approved CLL indications in the United States and Japan.</w:t>
      </w:r>
    </w:p>
    <w:p>
      <w:pPr>
        <w:spacing w:after="0" w:line="2" w:lineRule="exact"/>
        <w:rPr>
          <w:rFonts w:ascii="Arial" w:cs="Arial" w:eastAsia="Arial" w:hAnsi="Arial"/>
          <w:sz w:val="13"/>
          <w:szCs w:val="13"/>
          <w:color w:val="auto"/>
        </w:rPr>
      </w:pPr>
    </w:p>
    <w:p>
      <w:pPr>
        <w:ind w:left="780" w:hanging="538"/>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Solid tumors include head and neck cancer, squamous non-small-cell lung cancer, or NSCLC, pancreatic adenocarcinoma and colorectal cancer.</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Marketed Products and Proposed Label Expansion</w:t>
      </w:r>
    </w:p>
    <w:p>
      <w:pPr>
        <w:spacing w:after="0" w:line="225"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Our lead product, daratumumab, marketed as DARZALEX for the treatment of certain multiple myeloma indications, is a human IgG1k monoclonal antibody, or mAb, that binds with high affinity to the CD38 molecule, which is highly expressed on the surface of MM cells. When first approved by the FDA in 2015, it was the first human CD38-targeting mAb to reach the market and the first mAb to receive FDA approval to treat multiple myeloma. DARZALEX is commercialized by Janssen Biotech, Inc., or Janssen, under an exclusive development, manufacturing and commercialization agreement we entered into in 2012. Pursuant to this agreement, we receive tiered royalty payments of 12% to 20% based on Janssen's annual net product sales and are eligible for certain additional payments in connection with development, regulatory and sales milestones. Janssen is fully responsible for developing and commercializing daratumumab and all costs associated therewith. Janssen has obtained regulatory approvals for DARZALEX for certain multiple myeloma indications in a number of countries, including the United States, the European Union and Japan. In addition, applications for label expansion in the United States and Japan and for initial approval in China are currently pending with applicable regulators. Following the U.S. commercial launch of DARZALEX in 2015, DARZALEX achieved blockbuster sales status with annual net sales of $1.2 billion in 2017. We recorded $171.0 million in milestone payments for daratumumab and DKK 1,013.2 million ($150.4 million) in royalties related to DARZALEX sales in 2017.</w:t>
      </w:r>
    </w:p>
    <w:p>
      <w:pPr>
        <w:spacing w:after="0" w:line="396" w:lineRule="exact"/>
        <w:rPr>
          <w:sz w:val="20"/>
          <w:szCs w:val="20"/>
          <w:color w:val="auto"/>
        </w:rPr>
      </w:pPr>
    </w:p>
    <w:p>
      <w:pPr>
        <w:jc w:val="both"/>
        <w:ind w:left="240" w:right="100" w:firstLine="348"/>
        <w:spacing w:after="0" w:line="259" w:lineRule="auto"/>
        <w:rPr>
          <w:sz w:val="20"/>
          <w:szCs w:val="20"/>
          <w:color w:val="auto"/>
        </w:rPr>
      </w:pPr>
      <w:r>
        <w:rPr>
          <w:rFonts w:ascii="Arial" w:cs="Arial" w:eastAsia="Arial" w:hAnsi="Arial"/>
          <w:sz w:val="18"/>
          <w:szCs w:val="18"/>
          <w:color w:val="auto"/>
        </w:rPr>
        <w:t>The chart below illustrates daratumumab's significant impact and versatility as a combination treatment for certain indications of frontline multiple myeloma and relapsed/refractory multiple myeloma in four pivotal Phase III studies. Each study was a head-to-head study comparing daratumumab, or D, in combination with a standard MM treatment regimen versus the standard treatment alone.</w:t>
      </w:r>
    </w:p>
    <w:p>
      <w:pPr>
        <w:spacing w:after="0" w:line="221" w:lineRule="exact"/>
        <w:rPr>
          <w:sz w:val="20"/>
          <w:szCs w:val="20"/>
          <w:color w:val="auto"/>
        </w:rPr>
      </w:pPr>
    </w:p>
    <w:p>
      <w:pPr>
        <w:ind w:left="1320" w:right="1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frontline treatment of transplant-ineligible MM patients, the ALCYONE and MAIA studies compared daratumumab in combination with (i) bortezomib, melphalan and prednisone, or VMP, versus VMP alone in the ALCYONE study and (ii) lenalidomide and dexamethasone, or Rd, versus treatment with Rd alone in the MAIA study. The ALCYONE study supported the U.S. and EU regulatory approvals of DARZALEX in combination with VMP for frontline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733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20"/>
        <w:spacing w:after="0" w:line="298" w:lineRule="auto"/>
        <w:rPr>
          <w:sz w:val="20"/>
          <w:szCs w:val="20"/>
          <w:color w:val="auto"/>
        </w:rPr>
      </w:pPr>
      <w:r>
        <w:rPr>
          <w:rFonts w:ascii="Arial" w:cs="Arial" w:eastAsia="Arial" w:hAnsi="Arial"/>
          <w:sz w:val="16"/>
          <w:szCs w:val="16"/>
          <w:color w:val="auto"/>
        </w:rPr>
        <w:t>treatment of transplant-ineligible MM patients. In January 2019, Janssen initiated a supplemental Biologics License Application, or sBLA, submission to the FDA for DARZALEX in combination with Rd for frontline treatment of transplant-ineligible MM patients based on the MAIA study, which the FDA plans to review under its Real-Time Oncology Review, or RTOR, Pilot Program. In addition, we expect Janssen to submit a marketing authorization application, or MAA, to the EMA based on the MAIA study in 2019.</w:t>
      </w:r>
    </w:p>
    <w:p>
      <w:pPr>
        <w:spacing w:after="0" w:line="193" w:lineRule="exact"/>
        <w:rPr>
          <w:sz w:val="20"/>
          <w:szCs w:val="20"/>
          <w:color w:val="auto"/>
        </w:rPr>
      </w:pPr>
    </w:p>
    <w:p>
      <w:pPr>
        <w:ind w:left="1320" w:right="160" w:hanging="538"/>
        <w:spacing w:after="0" w:line="25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relapsed/refractory setting, the POLLUX and CASTOR studies compared daratumumab in combination with (i) Rd, versus Rd alone in the POLLUX study and (ii) bortezomib and dexamethasone, or Vd, versus Vd alone in the CASTOR study. The POLLUX and CASTOR studies supported the U.S., EU and Japanese regulatory approvals of DARZALEX in combination with Rd and Vd, respectively, for the treatment of relapsed/refractory MM.</w:t>
      </w:r>
    </w:p>
    <w:p>
      <w:pPr>
        <w:spacing w:after="0" w:line="197" w:lineRule="exact"/>
        <w:rPr>
          <w:sz w:val="20"/>
          <w:szCs w:val="20"/>
          <w:color w:val="auto"/>
        </w:rPr>
      </w:pPr>
    </w:p>
    <w:p>
      <w:pPr>
        <w:ind w:left="240" w:right="220" w:firstLine="351"/>
        <w:spacing w:after="0" w:line="259" w:lineRule="auto"/>
        <w:rPr>
          <w:sz w:val="20"/>
          <w:szCs w:val="20"/>
          <w:color w:val="auto"/>
        </w:rPr>
      </w:pPr>
      <w:r>
        <w:rPr>
          <w:rFonts w:ascii="Arial" w:cs="Arial" w:eastAsia="Arial" w:hAnsi="Arial"/>
          <w:sz w:val="18"/>
          <w:szCs w:val="18"/>
          <w:color w:val="auto"/>
        </w:rPr>
        <w:t>Data for each of these studies was presented at the American Society for Hematology's Annual Meeting, or ASH, in December 2018. Safety data and other details regarding each of these studies is outlined in "Business—Our Products and Product Candidates—Daratumumab (DARZALEX)— Daratumumab for the Treatment of Multiple Myeloma"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80" w:hanging="538"/>
        <w:spacing w:after="0"/>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CR + sCR in daratumumab arm versus control arm. CR = complete response; sCR = stringent complete response.</w:t>
      </w:r>
    </w:p>
    <w:p>
      <w:pPr>
        <w:ind w:left="780" w:hanging="538"/>
        <w:spacing w:after="0" w:line="196"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MRD = minimal residual disease, which refers to the persistence of small numbers of myeloma cells that remain after therapy and contribute to relapse and disease progression; MRD negativity is defined as the absence of aberrant clonal plasma cells on bone marrow aspirate, ruled out by an assay with a minimum sensitivity of one in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nucleated cells or higher; MRD-neg rate refers to the proportion of patients with negative MRD test results, tested at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sensitivity, or one in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cells, from the time of suspected CR or sCR, in the case of the MAIA, POLLUX and CASTOR studies and confirmed CR/sCR in the case of the ALCYONE study, and tested periodically for a certain period after dosing. See study descriptions in "Business— Our Products and Product Candidates—Daratumumab (DARZALEX)—Daratumumab for the Treatment of Multiple Myeloma."</w:t>
      </w:r>
    </w:p>
    <w:p>
      <w:pPr>
        <w:spacing w:after="0" w:line="3" w:lineRule="exact"/>
        <w:rPr>
          <w:rFonts w:ascii="Arial" w:cs="Arial" w:eastAsia="Arial" w:hAnsi="Arial"/>
          <w:sz w:val="13"/>
          <w:szCs w:val="13"/>
          <w:color w:val="auto"/>
        </w:rPr>
      </w:pPr>
    </w:p>
    <w:p>
      <w:pPr>
        <w:ind w:left="780" w:hanging="538"/>
        <w:spacing w:after="0"/>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Risk reduction in disease progression or death versus control arm. PFS = progression free survival.</w:t>
      </w:r>
    </w:p>
    <w:p>
      <w:pPr>
        <w:spacing w:after="0" w:line="205" w:lineRule="exact"/>
        <w:rPr>
          <w:sz w:val="20"/>
          <w:szCs w:val="20"/>
          <w:color w:val="auto"/>
        </w:rPr>
      </w:pPr>
    </w:p>
    <w:p>
      <w:pPr>
        <w:ind w:left="240" w:right="20" w:firstLine="351"/>
        <w:spacing w:after="0" w:line="254" w:lineRule="auto"/>
        <w:rPr>
          <w:sz w:val="20"/>
          <w:szCs w:val="20"/>
          <w:color w:val="auto"/>
        </w:rPr>
      </w:pPr>
      <w:r>
        <w:rPr>
          <w:rFonts w:ascii="Arial" w:cs="Arial" w:eastAsia="Arial" w:hAnsi="Arial"/>
          <w:sz w:val="18"/>
          <w:szCs w:val="18"/>
          <w:color w:val="auto"/>
        </w:rPr>
        <w:t>Beyond the current labeled indications, Janssen is conducting a comprehensive clinical development program for daratumumab. This program includes multiple Phase III studies for the treatment of smoldering MM, or SMM, frontline MM, and relapsed/refractory, or R/R, MM, as well as key clinical studies for a subcutaneous, or subQ, formulation. In October 2018, we reported that Janssen's pivotal Phase III MAIA study of daratumumab in combination with Rd for frontline treatment of transplant-ineligible MM patients reached its primary endpoint of improving progression free survival, or PFS, at a pre-specified interim analysis, with a 44% reduction in the risk of progression or death in patients treated with daratumumab in combination with Rd compared to treatment with 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379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spacing w:after="0" w:line="287" w:lineRule="auto"/>
        <w:rPr>
          <w:sz w:val="20"/>
          <w:szCs w:val="20"/>
          <w:color w:val="auto"/>
        </w:rPr>
      </w:pPr>
      <w:r>
        <w:rPr>
          <w:rFonts w:ascii="Arial" w:cs="Arial" w:eastAsia="Arial" w:hAnsi="Arial"/>
          <w:sz w:val="16"/>
          <w:szCs w:val="16"/>
          <w:color w:val="auto"/>
        </w:rPr>
        <w:t>alone and with a safety profile consistent with known safety profiles for daratumumab and Rd. In October 2018, we also reported topline results that the first part of Janssen's pivotal Phase III CASSIOPEIA study of daratumumab in combination with bortezomib, thalidomide and dexamethasone, or VTd, for frontline treatment of transplant-eligible MM patients met the primary endpoint of number of patients that achieved a stringent complete response, or sCR. Topline results for the first part of the CASSIOPEIA study showed that 28.9% of patients treated with daratumumab in combination with VTd achieved sCR, compared to 20.3% of patients who received VTd alone, with an odds ratio of 1.60 and with a safety profile consistent with known safety profiles for daratumumab and VTd. We expect Janssen to submit regulatory applications based on the CASSIOPEIA study in 2019 and to release initial data for the Phase III COLUMBA study for the subQ formulation of daratumumab and the Phase II GRIFFIN study for daratumumab in combination with bortezomib, lenalidomide and dexamethasone, or VRd, for frontline treatment of transplant-eligible MM patients.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w:t>
      </w:r>
    </w:p>
    <w:p>
      <w:pPr>
        <w:spacing w:after="0" w:line="176" w:lineRule="exact"/>
        <w:rPr>
          <w:sz w:val="20"/>
          <w:szCs w:val="20"/>
          <w:color w:val="auto"/>
        </w:rPr>
      </w:pPr>
    </w:p>
    <w:p>
      <w:pPr>
        <w:ind w:left="240" w:firstLine="351"/>
        <w:spacing w:after="0" w:line="284" w:lineRule="auto"/>
        <w:rPr>
          <w:sz w:val="20"/>
          <w:szCs w:val="20"/>
          <w:color w:val="auto"/>
        </w:rPr>
      </w:pPr>
      <w:r>
        <w:rPr>
          <w:rFonts w:ascii="Arial" w:cs="Arial" w:eastAsia="Arial" w:hAnsi="Arial"/>
          <w:sz w:val="16"/>
          <w:szCs w:val="16"/>
          <w:color w:val="auto"/>
        </w:rPr>
        <w:t>Ofatumumab is a human IgG1k mAb that targets an epitope on the CD20 molecule, which is found on the surface of B-cells, the type of cell which is believed to trigger the inflammatory process that leads to multiple sclerosis, or MS. Novartis Pharma AG, or Novartis, is currently investigating a subQ formulation of ofatumumab for the treatment of relapsing MS, or RMS, in the Phase III ASCLEPIOS I and II clinical studies with over 1,800 patients in total, and has reported that it expects to complete these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could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observed in the study, with no new or unexpected safety findings. Ofatumumab has already been approved for the treatment of certain CLL indications in the United States and certain other countries and is currently commercialized by Novartis for such CLL indications under the name Arzerra. Due to significant competition in the CLL treatment space and low and decreasing global demand for Arzerra, Novartis announced in January 2018 that it intends to transition Arzerra from commercial availability to limited availability in non-U.S. markets through managed access programs or alternative solutions for approved CLL indications where applicable and allowed by local regulations, but will continue to market Arzerra for approved CLL indications in the United States and Japan. Pursuant to our agreement with Novartis, we are entitled to royalties of 20% of worldwide net sales of ofatumumab for the treatment of cancer, and low double-digit royalties of worldwide net sales of ofatumumab for non-cancer treatments. Novartis is fully responsible for all costs associated with developing and commercializing ofatumumab.</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Proprietary Product Candidates</w:t>
      </w:r>
    </w:p>
    <w:p>
      <w:pPr>
        <w:spacing w:after="0" w:line="225" w:lineRule="exact"/>
        <w:rPr>
          <w:sz w:val="20"/>
          <w:szCs w:val="20"/>
          <w:color w:val="auto"/>
        </w:rPr>
      </w:pPr>
    </w:p>
    <w:p>
      <w:pPr>
        <w:jc w:val="both"/>
        <w:ind w:left="240" w:right="80" w:firstLine="348"/>
        <w:spacing w:after="0" w:line="306" w:lineRule="auto"/>
        <w:rPr>
          <w:sz w:val="20"/>
          <w:szCs w:val="20"/>
          <w:color w:val="auto"/>
        </w:rPr>
      </w:pPr>
      <w:r>
        <w:rPr>
          <w:rFonts w:ascii="Arial" w:cs="Arial" w:eastAsia="Arial" w:hAnsi="Arial"/>
          <w:sz w:val="16"/>
          <w:szCs w:val="16"/>
          <w:color w:val="auto"/>
        </w:rPr>
        <w:t>We also have a strong pipeline of novel antibody-based product candidates for the treatment of solid tumors and hematological cancers, which are designed to address unmet medical needs and improve treatment outcomes for cancer patients. Our goal in building our pipeline is to retain at least 50% of product rights in selected programs for indications and in geographic areas where we believe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69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69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color w:val="auto"/>
        </w:rPr>
        <w:t>we will be able to maximize their value; we consider such products to be "our own" proprietary products. We currently have four proprietary product candidates in clinical development:</w:t>
      </w:r>
    </w:p>
    <w:p>
      <w:pPr>
        <w:spacing w:after="0" w:line="213" w:lineRule="exact"/>
        <w:rPr>
          <w:sz w:val="20"/>
          <w:szCs w:val="20"/>
          <w:color w:val="auto"/>
        </w:rPr>
      </w:pPr>
    </w:p>
    <w:p>
      <w:pPr>
        <w:ind w:left="1320" w:hanging="538"/>
        <w:spacing w:after="0" w:line="286"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Tisotumab vedotin: </w:t>
      </w:r>
      <w:r>
        <w:rPr>
          <w:rFonts w:ascii="Arial" w:cs="Arial" w:eastAsia="Arial" w:hAnsi="Arial"/>
          <w:sz w:val="16"/>
          <w:szCs w:val="16"/>
          <w:color w:val="auto"/>
        </w:rPr>
        <w:t>an antibody-drug conjugate, or ADC, created to target tissue factor, or TF, a protein involved in tumor signaling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angiogenesis. Tisotumab vedotin is in clinical development for the treatment of cervical cancer and other solid tumors, including head and neck cancer, squamous non-small-cell lung cancer, or NSCLC, pancreatic adenocarcinoma and colorectal cancer. In October 2018, we released data from a 55-patient expansion cohort of the innovaTV 201 Phase I/II trial, which indicated that treatment with tisotumab vedotin resulted in encouraging activity in patients with relapsed, recurrent and/or metastatic cervical cancer. The data showed a combined confirmed and unconfirmed overall response rate, or ORR, of 31%, including confirmed partial response, or PR, in 11 patients and unconfirmed PR in five patients. Median duration of response, or DoR, was 4.9 months and median PFS was 4.1 months. We are also evaluating tisotumab vedotin in four additional clinical studies, including the potentially registrational innovaTV 204 Phase II trial for the treatment of patients with recurrent or metastatic cervical cancer, Phase II trials for the treatment of patients with ovarian cancer and solid tumors and a Phase I/II combination trial for the treatment of patients with cervical cancer. We expect to complete enrollment for the innovaTV 204 study in 2019. We are developing tisotumab vedotin in collaboration with Seattle Genetics under an agreement in which the companies share all future costs and profits for the product on a 50:50 basis.</w:t>
      </w:r>
    </w:p>
    <w:p>
      <w:pPr>
        <w:spacing w:after="0" w:line="190" w:lineRule="exact"/>
        <w:rPr>
          <w:rFonts w:ascii="Arial" w:cs="Arial" w:eastAsia="Arial" w:hAnsi="Arial"/>
          <w:sz w:val="16"/>
          <w:szCs w:val="16"/>
          <w:color w:val="auto"/>
        </w:rPr>
      </w:pPr>
    </w:p>
    <w:p>
      <w:pPr>
        <w:ind w:left="1320" w:right="20" w:hanging="538"/>
        <w:spacing w:after="0" w:line="284"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Enapotamab vedotin (HuMax®-AXL-ADC): </w:t>
      </w:r>
      <w:r>
        <w:rPr>
          <w:rFonts w:ascii="Arial" w:cs="Arial" w:eastAsia="Arial" w:hAnsi="Arial"/>
          <w:sz w:val="16"/>
          <w:szCs w:val="16"/>
          <w:color w:val="auto"/>
        </w:rPr>
        <w:t>an ADC created to target AXL, a unique tyrosine kinase receptor that is implicated in tumor</w:t>
      </w:r>
      <w:r>
        <w:rPr>
          <w:rFonts w:ascii="Arial" w:cs="Arial" w:eastAsia="Arial" w:hAnsi="Arial"/>
          <w:sz w:val="16"/>
          <w:szCs w:val="16"/>
          <w:i w:val="1"/>
          <w:iCs w:val="1"/>
          <w:color w:val="auto"/>
        </w:rPr>
        <w:t xml:space="preserve"> </w:t>
      </w:r>
      <w:r>
        <w:rPr>
          <w:rFonts w:ascii="Arial" w:cs="Arial" w:eastAsia="Arial" w:hAnsi="Arial"/>
          <w:sz w:val="16"/>
          <w:szCs w:val="16"/>
          <w:color w:val="auto"/>
        </w:rPr>
        <w:t>cell proliferation, migration and invasion. Over-expression has been described in solid cancers, including lung, esophageal, ovarian, breast, cervical, thyroid, endometrial and pancreatic cancers. AXL is emerging as a marker in tumors with resistance to therapy</w:t>
      </w:r>
    </w:p>
    <w:p>
      <w:pPr>
        <w:spacing w:after="0" w:line="1" w:lineRule="exact"/>
        <w:rPr>
          <w:rFonts w:ascii="Arial" w:cs="Arial" w:eastAsia="Arial" w:hAnsi="Arial"/>
          <w:sz w:val="16"/>
          <w:szCs w:val="16"/>
          <w:color w:val="auto"/>
        </w:rPr>
      </w:pPr>
    </w:p>
    <w:p>
      <w:pPr>
        <w:ind w:left="1320" w:right="20"/>
        <w:spacing w:after="0" w:line="290" w:lineRule="auto"/>
        <w:rPr>
          <w:rFonts w:ascii="Arial" w:cs="Arial" w:eastAsia="Arial" w:hAnsi="Arial"/>
          <w:sz w:val="16"/>
          <w:szCs w:val="16"/>
          <w:color w:val="auto"/>
        </w:rPr>
      </w:pPr>
      <w:r>
        <w:rPr>
          <w:rFonts w:ascii="Arial" w:cs="Arial" w:eastAsia="Arial" w:hAnsi="Arial"/>
          <w:sz w:val="16"/>
          <w:szCs w:val="16"/>
          <w:color w:val="auto"/>
        </w:rPr>
        <w:t>(e.g., tyrosine kinase inhibitors, chemotherapy). In addition, over-expression of AXL is observed in advanced tumors with epithelial-mesenchymal transition, or EMT-like features. In May 2018, we launched the NSCLC, melanoma and sarcoma expansion cohorts of our ongoing Phase I/II clinical trial of enapotamab vedotin for the treatment of multiple types of solid tumors. In September 2018, based on encouraging signs of early activity, we expanded one of the lung cancer cohorts, and announced our plans to include additional cohorts in the study. We expect to report initial efficacy analysis from the expansion cohort phase of this study in 2019. We have full development and commercialization rights for enapotamab vedotin.</w:t>
      </w:r>
    </w:p>
    <w:p>
      <w:pPr>
        <w:spacing w:after="0" w:line="185" w:lineRule="exact"/>
        <w:rPr>
          <w:rFonts w:ascii="Arial" w:cs="Arial" w:eastAsia="Arial" w:hAnsi="Arial"/>
          <w:sz w:val="16"/>
          <w:szCs w:val="16"/>
          <w:color w:val="auto"/>
        </w:rPr>
      </w:pPr>
    </w:p>
    <w:p>
      <w:pPr>
        <w:ind w:left="1320" w:right="40" w:hanging="538"/>
        <w:spacing w:after="0" w:line="294"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HexaBody-DR5/DR5: </w:t>
      </w:r>
      <w:r>
        <w:rPr>
          <w:rFonts w:ascii="Arial" w:cs="Arial" w:eastAsia="Arial" w:hAnsi="Arial"/>
          <w:sz w:val="16"/>
          <w:szCs w:val="16"/>
          <w:color w:val="auto"/>
        </w:rPr>
        <w:t>an antibody therapeutic candidate created with our proprietary HexaBody® technology that is composed of two</w:t>
      </w:r>
      <w:r>
        <w:rPr>
          <w:rFonts w:ascii="Arial" w:cs="Arial" w:eastAsia="Arial" w:hAnsi="Arial"/>
          <w:sz w:val="16"/>
          <w:szCs w:val="16"/>
          <w:i w:val="1"/>
          <w:iCs w:val="1"/>
          <w:color w:val="auto"/>
        </w:rPr>
        <w:t xml:space="preserve"> </w:t>
      </w:r>
      <w:r>
        <w:rPr>
          <w:rFonts w:ascii="Arial" w:cs="Arial" w:eastAsia="Arial" w:hAnsi="Arial"/>
          <w:sz w:val="16"/>
          <w:szCs w:val="16"/>
          <w:color w:val="auto"/>
        </w:rPr>
        <w:t>non-competing HexaBody antibody molecules that are designed to target two distinct epitopes on death receptor 5, or DR5, a cell surface receptor that mediates a process called programmed cell death. In May 2018, we dosed the first patient in our Phase I/II clinical trial of HexaBody-DR5/DR5 for the treatment of solid tumors. We expect to report initial clinical data from this study in 2019. We have full development and commercialization rights for HexaBody-DR5/DR5.</w:t>
      </w:r>
    </w:p>
    <w:p>
      <w:pPr>
        <w:spacing w:after="0" w:line="196" w:lineRule="exact"/>
        <w:rPr>
          <w:rFonts w:ascii="Arial" w:cs="Arial" w:eastAsia="Arial" w:hAnsi="Arial"/>
          <w:sz w:val="16"/>
          <w:szCs w:val="16"/>
          <w:color w:val="auto"/>
        </w:rPr>
      </w:pPr>
    </w:p>
    <w:p>
      <w:pPr>
        <w:ind w:left="1320" w:right="120" w:hanging="538"/>
        <w:spacing w:after="0" w:line="25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DuoBody-CD3xCD20: </w:t>
      </w:r>
      <w:r>
        <w:rPr>
          <w:rFonts w:ascii="Arial" w:cs="Arial" w:eastAsia="Arial" w:hAnsi="Arial"/>
          <w:sz w:val="18"/>
          <w:szCs w:val="18"/>
          <w:color w:val="auto"/>
        </w:rPr>
        <w:t>a bispecific antibody created using our proprietary DuoBody® technology that is designed to target CD3,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expressed on all T-cell subtypes and CD20, a well-validated therapeutic target expressed in a majority of B-cell malignancies. In July 2018, we dosed the first patient in our Phase I/II clinical trial of a subQ formulation of DuoBody-CD3xCD20 for the treatment of B-cell malignancies. We expect to report initial clinical data from this study in 2019. We have full development and commercialization rights for DuoBody-CD3xCD20.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30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3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Partnered Product Candidates</w:t>
      </w:r>
    </w:p>
    <w:p>
      <w:pPr>
        <w:spacing w:after="0" w:line="225"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In addition to our proprietary product candidates and our two partnered marketed products in ongoing label expansion studies, our partners have eight additional product candidates in clinical development through collaboration agreements with us. These include several antibodies being developed by Janssen using our proprietary DuoBody technology, which are being tested to treat NSCLC, R/R acute myeloid leukemia and certain MM indications. Additional products are being developed in partnership with Hoffman-La Roche Inc. and F. Hoffman-La Roche, or jointly Roche, through a sublicense with Horizon Pharma plc, or Horizon Pharma, Bristol-Myers Squibb, or BMS, ADC Therapeutics Sarl, or ADC Therapeutics, H. Lundbeck A/S, or Lundbeck, and Amgen Inc., or Amgen. Other than daratumumab and ofatumumab, our most advanced partnered clinical product candidate is teprotumumab, which is currently in Phase III clinical development by Horizon Pharma for the treatment of Graves' orbitopathy.</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225" w:lineRule="exact"/>
        <w:rPr>
          <w:sz w:val="20"/>
          <w:szCs w:val="20"/>
          <w:color w:val="auto"/>
        </w:rPr>
      </w:pPr>
    </w:p>
    <w:p>
      <w:pPr>
        <w:ind w:left="240" w:right="40" w:firstLine="351"/>
        <w:spacing w:after="0" w:line="309" w:lineRule="auto"/>
        <w:rPr>
          <w:sz w:val="20"/>
          <w:szCs w:val="20"/>
          <w:color w:val="auto"/>
        </w:rPr>
      </w:pPr>
      <w:r>
        <w:rPr>
          <w:rFonts w:ascii="Arial" w:cs="Arial" w:eastAsia="Arial" w:hAnsi="Arial"/>
          <w:sz w:val="15"/>
          <w:szCs w:val="15"/>
          <w:color w:val="auto"/>
        </w:rPr>
        <w:t>In addition to our proprietary and partnered products and product candidates, our portfolio includes four proprietary antibody technology platforms, which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 We currently have four commercial partners for the DuoBody technology, Janssen, BioNTech AG, or BioNTech, Novo Nordisk A/S, or Novo Nordisk, and Gilead Sciences, Inc., or Gilead Sciences, and we actively seek partners interested in developing potential antibody therapeutics using our technologies.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Core Purpose and Vision</w:t>
      </w:r>
    </w:p>
    <w:p>
      <w:pPr>
        <w:spacing w:after="0" w:line="231" w:lineRule="exact"/>
        <w:rPr>
          <w:sz w:val="20"/>
          <w:szCs w:val="20"/>
          <w:color w:val="auto"/>
        </w:rPr>
      </w:pPr>
    </w:p>
    <w:p>
      <w:pPr>
        <w:ind w:left="240" w:right="360" w:firstLine="351"/>
        <w:spacing w:after="0" w:line="331" w:lineRule="auto"/>
        <w:rPr>
          <w:sz w:val="20"/>
          <w:szCs w:val="20"/>
          <w:color w:val="auto"/>
        </w:rPr>
      </w:pPr>
      <w:r>
        <w:rPr>
          <w:rFonts w:ascii="Arial" w:cs="Arial" w:eastAsia="Arial" w:hAnsi="Arial"/>
          <w:sz w:val="16"/>
          <w:szCs w:val="16"/>
          <w:color w:val="auto"/>
        </w:rPr>
        <w:t>Our core purpose is to improve the lives of patients by creating and developing innovative antibody products. Our vision is to transform cancer treatment by launching our own proprietary product by 2025 and advancing our pipeline of differentiated and well-tolerated antibodies.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our strengths that will enable us to achieve our vision and fulfill our core purpose include:</w:t>
      </w:r>
    </w:p>
    <w:p>
      <w:pPr>
        <w:spacing w:after="0" w:line="252" w:lineRule="exact"/>
        <w:rPr>
          <w:sz w:val="20"/>
          <w:szCs w:val="20"/>
          <w:color w:val="auto"/>
        </w:rPr>
      </w:pPr>
    </w:p>
    <w:p>
      <w:pPr>
        <w:ind w:left="1320" w:hanging="538"/>
        <w:spacing w:after="0" w:line="25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DARZALEX, a blockbuster antibody in multiple myeloma, with opportunity for significant upside through potential label expansion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DARZALEX is a proven commercial success in its approved MM indications, achieving blockbuster status in 2017 with $1.2 billion of net sales by Janssen, resulting in royalties to us of DKK 1,013.2 million ($150.4 million). In addition to daratumumab's approved indications, Janssen is currently investigating daratumumab for additional indications in MM and beyond, including key studies in frontline MM and a subQ formulation of daratumumab. If successful, these proposed label expansions could result in milestone payments and additional royalties to us.</w:t>
      </w:r>
    </w:p>
    <w:p>
      <w:pPr>
        <w:spacing w:after="0" w:line="211" w:lineRule="exact"/>
        <w:rPr>
          <w:rFonts w:ascii="Arial" w:cs="Arial" w:eastAsia="Arial" w:hAnsi="Arial"/>
          <w:sz w:val="18"/>
          <w:szCs w:val="18"/>
          <w:color w:val="auto"/>
        </w:rPr>
      </w:pPr>
    </w:p>
    <w:p>
      <w:pPr>
        <w:ind w:left="1320" w:right="60" w:hanging="538"/>
        <w:spacing w:after="0" w:line="291"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Royalty potential from ongoing pivotal Phase III trials of ofatumumab in MS. </w:t>
      </w:r>
      <w:r>
        <w:rPr>
          <w:rFonts w:ascii="Arial" w:cs="Arial" w:eastAsia="Arial" w:hAnsi="Arial"/>
          <w:sz w:val="16"/>
          <w:szCs w:val="16"/>
          <w:color w:val="auto"/>
        </w:rPr>
        <w:t>Ofatumumab, previously approved for certain CLL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indications, is in pivotal Phase III testing by Novartis for the treatment of RMS, with the Phase III ASCLEPIOS I and II studies expected to be completed in 2019. Subject to successful completion of these studies and Novartis' ability to obtain approval for and successfully commercialize ofatumumab for the treatment of RMS, we may receive a meaningful royalty stream. We believe that ofatumumab may potentially offer a number of competitive advantages in the MS treatment market compared to other B-cell therapies, including more convenient and less disruptive dosing options through a low-dose subQ formulation.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990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20" w:right="40" w:hanging="538"/>
        <w:spacing w:after="0" w:line="294"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and differentiated proprietary pipeline. </w:t>
      </w:r>
      <w:r>
        <w:rPr>
          <w:rFonts w:ascii="Arial" w:cs="Arial" w:eastAsia="Arial" w:hAnsi="Arial"/>
          <w:sz w:val="16"/>
          <w:szCs w:val="16"/>
          <w:color w:val="auto"/>
        </w:rPr>
        <w:t>We believe that our clinical and pre-clinical pipeline of proprietary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us well to achieve our vision. Our four product candidates at various stages of clinical development offer multiple opportunities to transform cancer treatment by launching our own proprietary product by 2025. In addition, we have multiple differentiated antibody product candidates in pre-clinical development that we believe may have the potential to transform cancer treatment, including three product candidates for which we expect to submit INDs and/or CTAs in 2019.</w:t>
      </w:r>
    </w:p>
    <w:p>
      <w:pPr>
        <w:spacing w:after="0" w:line="182" w:lineRule="exact"/>
        <w:rPr>
          <w:rFonts w:ascii="Arial" w:cs="Arial" w:eastAsia="Arial" w:hAnsi="Arial"/>
          <w:sz w:val="16"/>
          <w:szCs w:val="16"/>
          <w:color w:val="auto"/>
        </w:rPr>
      </w:pPr>
    </w:p>
    <w:p>
      <w:pPr>
        <w:ind w:left="1320" w:right="140" w:hanging="538"/>
        <w:spacing w:after="0" w:line="294"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product generation capabilities. </w:t>
      </w:r>
      <w:r>
        <w:rPr>
          <w:rFonts w:ascii="Arial" w:cs="Arial" w:eastAsia="Arial" w:hAnsi="Arial"/>
          <w:sz w:val="16"/>
          <w:szCs w:val="16"/>
          <w:color w:val="auto"/>
        </w:rPr>
        <w:t>Our research and development team has a proven track record of creating and developing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and progressing them through clinical development. We created daratumumab and ofatumumab and conducted early clinical studies before partnering with Janssen and GlaxoSmithKline, or GSK, respectively, to continue late-stage development and commercialization. In addition, since 1999, we or our partners have submitted 31 INDs or CTAs for product candidates created by us or using our proprietary technologies, 17 of which are currently in development by us or our partners.</w:t>
      </w:r>
    </w:p>
    <w:p>
      <w:pPr>
        <w:spacing w:after="0" w:line="182" w:lineRule="exact"/>
        <w:rPr>
          <w:rFonts w:ascii="Arial" w:cs="Arial" w:eastAsia="Arial" w:hAnsi="Arial"/>
          <w:sz w:val="16"/>
          <w:szCs w:val="16"/>
          <w:color w:val="auto"/>
        </w:rPr>
      </w:pPr>
    </w:p>
    <w:p>
      <w:pPr>
        <w:ind w:left="1320" w:right="80" w:hanging="538"/>
        <w:spacing w:after="0" w:line="306"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Novel proprietary, next-generation antibody technologies. </w:t>
      </w:r>
      <w:r>
        <w:rPr>
          <w:rFonts w:ascii="Arial" w:cs="Arial" w:eastAsia="Arial" w:hAnsi="Arial"/>
          <w:sz w:val="16"/>
          <w:szCs w:val="16"/>
          <w:color w:val="auto"/>
        </w:rPr>
        <w:t>Our proprietary antibody technology platforms provide the foundation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research, a resource for the development of new product candidates, an income stream from technology licensing and an opportunity to contribute to the development of new antibody therapies through our licensing partners.</w:t>
      </w:r>
    </w:p>
    <w:p>
      <w:pPr>
        <w:spacing w:after="0" w:line="187" w:lineRule="exact"/>
        <w:rPr>
          <w:rFonts w:ascii="Arial" w:cs="Arial" w:eastAsia="Arial" w:hAnsi="Arial"/>
          <w:sz w:val="16"/>
          <w:szCs w:val="16"/>
          <w:color w:val="auto"/>
        </w:rPr>
      </w:pPr>
    </w:p>
    <w:p>
      <w:pPr>
        <w:ind w:left="1320" w:hanging="538"/>
        <w:spacing w:after="0" w:line="291"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alliances. </w:t>
      </w:r>
      <w:r>
        <w:rPr>
          <w:rFonts w:ascii="Arial" w:cs="Arial" w:eastAsia="Arial" w:hAnsi="Arial"/>
          <w:sz w:val="16"/>
          <w:szCs w:val="16"/>
          <w:color w:val="auto"/>
        </w:rPr>
        <w:t>We have an active portfolio of strategic collaborations with a large number of pharmaceutical and biotechnology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including clinical and pre-clinical product candidates currently being developed by our partners, as well as a number of technology collaborations. In the past, these collaborations have provided us with a capital-efficient model to finance development costs and advance our product candidates through clinical development while also funding the further growth of our pipeline through milestone payments and royalties. Today, we focus on strategic alliances that build our network in the biotechnology space and give us access to complementary novel technologies or products that move us closer to achieving our vision and fulfilling our core purpose.</w:t>
      </w:r>
    </w:p>
    <w:p>
      <w:pPr>
        <w:spacing w:after="0" w:line="187" w:lineRule="exact"/>
        <w:rPr>
          <w:rFonts w:ascii="Arial" w:cs="Arial" w:eastAsia="Arial" w:hAnsi="Arial"/>
          <w:sz w:val="16"/>
          <w:szCs w:val="16"/>
          <w:color w:val="auto"/>
        </w:rPr>
      </w:pPr>
    </w:p>
    <w:p>
      <w:pPr>
        <w:ind w:left="1320" w:right="180" w:hanging="538"/>
        <w:spacing w:after="0" w:line="256"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team. </w:t>
      </w:r>
      <w:r>
        <w:rPr>
          <w:rFonts w:ascii="Arial" w:cs="Arial" w:eastAsia="Arial" w:hAnsi="Arial"/>
          <w:sz w:val="18"/>
          <w:szCs w:val="18"/>
          <w:color w:val="auto"/>
        </w:rPr>
        <w:t>We have a world-class team of highly skilled and educated scientific, development and other industry professionals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extensive experience in the pharmaceutical and biotechnology fields. Our employees are our most important asset and we strive to attract and retain the most qualified people to fulfill our core purpose. We are currently recruiting a team of seasoned professionals to build and expand our commercialization capabilities.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85" w:lineRule="exact"/>
        <w:rPr>
          <w:sz w:val="20"/>
          <w:szCs w:val="20"/>
          <w:color w:val="auto"/>
        </w:rPr>
      </w:pPr>
    </w:p>
    <w:p>
      <w:pPr>
        <w:ind w:left="1320" w:hanging="538"/>
        <w:spacing w:after="0"/>
        <w:tabs>
          <w:tab w:leader="none" w:pos="1320" w:val="left"/>
        </w:tabs>
        <w:numPr>
          <w:ilvl w:val="0"/>
          <w:numId w:val="10"/>
        </w:numPr>
        <w:rPr>
          <w:rFonts w:ascii="Arial" w:cs="Arial" w:eastAsia="Arial" w:hAnsi="Arial"/>
          <w:sz w:val="35"/>
          <w:szCs w:val="35"/>
          <w:color w:val="auto"/>
          <w:vertAlign w:val="superscript"/>
        </w:rPr>
      </w:pPr>
      <w:r>
        <w:rPr>
          <w:rFonts w:ascii="Arial" w:cs="Arial" w:eastAsia="Arial" w:hAnsi="Arial"/>
          <w:sz w:val="18"/>
          <w:szCs w:val="18"/>
          <w:i w:val="1"/>
          <w:iCs w:val="1"/>
          <w:color w:val="auto"/>
        </w:rPr>
        <w:t>Collaborate with Janssen to advance daratumumab.</w:t>
      </w:r>
    </w:p>
    <w:p>
      <w:pPr>
        <w:spacing w:after="0" w:line="194" w:lineRule="exact"/>
        <w:rPr>
          <w:rFonts w:ascii="Arial" w:cs="Arial" w:eastAsia="Arial" w:hAnsi="Arial"/>
          <w:sz w:val="35"/>
          <w:szCs w:val="35"/>
          <w:color w:val="auto"/>
          <w:vertAlign w:val="superscript"/>
        </w:rPr>
      </w:pPr>
    </w:p>
    <w:p>
      <w:pPr>
        <w:ind w:left="1320" w:hanging="538"/>
        <w:spacing w:after="0" w:line="184" w:lineRule="auto"/>
        <w:tabs>
          <w:tab w:leader="none" w:pos="1320" w:val="left"/>
        </w:tabs>
        <w:numPr>
          <w:ilvl w:val="0"/>
          <w:numId w:val="10"/>
        </w:numPr>
        <w:rPr>
          <w:rFonts w:ascii="Arial" w:cs="Arial" w:eastAsia="Arial" w:hAnsi="Arial"/>
          <w:sz w:val="33"/>
          <w:szCs w:val="33"/>
          <w:color w:val="auto"/>
          <w:vertAlign w:val="superscript"/>
        </w:rPr>
      </w:pPr>
      <w:r>
        <w:rPr>
          <w:rFonts w:ascii="Arial" w:cs="Arial" w:eastAsia="Arial" w:hAnsi="Arial"/>
          <w:sz w:val="17"/>
          <w:szCs w:val="17"/>
          <w:i w:val="1"/>
          <w:iCs w:val="1"/>
          <w:color w:val="auto"/>
        </w:rPr>
        <w:t>Collaborate with Novartis to advance ofatumumab.</w:t>
      </w:r>
    </w:p>
    <w:p>
      <w:pPr>
        <w:spacing w:after="0" w:line="181" w:lineRule="exact"/>
        <w:rPr>
          <w:rFonts w:ascii="Arial" w:cs="Arial" w:eastAsia="Arial" w:hAnsi="Arial"/>
          <w:sz w:val="33"/>
          <w:szCs w:val="33"/>
          <w:color w:val="auto"/>
          <w:vertAlign w:val="superscript"/>
        </w:rPr>
      </w:pPr>
    </w:p>
    <w:p>
      <w:pPr>
        <w:ind w:left="1320" w:hanging="538"/>
        <w:spacing w:after="0" w:line="184" w:lineRule="auto"/>
        <w:tabs>
          <w:tab w:leader="none" w:pos="1320" w:val="left"/>
        </w:tabs>
        <w:numPr>
          <w:ilvl w:val="0"/>
          <w:numId w:val="10"/>
        </w:numPr>
        <w:rPr>
          <w:rFonts w:ascii="Arial" w:cs="Arial" w:eastAsia="Arial" w:hAnsi="Arial"/>
          <w:sz w:val="33"/>
          <w:szCs w:val="33"/>
          <w:color w:val="auto"/>
          <w:vertAlign w:val="superscript"/>
        </w:rPr>
      </w:pPr>
      <w:r>
        <w:rPr>
          <w:rFonts w:ascii="Arial" w:cs="Arial" w:eastAsia="Arial" w:hAnsi="Arial"/>
          <w:sz w:val="17"/>
          <w:szCs w:val="17"/>
          <w:i w:val="1"/>
          <w:iCs w:val="1"/>
          <w:color w:val="auto"/>
        </w:rPr>
        <w:t>Actively advance and expand our proprietary product pipeline.</w:t>
      </w:r>
    </w:p>
    <w:p>
      <w:pPr>
        <w:spacing w:after="0" w:line="195" w:lineRule="exact"/>
        <w:rPr>
          <w:rFonts w:ascii="Arial" w:cs="Arial" w:eastAsia="Arial" w:hAnsi="Arial"/>
          <w:sz w:val="33"/>
          <w:szCs w:val="33"/>
          <w:color w:val="auto"/>
          <w:vertAlign w:val="superscript"/>
        </w:rPr>
      </w:pPr>
    </w:p>
    <w:p>
      <w:pPr>
        <w:ind w:left="1320" w:hanging="538"/>
        <w:spacing w:after="0" w:line="181" w:lineRule="auto"/>
        <w:tabs>
          <w:tab w:leader="none" w:pos="1320"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i w:val="1"/>
          <w:iCs w:val="1"/>
          <w:color w:val="auto"/>
        </w:rPr>
        <w:t>Strengthen our product portfolio with strategic collaborations.</w:t>
      </w:r>
    </w:p>
    <w:p>
      <w:pPr>
        <w:spacing w:after="0" w:line="194" w:lineRule="exact"/>
        <w:rPr>
          <w:rFonts w:ascii="Arial" w:cs="Arial" w:eastAsia="Arial" w:hAnsi="Arial"/>
          <w:sz w:val="32"/>
          <w:szCs w:val="32"/>
          <w:color w:val="auto"/>
          <w:vertAlign w:val="superscript"/>
        </w:rPr>
      </w:pPr>
    </w:p>
    <w:p>
      <w:pPr>
        <w:ind w:left="1320" w:hanging="538"/>
        <w:spacing w:after="0" w:line="184" w:lineRule="auto"/>
        <w:tabs>
          <w:tab w:leader="none" w:pos="1320" w:val="left"/>
        </w:tabs>
        <w:numPr>
          <w:ilvl w:val="0"/>
          <w:numId w:val="10"/>
        </w:numPr>
        <w:rPr>
          <w:rFonts w:ascii="Arial" w:cs="Arial" w:eastAsia="Arial" w:hAnsi="Arial"/>
          <w:sz w:val="33"/>
          <w:szCs w:val="33"/>
          <w:color w:val="auto"/>
          <w:vertAlign w:val="superscript"/>
        </w:rPr>
      </w:pPr>
      <w:r>
        <w:rPr>
          <w:rFonts w:ascii="Arial" w:cs="Arial" w:eastAsia="Arial" w:hAnsi="Arial"/>
          <w:sz w:val="17"/>
          <w:szCs w:val="17"/>
          <w:i w:val="1"/>
          <w:iCs w:val="1"/>
          <w:color w:val="auto"/>
        </w:rPr>
        <w:t>Leverage our proprietary technology platforms.</w:t>
      </w:r>
    </w:p>
    <w:p>
      <w:pPr>
        <w:spacing w:after="0" w:line="181" w:lineRule="exact"/>
        <w:rPr>
          <w:rFonts w:ascii="Arial" w:cs="Arial" w:eastAsia="Arial" w:hAnsi="Arial"/>
          <w:sz w:val="33"/>
          <w:szCs w:val="33"/>
          <w:color w:val="auto"/>
          <w:vertAlign w:val="superscript"/>
        </w:rPr>
      </w:pPr>
    </w:p>
    <w:p>
      <w:pPr>
        <w:ind w:left="1320" w:hanging="538"/>
        <w:spacing w:after="0" w:line="184" w:lineRule="auto"/>
        <w:tabs>
          <w:tab w:leader="none" w:pos="1320" w:val="left"/>
        </w:tabs>
        <w:numPr>
          <w:ilvl w:val="0"/>
          <w:numId w:val="10"/>
        </w:numPr>
        <w:rPr>
          <w:rFonts w:ascii="Arial" w:cs="Arial" w:eastAsia="Arial" w:hAnsi="Arial"/>
          <w:sz w:val="33"/>
          <w:szCs w:val="33"/>
          <w:color w:val="auto"/>
          <w:vertAlign w:val="superscript"/>
        </w:rPr>
      </w:pPr>
      <w:r>
        <w:rPr>
          <w:rFonts w:ascii="Arial" w:cs="Arial" w:eastAsia="Arial" w:hAnsi="Arial"/>
          <w:sz w:val="17"/>
          <w:szCs w:val="17"/>
          <w:i w:val="1"/>
          <w:iCs w:val="1"/>
          <w:color w:val="auto"/>
        </w:rPr>
        <w:t>Build our translational research capabilities.</w:t>
      </w:r>
    </w:p>
    <w:p>
      <w:pPr>
        <w:spacing w:after="0" w:line="224" w:lineRule="exact"/>
        <w:rPr>
          <w:rFonts w:ascii="Arial" w:cs="Arial" w:eastAsia="Arial" w:hAnsi="Arial"/>
          <w:sz w:val="33"/>
          <w:szCs w:val="33"/>
          <w:color w:val="auto"/>
          <w:vertAlign w:val="superscript"/>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Build our commercial capabilities to market select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596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220" w:firstLine="351"/>
        <w:spacing w:after="0" w:line="331"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8" w:lineRule="exact"/>
        <w:rPr>
          <w:sz w:val="20"/>
          <w:szCs w:val="20"/>
          <w:color w:val="auto"/>
        </w:rPr>
      </w:pPr>
    </w:p>
    <w:p>
      <w:pPr>
        <w:ind w:left="1320" w:right="100" w:hanging="538"/>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207" w:lineRule="exact"/>
        <w:rPr>
          <w:rFonts w:ascii="Arial" w:cs="Arial" w:eastAsia="Arial" w:hAnsi="Arial"/>
          <w:sz w:val="18"/>
          <w:szCs w:val="18"/>
          <w:color w:val="auto"/>
        </w:rPr>
      </w:pPr>
    </w:p>
    <w:p>
      <w:pPr>
        <w:ind w:left="1320" w:right="40" w:hanging="538"/>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207" w:lineRule="exact"/>
        <w:rPr>
          <w:rFonts w:ascii="Arial" w:cs="Arial" w:eastAsia="Arial" w:hAnsi="Arial"/>
          <w:sz w:val="18"/>
          <w:szCs w:val="18"/>
          <w:color w:val="auto"/>
        </w:rPr>
      </w:pPr>
    </w:p>
    <w:p>
      <w:pPr>
        <w:jc w:val="both"/>
        <w:ind w:left="1320" w:hanging="538"/>
        <w:spacing w:after="0" w:line="369" w:lineRule="auto"/>
        <w:tabs>
          <w:tab w:leader="none" w:pos="1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44" w:lineRule="exact"/>
        <w:rPr>
          <w:rFonts w:ascii="Arial" w:cs="Arial" w:eastAsia="Arial" w:hAnsi="Arial"/>
          <w:sz w:val="15"/>
          <w:szCs w:val="15"/>
          <w:color w:val="auto"/>
        </w:rPr>
      </w:pPr>
    </w:p>
    <w:p>
      <w:pPr>
        <w:ind w:left="1320" w:right="240" w:hanging="538"/>
        <w:spacing w:after="0" w:line="306" w:lineRule="auto"/>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no history of commercializing our marketed products. Building our commercialization capabilities will require significant investment of time and money. There can be no assurance that we will successfully set up our commercialization capabilities in any of the proposed jurisdictions or at all, or that we will successfully commercialize any of our product candidates in the future.</w:t>
      </w:r>
    </w:p>
    <w:p>
      <w:pPr>
        <w:spacing w:after="0" w:line="173" w:lineRule="exact"/>
        <w:rPr>
          <w:rFonts w:ascii="Arial" w:cs="Arial" w:eastAsia="Arial" w:hAnsi="Arial"/>
          <w:sz w:val="16"/>
          <w:szCs w:val="16"/>
          <w:color w:val="auto"/>
        </w:rPr>
      </w:pPr>
    </w:p>
    <w:p>
      <w:pPr>
        <w:ind w:left="1320" w:right="360" w:hanging="538"/>
        <w:spacing w:after="0" w:line="331" w:lineRule="auto"/>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54" w:lineRule="exact"/>
        <w:rPr>
          <w:rFonts w:ascii="Arial" w:cs="Arial" w:eastAsia="Arial" w:hAnsi="Arial"/>
          <w:sz w:val="16"/>
          <w:szCs w:val="16"/>
          <w:color w:val="auto"/>
        </w:rPr>
      </w:pPr>
    </w:p>
    <w:p>
      <w:pPr>
        <w:ind w:left="1320" w:right="38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are an important part of our strategy and we may not be able to continue our current partnerships or establish additional partnerships.</w:t>
      </w:r>
    </w:p>
    <w:p>
      <w:pPr>
        <w:spacing w:after="0" w:line="212" w:lineRule="exact"/>
        <w:rPr>
          <w:rFonts w:ascii="Arial" w:cs="Arial" w:eastAsia="Arial" w:hAnsi="Arial"/>
          <w:sz w:val="18"/>
          <w:szCs w:val="18"/>
          <w:color w:val="auto"/>
        </w:rPr>
      </w:pPr>
    </w:p>
    <w:p>
      <w:pPr>
        <w:ind w:left="1320" w:right="440" w:hanging="538"/>
        <w:spacing w:after="0" w:line="369" w:lineRule="auto"/>
        <w:tabs>
          <w:tab w:leader="none" w:pos="1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131" w:lineRule="exact"/>
        <w:rPr>
          <w:rFonts w:ascii="Arial" w:cs="Arial" w:eastAsia="Arial" w:hAnsi="Arial"/>
          <w:sz w:val="15"/>
          <w:szCs w:val="15"/>
          <w:color w:val="auto"/>
        </w:rPr>
      </w:pPr>
    </w:p>
    <w:p>
      <w:pPr>
        <w:ind w:left="1320" w:right="320" w:hanging="538"/>
        <w:spacing w:after="0" w:line="298" w:lineRule="auto"/>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product candidates will need to undergo clinical trials that are time 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79" w:lineRule="exact"/>
        <w:rPr>
          <w:rFonts w:ascii="Arial" w:cs="Arial" w:eastAsia="Arial" w:hAnsi="Arial"/>
          <w:sz w:val="16"/>
          <w:szCs w:val="16"/>
          <w:color w:val="auto"/>
        </w:rPr>
      </w:pPr>
    </w:p>
    <w:p>
      <w:pPr>
        <w:ind w:left="1320" w:right="60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extensive and costly government regulation, and are required to obtain and maintain governmental approvals to commercialize our products.</w:t>
      </w:r>
    </w:p>
    <w:p>
      <w:pPr>
        <w:spacing w:after="0" w:line="212" w:lineRule="exact"/>
        <w:rPr>
          <w:rFonts w:ascii="Arial" w:cs="Arial" w:eastAsia="Arial" w:hAnsi="Arial"/>
          <w:sz w:val="18"/>
          <w:szCs w:val="18"/>
          <w:color w:val="auto"/>
        </w:rPr>
      </w:pPr>
    </w:p>
    <w:p>
      <w:pPr>
        <w:jc w:val="both"/>
        <w:ind w:left="1320" w:right="40" w:hanging="538"/>
        <w:spacing w:after="0" w:line="25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of adverse or undesirable events or safety concerns involving daratumumab, ofatumumab or our proprietary or partnered product candidates could delay or prevent us or our partners from obtaining or maintaining regulatory approvals, or could negatively impact sales and prospects of our products and product candidates.</w:t>
      </w:r>
    </w:p>
    <w:p>
      <w:pPr>
        <w:spacing w:after="0" w:line="207" w:lineRule="exact"/>
        <w:rPr>
          <w:rFonts w:ascii="Arial" w:cs="Arial" w:eastAsia="Arial" w:hAnsi="Arial"/>
          <w:sz w:val="18"/>
          <w:szCs w:val="18"/>
          <w:color w:val="auto"/>
        </w:rPr>
      </w:pPr>
    </w:p>
    <w:p>
      <w:pPr>
        <w:ind w:left="1320" w:right="3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and rapid technological change, which may result in others discovering, developing or commercializing competing products before or more successfully than we do, or earlier than we anticipate.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562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20" w:hanging="538"/>
        <w:spacing w:after="0" w:line="331"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expect to incur higher research and development costs and general and administrative expenses in future periods as we advance our proprietary product candidates through clinical development and expand our commercial capabilities.</w:t>
      </w:r>
    </w:p>
    <w:p>
      <w:pPr>
        <w:spacing w:after="0" w:line="154" w:lineRule="exact"/>
        <w:rPr>
          <w:rFonts w:ascii="Arial" w:cs="Arial" w:eastAsia="Arial" w:hAnsi="Arial"/>
          <w:sz w:val="16"/>
          <w:szCs w:val="16"/>
          <w:color w:val="auto"/>
        </w:rPr>
      </w:pPr>
    </w:p>
    <w:p>
      <w:pPr>
        <w:ind w:left="1320" w:right="180" w:hanging="538"/>
        <w:spacing w:after="0" w:line="331"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1" w:lineRule="exact"/>
        <w:rPr>
          <w:sz w:val="20"/>
          <w:szCs w:val="20"/>
          <w:color w:val="auto"/>
        </w:rPr>
      </w:pPr>
    </w:p>
    <w:p>
      <w:pPr>
        <w:ind w:left="240" w:right="160" w:firstLine="341"/>
        <w:spacing w:after="0" w:line="306"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74" w:lineRule="exact"/>
        <w:rPr>
          <w:sz w:val="20"/>
          <w:szCs w:val="20"/>
          <w:color w:val="auto"/>
        </w:rPr>
      </w:pPr>
    </w:p>
    <w:p>
      <w:pPr>
        <w:ind w:left="1320" w:right="38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requirement to include only two years of audited financial statements and only two years of related Management's Discussion and Analysis of Financial Condition and Results of Operations disclosure; and</w:t>
      </w:r>
    </w:p>
    <w:p>
      <w:pPr>
        <w:spacing w:after="0" w:line="212" w:lineRule="exact"/>
        <w:rPr>
          <w:rFonts w:ascii="Arial" w:cs="Arial" w:eastAsia="Arial" w:hAnsi="Arial"/>
          <w:sz w:val="18"/>
          <w:szCs w:val="18"/>
          <w:color w:val="auto"/>
        </w:rPr>
      </w:pPr>
    </w:p>
    <w:p>
      <w:pPr>
        <w:ind w:left="1320" w:right="18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or the Sarbanes-Oxley Act.</w:t>
      </w:r>
    </w:p>
    <w:p>
      <w:pPr>
        <w:spacing w:after="0" w:line="186"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may choose to take advantage of some but not all of these reduced burdens, and therefore the information that we provide holders of shares and ADSs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currently prepare our consolidated financial statements in accordance with IFRS as issued by the IASB, so we are unable to make use of the extended transition period. However, in the event that we convert to accounting principles generally accepted in the United States (which we do not currently intend to do) while we remain an emerging growth company, we have irrevocably elected to opt out of such extended transition period.</w:t>
      </w:r>
    </w:p>
    <w:p>
      <w:pPr>
        <w:spacing w:after="0" w:line="172" w:lineRule="exact"/>
        <w:rPr>
          <w:sz w:val="20"/>
          <w:szCs w:val="20"/>
          <w:color w:val="auto"/>
        </w:rPr>
      </w:pPr>
    </w:p>
    <w:p>
      <w:pPr>
        <w:ind w:left="240" w:right="240" w:firstLine="348"/>
        <w:spacing w:after="0" w:line="268"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will cease to be an emerging growth company upon the earliest of the following:</w:t>
      </w:r>
    </w:p>
    <w:p>
      <w:pPr>
        <w:spacing w:after="0" w:line="199" w:lineRule="exact"/>
        <w:rPr>
          <w:sz w:val="20"/>
          <w:szCs w:val="20"/>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revenues were at least $1.07 billion;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securities over a three-year period; and</w:t>
      </w:r>
    </w:p>
    <w:p>
      <w:pPr>
        <w:spacing w:after="0" w:line="238" w:lineRule="exact"/>
        <w:rPr>
          <w:rFonts w:ascii="Arial" w:cs="Arial" w:eastAsia="Arial" w:hAnsi="Arial"/>
          <w:sz w:val="18"/>
          <w:szCs w:val="18"/>
          <w:color w:val="auto"/>
        </w:rPr>
      </w:pPr>
    </w:p>
    <w:p>
      <w:pPr>
        <w:ind w:left="1320" w:hanging="538"/>
        <w:spacing w:after="0" w:line="256"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during which we meet the following conditions: (i) the worldwide market value of our common equity securities held by non-affiliates as of our most recently completed second fiscal quarter is at least $700 million, (ii) we have been subject to U.S. public company reporting requirements for at least 12 months and (iii) we have filed at least one annual report as a U.S. public company.</w:t>
      </w:r>
    </w:p>
    <w:p>
      <w:pPr>
        <w:spacing w:after="0" w:line="197" w:lineRule="exact"/>
        <w:rPr>
          <w:sz w:val="20"/>
          <w:szCs w:val="20"/>
          <w:color w:val="auto"/>
        </w:rPr>
      </w:pPr>
    </w:p>
    <w:p>
      <w:pPr>
        <w:ind w:left="240" w:right="360" w:firstLine="351"/>
        <w:spacing w:after="0" w:line="306"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13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13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 exempt from certain provisions of the Exchange Act that are applicable to U.S. domestic public companies, including:</w:t>
      </w:r>
    </w:p>
    <w:p>
      <w:pPr>
        <w:spacing w:after="0" w:line="252" w:lineRule="exact"/>
        <w:rPr>
          <w:sz w:val="20"/>
          <w:szCs w:val="20"/>
          <w:color w:val="auto"/>
        </w:rPr>
      </w:pPr>
    </w:p>
    <w:p>
      <w:pPr>
        <w:ind w:left="1320" w:right="60" w:hanging="538"/>
        <w:spacing w:after="0" w:line="268"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9"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320" w:right="400" w:hanging="538"/>
        <w:spacing w:after="0" w:line="259"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94" w:lineRule="exact"/>
        <w:rPr>
          <w:sz w:val="20"/>
          <w:szCs w:val="20"/>
          <w:color w:val="auto"/>
        </w:rPr>
      </w:pPr>
    </w:p>
    <w:p>
      <w:pPr>
        <w:ind w:left="240" w:right="80" w:firstLine="351"/>
        <w:spacing w:after="0" w:line="259" w:lineRule="auto"/>
        <w:rPr>
          <w:sz w:val="20"/>
          <w:szCs w:val="20"/>
          <w:color w:val="auto"/>
        </w:rPr>
      </w:pPr>
      <w:r>
        <w:rPr>
          <w:rFonts w:ascii="Arial" w:cs="Arial" w:eastAsia="Arial" w:hAnsi="Arial"/>
          <w:sz w:val="18"/>
          <w:szCs w:val="18"/>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94"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80" w:firstLine="348"/>
        <w:spacing w:after="0" w:line="254" w:lineRule="auto"/>
        <w:rPr>
          <w:sz w:val="20"/>
          <w:szCs w:val="20"/>
          <w:color w:val="auto"/>
        </w:rPr>
      </w:pPr>
      <w:r>
        <w:rPr>
          <w:rFonts w:ascii="Arial" w:cs="Arial" w:eastAsia="Arial" w:hAnsi="Arial"/>
          <w:sz w:val="18"/>
          <w:szCs w:val="18"/>
          <w:color w:val="auto"/>
        </w:rPr>
        <w:t>We were incorporated on June 11, 1998 as a private limited liability company (</w:t>
      </w:r>
      <w:r>
        <w:rPr>
          <w:rFonts w:ascii="Arial" w:cs="Arial" w:eastAsia="Arial" w:hAnsi="Arial"/>
          <w:sz w:val="18"/>
          <w:szCs w:val="18"/>
          <w:i w:val="1"/>
          <w:iCs w:val="1"/>
          <w:color w:val="auto"/>
        </w:rPr>
        <w:t>Anpartsselskab</w:t>
      </w:r>
      <w:r>
        <w:rPr>
          <w:rFonts w:ascii="Arial" w:cs="Arial" w:eastAsia="Arial" w:hAnsi="Arial"/>
          <w:sz w:val="18"/>
          <w:szCs w:val="18"/>
          <w:color w:val="auto"/>
        </w:rPr>
        <w:t xml:space="preserve">, or </w:t>
      </w:r>
      <w:r>
        <w:rPr>
          <w:rFonts w:ascii="Arial" w:cs="Arial" w:eastAsia="Arial" w:hAnsi="Arial"/>
          <w:sz w:val="18"/>
          <w:szCs w:val="18"/>
          <w:i w:val="1"/>
          <w:iCs w:val="1"/>
          <w:color w:val="auto"/>
        </w:rPr>
        <w:t>ApS</w:t>
      </w:r>
      <w:r>
        <w:rPr>
          <w:rFonts w:ascii="Arial" w:cs="Arial" w:eastAsia="Arial" w:hAnsi="Arial"/>
          <w:sz w:val="18"/>
          <w:szCs w:val="18"/>
          <w:color w:val="auto"/>
        </w:rPr>
        <w:t>) under Danish law as a shelf company and are registered with the Danish Business Authority (</w:t>
      </w:r>
      <w:r>
        <w:rPr>
          <w:rFonts w:ascii="Arial" w:cs="Arial" w:eastAsia="Arial" w:hAnsi="Arial"/>
          <w:sz w:val="18"/>
          <w:szCs w:val="18"/>
          <w:i w:val="1"/>
          <w:iCs w:val="1"/>
          <w:color w:val="auto"/>
        </w:rPr>
        <w:t>Erhvervsstyrelsen</w:t>
      </w:r>
      <w:r>
        <w:rPr>
          <w:rFonts w:ascii="Arial" w:cs="Arial" w:eastAsia="Arial" w:hAnsi="Arial"/>
          <w:sz w:val="18"/>
          <w:szCs w:val="18"/>
          <w:color w:val="auto"/>
        </w:rPr>
        <w:t>) in Copenhagen, Denmark under registration number (CVR) no. 21023884. Our name was changed to Genmab ApS on November 17, 1998 and we commenced operations in February 1999. On May 31, 1999, we were converted into a public limited liability company (</w:t>
      </w:r>
      <w:r>
        <w:rPr>
          <w:rFonts w:ascii="Arial" w:cs="Arial" w:eastAsia="Arial" w:hAnsi="Arial"/>
          <w:sz w:val="18"/>
          <w:szCs w:val="18"/>
          <w:i w:val="1"/>
          <w:iCs w:val="1"/>
          <w:color w:val="auto"/>
        </w:rPr>
        <w:t>Aktieselskab</w:t>
      </w:r>
      <w:r>
        <w:rPr>
          <w:rFonts w:ascii="Arial" w:cs="Arial" w:eastAsia="Arial" w:hAnsi="Arial"/>
          <w:sz w:val="18"/>
          <w:szCs w:val="18"/>
          <w:color w:val="auto"/>
        </w:rPr>
        <w:t>, or A/S) and changed our name to Genmab A/S. Our shares have been listed for trading on Nasdaq Copenhagen since October 2000.</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headquarters and registered office is located at Kalvebod Brygge 43, 1560 Copenhagen V, Denmark and our telephone number is +45 70 20 27</w:t>
      </w:r>
    </w:p>
    <w:p>
      <w:pPr>
        <w:spacing w:after="0" w:line="50" w:lineRule="exact"/>
        <w:rPr>
          <w:sz w:val="20"/>
          <w:szCs w:val="20"/>
          <w:color w:val="auto"/>
        </w:rPr>
      </w:pPr>
    </w:p>
    <w:p>
      <w:pPr>
        <w:ind w:left="240" w:firstLine="2"/>
        <w:spacing w:after="0" w:line="253" w:lineRule="auto"/>
        <w:tabs>
          <w:tab w:leader="none" w:pos="5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laboratories and pre-clinical development facilities are located in Utrecht, The Netherlands and we conduct certain operations out of our U.S. office in Princeton, New Jersey. Our website address is www.genmab.com. The information on, or information that can be accessed through, our website is not part of and is not incorporated by reference into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7847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1" w:right="1440" w:bottom="1440" w:gutter="0" w:footer="0" w:header="0"/>
        </w:sectPr>
      </w:pPr>
    </w:p>
    <w:p>
      <w:pPr>
        <w:spacing w:after="0" w:line="231" w:lineRule="exact"/>
        <w:rPr>
          <w:sz w:val="20"/>
          <w:szCs w:val="20"/>
          <w:color w:val="auto"/>
        </w:rPr>
      </w:pPr>
    </w:p>
    <w:p>
      <w:pPr>
        <w:ind w:left="1320"/>
        <w:spacing w:after="0" w:line="580" w:lineRule="auto"/>
        <w:rPr>
          <w:sz w:val="20"/>
          <w:szCs w:val="20"/>
          <w:color w:val="auto"/>
        </w:rPr>
      </w:pPr>
      <w:r>
        <w:rPr>
          <w:rFonts w:ascii="Arial" w:cs="Arial" w:eastAsia="Arial" w:hAnsi="Arial"/>
          <w:sz w:val="16"/>
          <w:szCs w:val="16"/>
          <w:color w:val="auto"/>
        </w:rPr>
        <w:t>American Depositary Shares (ADSs) offered by us ADSs to be outstanding immediately after this offering Shares to be outstanding immediately after this offering Option to purchase additional ADSs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20"/>
        <w:spacing w:after="0"/>
        <w:tabs>
          <w:tab w:leader="none" w:pos="2400" w:val="left"/>
        </w:tabs>
        <w:rPr>
          <w:sz w:val="20"/>
          <w:szCs w:val="20"/>
          <w:color w:val="auto"/>
        </w:rPr>
      </w:pPr>
      <w:r>
        <w:rPr>
          <w:rFonts w:ascii="Arial" w:cs="Arial" w:eastAsia="Arial" w:hAnsi="Arial"/>
          <w:sz w:val="18"/>
          <w:szCs w:val="18"/>
          <w:color w:val="auto"/>
        </w:rPr>
        <w:t>ADSs, representing</w:t>
      </w:r>
      <w:r>
        <w:rPr>
          <w:sz w:val="20"/>
          <w:szCs w:val="20"/>
          <w:color w:val="auto"/>
        </w:rPr>
        <w:tab/>
      </w:r>
      <w:r>
        <w:rPr>
          <w:rFonts w:ascii="Arial" w:cs="Arial" w:eastAsia="Arial" w:hAnsi="Arial"/>
          <w:sz w:val="14"/>
          <w:szCs w:val="14"/>
          <w:color w:val="auto"/>
        </w:rPr>
        <w:t>shares</w:t>
      </w:r>
    </w:p>
    <w:p>
      <w:pPr>
        <w:spacing w:after="0" w:line="225" w:lineRule="exact"/>
        <w:rPr>
          <w:sz w:val="20"/>
          <w:szCs w:val="20"/>
          <w:color w:val="auto"/>
        </w:rPr>
      </w:pPr>
    </w:p>
    <w:p>
      <w:pPr>
        <w:ind w:left="520"/>
        <w:spacing w:after="0"/>
        <w:tabs>
          <w:tab w:leader="none" w:pos="2400" w:val="left"/>
        </w:tabs>
        <w:rPr>
          <w:sz w:val="20"/>
          <w:szCs w:val="20"/>
          <w:color w:val="auto"/>
        </w:rPr>
      </w:pPr>
      <w:r>
        <w:rPr>
          <w:rFonts w:ascii="Arial" w:cs="Arial" w:eastAsia="Arial" w:hAnsi="Arial"/>
          <w:sz w:val="18"/>
          <w:szCs w:val="18"/>
          <w:color w:val="auto"/>
        </w:rPr>
        <w:t>ADSs, representing</w:t>
      </w:r>
      <w:r>
        <w:rPr>
          <w:sz w:val="20"/>
          <w:szCs w:val="20"/>
          <w:color w:val="auto"/>
        </w:rPr>
        <w:tab/>
      </w:r>
      <w:r>
        <w:rPr>
          <w:rFonts w:ascii="Arial" w:cs="Arial" w:eastAsia="Arial" w:hAnsi="Arial"/>
          <w:sz w:val="14"/>
          <w:szCs w:val="14"/>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right="399"/>
        <w:spacing w:after="0" w:line="285" w:lineRule="auto"/>
        <w:rPr>
          <w:sz w:val="20"/>
          <w:szCs w:val="20"/>
          <w:color w:val="auto"/>
        </w:rPr>
      </w:pPr>
      <w:r>
        <w:rPr>
          <w:rFonts w:ascii="Arial" w:cs="Arial" w:eastAsia="Arial" w:hAnsi="Arial"/>
          <w:sz w:val="16"/>
          <w:szCs w:val="16"/>
          <w:color w:val="auto"/>
        </w:rPr>
        <w:t>In addition, we have granted the underwriters an option, exercisable within 30 days from the date of this</w:t>
      </w:r>
    </w:p>
    <w:p>
      <w:pPr>
        <w:spacing w:after="0" w:line="1"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prospectus, to purchase up to</w:t>
      </w:r>
      <w:r>
        <w:rPr>
          <w:sz w:val="20"/>
          <w:szCs w:val="20"/>
          <w:color w:val="auto"/>
        </w:rPr>
        <w:tab/>
      </w:r>
      <w:r>
        <w:rPr>
          <w:rFonts w:ascii="Arial" w:cs="Arial" w:eastAsia="Arial" w:hAnsi="Arial"/>
          <w:sz w:val="16"/>
          <w:szCs w:val="16"/>
          <w:color w:val="auto"/>
        </w:rPr>
        <w:t>additional ADSs</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representing</w:t>
      </w:r>
      <w:r>
        <w:rPr>
          <w:sz w:val="20"/>
          <w:szCs w:val="20"/>
          <w:color w:val="auto"/>
        </w:rPr>
        <w:tab/>
      </w:r>
      <w:r>
        <w:rPr>
          <w:rFonts w:ascii="Arial" w:cs="Arial" w:eastAsia="Arial" w:hAnsi="Arial"/>
          <w:sz w:val="18"/>
          <w:szCs w:val="18"/>
          <w:color w:val="auto"/>
        </w:rPr>
        <w:t>shares.</w:t>
      </w:r>
    </w:p>
    <w:p>
      <w:pPr>
        <w:spacing w:after="0" w:line="200" w:lineRule="exact"/>
        <w:rPr>
          <w:sz w:val="20"/>
          <w:szCs w:val="20"/>
          <w:color w:val="auto"/>
        </w:rPr>
      </w:pPr>
    </w:p>
    <w:p>
      <w:pPr>
        <w:sectPr>
          <w:pgSz w:w="11900" w:h="16838" w:orient="portrait"/>
          <w:cols w:equalWidth="0" w:num="2">
            <w:col w:w="5240" w:space="560"/>
            <w:col w:w="4339"/>
          </w:cols>
          <w:pgMar w:left="320" w:top="131" w:right="1440" w:bottom="1440" w:gutter="0" w:footer="0" w:header="0"/>
          <w:type w:val="continuous"/>
        </w:sectPr>
      </w:pPr>
    </w:p>
    <w:p>
      <w:pPr>
        <w:spacing w:after="0" w:line="19" w:lineRule="exact"/>
        <w:rPr>
          <w:sz w:val="20"/>
          <w:szCs w:val="20"/>
          <w:color w:val="auto"/>
        </w:rPr>
      </w:pPr>
    </w:p>
    <w:p>
      <w:pPr>
        <w:ind w:left="1320"/>
        <w:spacing w:after="0"/>
        <w:tabs>
          <w:tab w:leader="none" w:pos="5780" w:val="left"/>
          <w:tab w:leader="none" w:pos="7820" w:val="left"/>
        </w:tabs>
        <w:rPr>
          <w:sz w:val="20"/>
          <w:szCs w:val="20"/>
          <w:color w:val="auto"/>
        </w:rPr>
      </w:pPr>
      <w:r>
        <w:rPr>
          <w:rFonts w:ascii="Arial" w:cs="Arial" w:eastAsia="Arial" w:hAnsi="Arial"/>
          <w:sz w:val="18"/>
          <w:szCs w:val="18"/>
          <w:color w:val="auto"/>
        </w:rPr>
        <w:t>American Depositary Shares</w:t>
      </w:r>
      <w:r>
        <w:rPr>
          <w:sz w:val="20"/>
          <w:szCs w:val="20"/>
          <w:color w:val="auto"/>
        </w:rPr>
        <w:tab/>
      </w:r>
      <w:r>
        <w:rPr>
          <w:rFonts w:ascii="Arial" w:cs="Arial" w:eastAsia="Arial" w:hAnsi="Arial"/>
          <w:sz w:val="18"/>
          <w:szCs w:val="18"/>
          <w:color w:val="auto"/>
        </w:rPr>
        <w:t>Each ADS represents</w:t>
      </w:r>
      <w:r>
        <w:rPr>
          <w:sz w:val="20"/>
          <w:szCs w:val="20"/>
          <w:color w:val="auto"/>
        </w:rPr>
        <w:tab/>
      </w:r>
      <w:r>
        <w:rPr>
          <w:rFonts w:ascii="Arial" w:cs="Arial" w:eastAsia="Arial" w:hAnsi="Arial"/>
          <w:sz w:val="15"/>
          <w:szCs w:val="15"/>
          <w:color w:val="auto"/>
        </w:rPr>
        <w:t>of one share and as such, any</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sale of ADSs will be reflected in the amount of the new</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shares which we will issue and for which the underwriters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will subscribe. As an ADS holder, you will not be treated</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as one of our shareholders, you will not have shareholder</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rights and you may not be able to exercise your right to</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vote the shares underlying your ADSs. You will have the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contractual rights of an ADS holder, as provided in the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deposit agreement among us, the depositary and holders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and beneficial owners of ADSs from time to time. ADS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holders may only exercise voting rights with respect to the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shares underlying the ADSs in accordance with the</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provisions of the deposit agreement, which provides that</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ADS holders may vote the shares underlying their ADSs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either by withdrawing the shares or by instructing the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depositary to vote the shares or other deposited securities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underlying such ADSs.</w:t>
      </w: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To better understand the terms of the ADSs, see the</w:t>
      </w:r>
    </w:p>
    <w:p>
      <w:pPr>
        <w:spacing w:after="0" w:line="3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sections of this prospectus entitled "Description of</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American Depositary Shares" and "Risk Factors—Risks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Related to this Offering." We also encourage you to read</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the deposit agreement, which is incorporated by reference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as an exhibit to the registration statement of which this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prospectus forms a part.</w:t>
      </w:r>
    </w:p>
    <w:p>
      <w:pPr>
        <w:spacing w:after="0" w:line="219" w:lineRule="exact"/>
        <w:rPr>
          <w:sz w:val="20"/>
          <w:szCs w:val="20"/>
          <w:color w:val="auto"/>
        </w:rPr>
      </w:pPr>
    </w:p>
    <w:tbl>
      <w:tblPr>
        <w:tblLayout w:type="fixed"/>
        <w:tblInd w:w="132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Depositary</w:t>
            </w:r>
          </w:p>
        </w:tc>
        <w:tc>
          <w:tcPr>
            <w:tcW w:w="5100" w:type="dxa"/>
            <w:vAlign w:val="bottom"/>
            <w:gridSpan w:val="4"/>
          </w:tcPr>
          <w:p>
            <w:pPr>
              <w:ind w:left="1660"/>
              <w:spacing w:after="0"/>
              <w:rPr>
                <w:sz w:val="20"/>
                <w:szCs w:val="20"/>
                <w:color w:val="auto"/>
              </w:rPr>
            </w:pPr>
            <w:r>
              <w:rPr>
                <w:rFonts w:ascii="Arial" w:cs="Arial" w:eastAsia="Arial" w:hAnsi="Arial"/>
                <w:sz w:val="18"/>
                <w:szCs w:val="18"/>
                <w:color w:val="auto"/>
              </w:rPr>
              <w:t>Deutsche Bank Trust Company Americas</w:t>
            </w:r>
          </w:p>
        </w:tc>
        <w:tc>
          <w:tcPr>
            <w:tcW w:w="660" w:type="dxa"/>
            <w:vAlign w:val="bottom"/>
          </w:tcPr>
          <w:p>
            <w:pPr>
              <w:spacing w:after="0"/>
              <w:rPr>
                <w:sz w:val="19"/>
                <w:szCs w:val="19"/>
                <w:color w:val="auto"/>
              </w:rPr>
            </w:pPr>
          </w:p>
        </w:tc>
      </w:tr>
      <w:tr>
        <w:trPr>
          <w:trHeight w:val="426"/>
        </w:trPr>
        <w:tc>
          <w:tcPr>
            <w:tcW w:w="2820" w:type="dxa"/>
            <w:vAlign w:val="bottom"/>
          </w:tcPr>
          <w:p>
            <w:pPr>
              <w:spacing w:after="0"/>
              <w:rPr>
                <w:sz w:val="20"/>
                <w:szCs w:val="20"/>
                <w:color w:val="auto"/>
              </w:rPr>
            </w:pPr>
            <w:r>
              <w:rPr>
                <w:rFonts w:ascii="Arial" w:cs="Arial" w:eastAsia="Arial" w:hAnsi="Arial"/>
                <w:sz w:val="18"/>
                <w:szCs w:val="18"/>
                <w:color w:val="auto"/>
              </w:rPr>
              <w:t>Use of proceeds</w:t>
            </w:r>
          </w:p>
        </w:tc>
        <w:tc>
          <w:tcPr>
            <w:tcW w:w="5760" w:type="dxa"/>
            <w:vAlign w:val="bottom"/>
            <w:gridSpan w:val="5"/>
          </w:tcPr>
          <w:p>
            <w:pPr>
              <w:ind w:left="1660"/>
              <w:spacing w:after="0"/>
              <w:rPr>
                <w:sz w:val="20"/>
                <w:szCs w:val="20"/>
                <w:color w:val="auto"/>
              </w:rPr>
            </w:pPr>
            <w:r>
              <w:rPr>
                <w:rFonts w:ascii="Arial" w:cs="Arial" w:eastAsia="Arial" w:hAnsi="Arial"/>
                <w:sz w:val="18"/>
                <w:szCs w:val="18"/>
                <w:color w:val="auto"/>
                <w:w w:val="92"/>
              </w:rPr>
              <w:t>We estimate that the net proceeds from this offering will</w:t>
            </w:r>
          </w:p>
        </w:tc>
      </w:tr>
      <w:tr>
        <w:trPr>
          <w:trHeight w:val="216"/>
        </w:trPr>
        <w:tc>
          <w:tcPr>
            <w:tcW w:w="2820" w:type="dxa"/>
            <w:vAlign w:val="bottom"/>
          </w:tcPr>
          <w:p>
            <w:pPr>
              <w:spacing w:after="0"/>
              <w:rPr>
                <w:sz w:val="18"/>
                <w:szCs w:val="18"/>
                <w:color w:val="auto"/>
              </w:rPr>
            </w:pPr>
          </w:p>
        </w:tc>
        <w:tc>
          <w:tcPr>
            <w:tcW w:w="3260" w:type="dxa"/>
            <w:vAlign w:val="bottom"/>
            <w:gridSpan w:val="3"/>
          </w:tcPr>
          <w:p>
            <w:pPr>
              <w:ind w:left="1660"/>
              <w:spacing w:after="0"/>
              <w:rPr>
                <w:sz w:val="20"/>
                <w:szCs w:val="20"/>
                <w:color w:val="auto"/>
              </w:rPr>
            </w:pPr>
            <w:r>
              <w:rPr>
                <w:rFonts w:ascii="Arial" w:cs="Arial" w:eastAsia="Arial" w:hAnsi="Arial"/>
                <w:sz w:val="18"/>
                <w:szCs w:val="18"/>
                <w:color w:val="auto"/>
              </w:rPr>
              <w:t>be approximately $</w:t>
            </w:r>
          </w:p>
        </w:tc>
        <w:tc>
          <w:tcPr>
            <w:tcW w:w="2500" w:type="dxa"/>
            <w:vAlign w:val="bottom"/>
            <w:gridSpan w:val="2"/>
          </w:tcPr>
          <w:p>
            <w:pPr>
              <w:jc w:val="right"/>
              <w:ind w:right="332"/>
              <w:spacing w:after="0"/>
              <w:rPr>
                <w:sz w:val="20"/>
                <w:szCs w:val="20"/>
                <w:color w:val="auto"/>
              </w:rPr>
            </w:pPr>
            <w:r>
              <w:rPr>
                <w:rFonts w:ascii="Arial" w:cs="Arial" w:eastAsia="Arial" w:hAnsi="Arial"/>
                <w:sz w:val="18"/>
                <w:szCs w:val="18"/>
                <w:color w:val="auto"/>
              </w:rPr>
              <w:t>million, or approximately</w:t>
            </w:r>
          </w:p>
        </w:tc>
      </w:tr>
      <w:tr>
        <w:trPr>
          <w:trHeight w:val="216"/>
        </w:trPr>
        <w:tc>
          <w:tcPr>
            <w:tcW w:w="2820" w:type="dxa"/>
            <w:vAlign w:val="bottom"/>
          </w:tcPr>
          <w:p>
            <w:pPr>
              <w:spacing w:after="0"/>
              <w:rPr>
                <w:sz w:val="18"/>
                <w:szCs w:val="18"/>
                <w:color w:val="auto"/>
              </w:rPr>
            </w:pPr>
          </w:p>
        </w:tc>
        <w:tc>
          <w:tcPr>
            <w:tcW w:w="2160" w:type="dxa"/>
            <w:vAlign w:val="bottom"/>
          </w:tcPr>
          <w:p>
            <w:pPr>
              <w:ind w:left="1660"/>
              <w:spacing w:after="0"/>
              <w:rPr>
                <w:sz w:val="20"/>
                <w:szCs w:val="20"/>
                <w:color w:val="auto"/>
              </w:rPr>
            </w:pPr>
            <w:r>
              <w:rPr>
                <w:rFonts w:ascii="Arial" w:cs="Arial" w:eastAsia="Arial" w:hAnsi="Arial"/>
                <w:sz w:val="18"/>
                <w:szCs w:val="18"/>
                <w:color w:val="auto"/>
              </w:rPr>
              <w:t>$</w:t>
            </w:r>
          </w:p>
        </w:tc>
        <w:tc>
          <w:tcPr>
            <w:tcW w:w="3600" w:type="dxa"/>
            <w:vAlign w:val="bottom"/>
            <w:gridSpan w:val="4"/>
          </w:tcPr>
          <w:p>
            <w:pPr>
              <w:jc w:val="right"/>
              <w:ind w:right="72"/>
              <w:spacing w:after="0"/>
              <w:rPr>
                <w:sz w:val="20"/>
                <w:szCs w:val="20"/>
                <w:color w:val="auto"/>
              </w:rPr>
            </w:pPr>
            <w:r>
              <w:rPr>
                <w:rFonts w:ascii="Arial" w:cs="Arial" w:eastAsia="Arial" w:hAnsi="Arial"/>
                <w:sz w:val="18"/>
                <w:szCs w:val="18"/>
                <w:color w:val="auto"/>
                <w:w w:val="93"/>
              </w:rPr>
              <w:t>million if the underwriters exercise their option</w:t>
            </w:r>
          </w:p>
        </w:tc>
      </w:tr>
      <w:tr>
        <w:trPr>
          <w:trHeight w:val="216"/>
        </w:trPr>
        <w:tc>
          <w:tcPr>
            <w:tcW w:w="2820" w:type="dxa"/>
            <w:vAlign w:val="bottom"/>
          </w:tcPr>
          <w:p>
            <w:pPr>
              <w:spacing w:after="0"/>
              <w:rPr>
                <w:sz w:val="18"/>
                <w:szCs w:val="18"/>
                <w:color w:val="auto"/>
              </w:rPr>
            </w:pPr>
          </w:p>
        </w:tc>
        <w:tc>
          <w:tcPr>
            <w:tcW w:w="5760" w:type="dxa"/>
            <w:vAlign w:val="bottom"/>
            <w:gridSpan w:val="5"/>
          </w:tcPr>
          <w:p>
            <w:pPr>
              <w:ind w:left="1660"/>
              <w:spacing w:after="0"/>
              <w:rPr>
                <w:sz w:val="20"/>
                <w:szCs w:val="20"/>
                <w:color w:val="auto"/>
              </w:rPr>
            </w:pPr>
            <w:r>
              <w:rPr>
                <w:rFonts w:ascii="Arial" w:cs="Arial" w:eastAsia="Arial" w:hAnsi="Arial"/>
                <w:sz w:val="18"/>
                <w:szCs w:val="18"/>
                <w:color w:val="auto"/>
                <w:w w:val="94"/>
              </w:rPr>
              <w:t>to purchase additional ADSs in full, after deducting the</w:t>
            </w:r>
          </w:p>
        </w:tc>
      </w:tr>
      <w:tr>
        <w:trPr>
          <w:trHeight w:val="216"/>
        </w:trPr>
        <w:tc>
          <w:tcPr>
            <w:tcW w:w="2820" w:type="dxa"/>
            <w:vAlign w:val="bottom"/>
          </w:tcPr>
          <w:p>
            <w:pPr>
              <w:spacing w:after="0"/>
              <w:rPr>
                <w:sz w:val="18"/>
                <w:szCs w:val="18"/>
                <w:color w:val="auto"/>
              </w:rPr>
            </w:pPr>
          </w:p>
        </w:tc>
        <w:tc>
          <w:tcPr>
            <w:tcW w:w="5760" w:type="dxa"/>
            <w:vAlign w:val="bottom"/>
            <w:gridSpan w:val="5"/>
          </w:tcPr>
          <w:p>
            <w:pPr>
              <w:ind w:left="1660"/>
              <w:spacing w:after="0"/>
              <w:rPr>
                <w:sz w:val="20"/>
                <w:szCs w:val="20"/>
                <w:color w:val="auto"/>
              </w:rPr>
            </w:pPr>
            <w:r>
              <w:rPr>
                <w:rFonts w:ascii="Arial" w:cs="Arial" w:eastAsia="Arial" w:hAnsi="Arial"/>
                <w:sz w:val="18"/>
                <w:szCs w:val="18"/>
                <w:color w:val="auto"/>
                <w:w w:val="88"/>
              </w:rPr>
              <w:t>underwriting commission and estimated offering expenses</w:t>
            </w:r>
          </w:p>
        </w:tc>
      </w:tr>
      <w:tr>
        <w:trPr>
          <w:trHeight w:val="216"/>
        </w:trPr>
        <w:tc>
          <w:tcPr>
            <w:tcW w:w="2820" w:type="dxa"/>
            <w:vAlign w:val="bottom"/>
          </w:tcPr>
          <w:p>
            <w:pPr>
              <w:spacing w:after="0"/>
              <w:rPr>
                <w:sz w:val="18"/>
                <w:szCs w:val="18"/>
                <w:color w:val="auto"/>
              </w:rPr>
            </w:pPr>
          </w:p>
        </w:tc>
        <w:tc>
          <w:tcPr>
            <w:tcW w:w="5760" w:type="dxa"/>
            <w:vAlign w:val="bottom"/>
            <w:gridSpan w:val="5"/>
          </w:tcPr>
          <w:p>
            <w:pPr>
              <w:ind w:left="1660"/>
              <w:spacing w:after="0"/>
              <w:rPr>
                <w:sz w:val="20"/>
                <w:szCs w:val="20"/>
                <w:color w:val="auto"/>
              </w:rPr>
            </w:pPr>
            <w:r>
              <w:rPr>
                <w:rFonts w:ascii="Arial" w:cs="Arial" w:eastAsia="Arial" w:hAnsi="Arial"/>
                <w:sz w:val="18"/>
                <w:szCs w:val="18"/>
                <w:color w:val="auto"/>
                <w:w w:val="88"/>
              </w:rPr>
              <w:t>payable by us, based on an assumed initial public offering</w:t>
            </w:r>
          </w:p>
        </w:tc>
      </w:tr>
      <w:tr>
        <w:trPr>
          <w:trHeight w:val="216"/>
        </w:trPr>
        <w:tc>
          <w:tcPr>
            <w:tcW w:w="2820" w:type="dxa"/>
            <w:vAlign w:val="bottom"/>
          </w:tcPr>
          <w:p>
            <w:pPr>
              <w:spacing w:after="0"/>
              <w:rPr>
                <w:sz w:val="18"/>
                <w:szCs w:val="18"/>
                <w:color w:val="auto"/>
              </w:rPr>
            </w:pPr>
          </w:p>
        </w:tc>
        <w:tc>
          <w:tcPr>
            <w:tcW w:w="2460" w:type="dxa"/>
            <w:vAlign w:val="bottom"/>
            <w:gridSpan w:val="2"/>
          </w:tcPr>
          <w:p>
            <w:pPr>
              <w:ind w:left="1660"/>
              <w:spacing w:after="0"/>
              <w:rPr>
                <w:sz w:val="20"/>
                <w:szCs w:val="20"/>
                <w:color w:val="auto"/>
              </w:rPr>
            </w:pPr>
            <w:r>
              <w:rPr>
                <w:rFonts w:ascii="Arial" w:cs="Arial" w:eastAsia="Arial" w:hAnsi="Arial"/>
                <w:sz w:val="18"/>
                <w:szCs w:val="18"/>
                <w:color w:val="auto"/>
              </w:rPr>
              <w:t>price of $</w:t>
            </w:r>
          </w:p>
        </w:tc>
        <w:tc>
          <w:tcPr>
            <w:tcW w:w="3300" w:type="dxa"/>
            <w:vAlign w:val="bottom"/>
            <w:gridSpan w:val="3"/>
          </w:tcPr>
          <w:p>
            <w:pPr>
              <w:jc w:val="right"/>
              <w:ind w:right="112"/>
              <w:spacing w:after="0"/>
              <w:rPr>
                <w:sz w:val="20"/>
                <w:szCs w:val="20"/>
                <w:color w:val="auto"/>
              </w:rPr>
            </w:pPr>
            <w:r>
              <w:rPr>
                <w:rFonts w:ascii="Arial" w:cs="Arial" w:eastAsia="Arial" w:hAnsi="Arial"/>
                <w:sz w:val="18"/>
                <w:szCs w:val="18"/>
                <w:color w:val="auto"/>
              </w:rPr>
              <w:t>per ADS, the U.S. dollar equivalent of</w:t>
            </w:r>
          </w:p>
        </w:tc>
      </w:tr>
      <w:tr>
        <w:trPr>
          <w:trHeight w:val="216"/>
        </w:trPr>
        <w:tc>
          <w:tcPr>
            <w:tcW w:w="2820" w:type="dxa"/>
            <w:vAlign w:val="bottom"/>
          </w:tcPr>
          <w:p>
            <w:pPr>
              <w:spacing w:after="0"/>
              <w:rPr>
                <w:sz w:val="18"/>
                <w:szCs w:val="18"/>
                <w:color w:val="auto"/>
              </w:rPr>
            </w:pPr>
          </w:p>
        </w:tc>
        <w:tc>
          <w:tcPr>
            <w:tcW w:w="5760" w:type="dxa"/>
            <w:vAlign w:val="bottom"/>
            <w:gridSpan w:val="5"/>
          </w:tcPr>
          <w:p>
            <w:pPr>
              <w:ind w:left="1660"/>
              <w:spacing w:after="0"/>
              <w:rPr>
                <w:sz w:val="20"/>
                <w:szCs w:val="20"/>
                <w:color w:val="auto"/>
              </w:rPr>
            </w:pPr>
            <w:r>
              <w:rPr>
                <w:rFonts w:ascii="Arial" w:cs="Arial" w:eastAsia="Arial" w:hAnsi="Arial"/>
                <w:sz w:val="18"/>
                <w:szCs w:val="18"/>
                <w:color w:val="auto"/>
                <w:w w:val="88"/>
              </w:rPr>
              <w:t>the closing price of our shares on Nasdaq Copenhagen of</w:t>
            </w:r>
          </w:p>
        </w:tc>
      </w:tr>
      <w:tr>
        <w:trPr>
          <w:trHeight w:val="216"/>
        </w:trPr>
        <w:tc>
          <w:tcPr>
            <w:tcW w:w="2820" w:type="dxa"/>
            <w:vAlign w:val="bottom"/>
          </w:tcPr>
          <w:p>
            <w:pPr>
              <w:spacing w:after="0"/>
              <w:rPr>
                <w:sz w:val="18"/>
                <w:szCs w:val="18"/>
                <w:color w:val="auto"/>
              </w:rPr>
            </w:pPr>
          </w:p>
        </w:tc>
        <w:tc>
          <w:tcPr>
            <w:tcW w:w="2160" w:type="dxa"/>
            <w:vAlign w:val="bottom"/>
          </w:tcPr>
          <w:p>
            <w:pPr>
              <w:ind w:left="1660"/>
              <w:spacing w:after="0"/>
              <w:rPr>
                <w:sz w:val="20"/>
                <w:szCs w:val="20"/>
                <w:color w:val="auto"/>
              </w:rPr>
            </w:pPr>
            <w:r>
              <w:rPr>
                <w:rFonts w:ascii="Arial" w:cs="Arial" w:eastAsia="Arial" w:hAnsi="Arial"/>
                <w:sz w:val="18"/>
                <w:szCs w:val="18"/>
                <w:color w:val="auto"/>
              </w:rPr>
              <w:t>DKK</w:t>
            </w:r>
          </w:p>
        </w:tc>
        <w:tc>
          <w:tcPr>
            <w:tcW w:w="30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 2019, at the U.S. dollar/DKK</w:t>
            </w:r>
          </w:p>
        </w:tc>
      </w:tr>
      <w:tr>
        <w:trPr>
          <w:trHeight w:val="216"/>
        </w:trPr>
        <w:tc>
          <w:tcPr>
            <w:tcW w:w="2820" w:type="dxa"/>
            <w:vAlign w:val="bottom"/>
          </w:tcPr>
          <w:p>
            <w:pPr>
              <w:spacing w:after="0"/>
              <w:rPr>
                <w:sz w:val="18"/>
                <w:szCs w:val="18"/>
                <w:color w:val="auto"/>
              </w:rPr>
            </w:pPr>
          </w:p>
        </w:tc>
        <w:tc>
          <w:tcPr>
            <w:tcW w:w="3260" w:type="dxa"/>
            <w:vAlign w:val="bottom"/>
            <w:gridSpan w:val="3"/>
          </w:tcPr>
          <w:p>
            <w:pPr>
              <w:ind w:left="1660"/>
              <w:spacing w:after="0"/>
              <w:rPr>
                <w:sz w:val="20"/>
                <w:szCs w:val="20"/>
                <w:color w:val="auto"/>
              </w:rPr>
            </w:pPr>
            <w:r>
              <w:rPr>
                <w:rFonts w:ascii="Arial" w:cs="Arial" w:eastAsia="Arial" w:hAnsi="Arial"/>
                <w:sz w:val="18"/>
                <w:szCs w:val="18"/>
                <w:color w:val="auto"/>
              </w:rPr>
              <w:t>exchange rate of $</w:t>
            </w:r>
          </w:p>
        </w:tc>
        <w:tc>
          <w:tcPr>
            <w:tcW w:w="1840" w:type="dxa"/>
            <w:vAlign w:val="bottom"/>
          </w:tcPr>
          <w:p>
            <w:pPr>
              <w:ind w:left="220"/>
              <w:spacing w:after="0"/>
              <w:rPr>
                <w:sz w:val="20"/>
                <w:szCs w:val="20"/>
                <w:color w:val="auto"/>
              </w:rPr>
            </w:pPr>
            <w:r>
              <w:rPr>
                <w:rFonts w:ascii="Arial" w:cs="Arial" w:eastAsia="Arial" w:hAnsi="Arial"/>
                <w:sz w:val="18"/>
                <w:szCs w:val="18"/>
                <w:color w:val="auto"/>
              </w:rPr>
              <w:t>per DKK as of</w:t>
            </w: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w:t>
            </w:r>
          </w:p>
        </w:tc>
      </w:tr>
      <w:tr>
        <w:trPr>
          <w:trHeight w:val="222"/>
        </w:trPr>
        <w:tc>
          <w:tcPr>
            <w:tcW w:w="2820" w:type="dxa"/>
            <w:vAlign w:val="bottom"/>
          </w:tcPr>
          <w:p>
            <w:pPr>
              <w:spacing w:after="0"/>
              <w:rPr>
                <w:sz w:val="19"/>
                <w:szCs w:val="19"/>
                <w:color w:val="auto"/>
              </w:rPr>
            </w:pPr>
          </w:p>
        </w:tc>
        <w:tc>
          <w:tcPr>
            <w:tcW w:w="5100" w:type="dxa"/>
            <w:vAlign w:val="bottom"/>
            <w:gridSpan w:val="4"/>
          </w:tcPr>
          <w:p>
            <w:pPr>
              <w:ind w:left="1660"/>
              <w:spacing w:after="0"/>
              <w:rPr>
                <w:sz w:val="20"/>
                <w:szCs w:val="20"/>
                <w:color w:val="auto"/>
              </w:rPr>
            </w:pPr>
            <w:r>
              <w:rPr>
                <w:rFonts w:ascii="Arial" w:cs="Arial" w:eastAsia="Arial" w:hAnsi="Arial"/>
                <w:sz w:val="18"/>
                <w:szCs w:val="18"/>
                <w:color w:val="auto"/>
                <w:w w:val="96"/>
              </w:rPr>
              <w:t>2019, multiplied by the ADS-to-share ratio of</w:t>
            </w:r>
          </w:p>
        </w:tc>
        <w:tc>
          <w:tcPr>
            <w:tcW w:w="660" w:type="dxa"/>
            <w:vAlign w:val="bottom"/>
          </w:tcPr>
          <w:p>
            <w:pPr>
              <w:jc w:val="right"/>
              <w:spacing w:after="0"/>
              <w:rPr>
                <w:sz w:val="20"/>
                <w:szCs w:val="20"/>
                <w:color w:val="auto"/>
              </w:rPr>
            </w:pPr>
            <w:r>
              <w:rPr>
                <w:rFonts w:ascii="Arial" w:cs="Arial" w:eastAsia="Arial" w:hAnsi="Arial"/>
                <w:sz w:val="18"/>
                <w:szCs w:val="18"/>
                <w:color w:val="auto"/>
              </w:rPr>
              <w:t>to 1.</w:t>
            </w: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00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We intend to use the net proceeds of this offering for</w:t>
      </w:r>
    </w:p>
    <w:p>
      <w:pPr>
        <w:spacing w:after="0" w:line="3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corporate purposes.</w:t>
      </w: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See "Use of Proceeds" for a more complete description of</w:t>
      </w:r>
    </w:p>
    <w:p>
      <w:pPr>
        <w:spacing w:after="0" w:line="5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the intended use of proceeds from this offering.</w:t>
      </w:r>
    </w:p>
    <w:p>
      <w:pPr>
        <w:sectPr>
          <w:pgSz w:w="11900" w:h="16838" w:orient="portrait"/>
          <w:cols w:equalWidth="0" w:num="1">
            <w:col w:w="11000"/>
          </w:cols>
          <w:pgMar w:left="320" w:top="131" w:right="579" w:bottom="1440" w:gutter="0" w:footer="0" w:header="0"/>
        </w:sectPr>
      </w:pP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do not currently pay out cash dividends on our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have not paid out any dividends within the last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years. See "Dividend Policy."</w:t>
      </w:r>
    </w:p>
    <w:p>
      <w:pPr>
        <w:spacing w:after="0" w:line="200" w:lineRule="exact"/>
        <w:rPr>
          <w:sz w:val="20"/>
          <w:szCs w:val="20"/>
          <w:color w:val="auto"/>
        </w:rPr>
      </w:pPr>
    </w:p>
    <w:p>
      <w:pPr>
        <w:sectPr>
          <w:pgSz w:w="11900" w:h="16838" w:orient="portrait"/>
          <w:cols w:equalWidth="0" w:num="2">
            <w:col w:w="5080" w:space="720"/>
            <w:col w:w="5200"/>
          </w:cols>
          <w:pgMar w:left="320" w:top="131" w:right="579" w:bottom="1440" w:gutter="0" w:footer="0" w:header="0"/>
          <w:type w:val="continuous"/>
        </w:sectPr>
      </w:pPr>
    </w:p>
    <w:p>
      <w:pPr>
        <w:spacing w:after="0" w:line="1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"Risk Factors" and other information included in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that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 carefully before deciding to invest in the ADSs.</w:t>
      </w:r>
    </w:p>
    <w:p>
      <w:pPr>
        <w:spacing w:after="0" w:line="200" w:lineRule="exact"/>
        <w:rPr>
          <w:sz w:val="20"/>
          <w:szCs w:val="20"/>
          <w:color w:val="auto"/>
        </w:rPr>
      </w:pPr>
    </w:p>
    <w:p>
      <w:pPr>
        <w:sectPr>
          <w:pgSz w:w="11900" w:h="16838" w:orient="portrait"/>
          <w:cols w:equalWidth="0" w:num="2">
            <w:col w:w="5080" w:space="720"/>
            <w:col w:w="5200"/>
          </w:cols>
          <w:pgMar w:left="320" w:top="131" w:right="579" w:bottom="1440" w:gutter="0" w:footer="0" w:header="0"/>
          <w:type w:val="continuous"/>
        </w:sectPr>
      </w:pPr>
    </w:p>
    <w:p>
      <w:pPr>
        <w:spacing w:after="0" w:line="4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We intend to apply to have the ADSs listed on the Nasdaq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Global Select Market under the symbol "GMAB."</w:t>
      </w:r>
    </w:p>
    <w:p>
      <w:pPr>
        <w:spacing w:after="0" w:line="200" w:lineRule="exact"/>
        <w:rPr>
          <w:sz w:val="20"/>
          <w:szCs w:val="20"/>
          <w:color w:val="auto"/>
        </w:rPr>
      </w:pPr>
    </w:p>
    <w:p>
      <w:pPr>
        <w:sectPr>
          <w:pgSz w:w="11900" w:h="16838" w:orient="portrait"/>
          <w:cols w:equalWidth="0" w:num="2">
            <w:col w:w="5080" w:space="720"/>
            <w:col w:w="5200"/>
          </w:cols>
          <w:pgMar w:left="320" w:top="131" w:right="579" w:bottom="1440" w:gutter="0" w:footer="0" w:header="0"/>
          <w:type w:val="continuous"/>
        </w:sectPr>
      </w:pPr>
    </w:p>
    <w:p>
      <w:pPr>
        <w:spacing w:after="0" w:line="19" w:lineRule="exact"/>
        <w:rPr>
          <w:sz w:val="20"/>
          <w:szCs w:val="20"/>
          <w:color w:val="auto"/>
        </w:rPr>
      </w:pPr>
    </w:p>
    <w:p>
      <w:pPr>
        <w:ind w:left="240" w:firstLine="348"/>
        <w:spacing w:after="0" w:line="302" w:lineRule="auto"/>
        <w:rPr>
          <w:sz w:val="20"/>
          <w:szCs w:val="20"/>
          <w:color w:val="auto"/>
        </w:rPr>
      </w:pPr>
      <w:r>
        <w:rPr>
          <w:rFonts w:ascii="Arial" w:cs="Arial" w:eastAsia="Arial" w:hAnsi="Arial"/>
          <w:sz w:val="15"/>
          <w:szCs w:val="15"/>
          <w:color w:val="auto"/>
        </w:rPr>
        <w:t>The number of shares to be outstanding after this offering is based on 61,497,571 shares outstanding as of December 31, 2018 and excludes up to 1,423,210 shares that may be issued upon the exercise of warrants outstanding as of December 31, 2018 at a weighted average exercise price of DKK592.14 per share. In addition, our board of directors is authorized to issue up to 500,000 warrants under our warrant program through April 9, 2019, of which none remain available for issue, but of which a total of 3,686 remain available for reissue as of December 31, 2018, and to issue up to 500,000 warrants under the Company's warrant program through March 28, 2022, of which 166,783 warrants remain available for issue and a total of 3,176 warrants remain available for reissue as of December 31, 2018. Unless otherwise indicated, the number of shares described assumes no exercise of the</w:t>
      </w:r>
    </w:p>
    <w:p>
      <w:pPr>
        <w:ind w:left="240" w:right="200"/>
        <w:spacing w:after="0" w:line="302" w:lineRule="auto"/>
        <w:rPr>
          <w:sz w:val="20"/>
          <w:szCs w:val="20"/>
          <w:color w:val="auto"/>
        </w:rPr>
      </w:pPr>
      <w:r>
        <w:rPr>
          <w:rFonts w:ascii="Arial" w:cs="Arial" w:eastAsia="Arial" w:hAnsi="Arial"/>
          <w:sz w:val="16"/>
          <w:szCs w:val="16"/>
          <w:color w:val="auto"/>
        </w:rPr>
        <w:t>underwriters' option to purchase up to additional ADSs, assumes no exercise of the outstanding warrants referred to above and does not account for shares available for issuance under outstanding equity incentive programs. Exercise of restricted share units, or RSUs, issued under these programs will not affect our share capital as we will deliver any shares under this program through the delivery of already issued shares.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030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80" w:firstLine="348"/>
        <w:spacing w:after="0" w:line="312" w:lineRule="auto"/>
        <w:rPr>
          <w:sz w:val="20"/>
          <w:szCs w:val="20"/>
          <w:color w:val="auto"/>
        </w:rPr>
      </w:pPr>
      <w:r>
        <w:rPr>
          <w:rFonts w:ascii="Arial" w:cs="Arial" w:eastAsia="Arial" w:hAnsi="Arial"/>
          <w:sz w:val="15"/>
          <w:szCs w:val="15"/>
          <w:color w:val="auto"/>
        </w:rPr>
        <w:t>The following tables present summary consolidated financial data for our business. We derived the summary consolidated income statement data for the years ended December 31, 2018 and 2017 and the summary consolidated balance sheet data as of December 31, 2018 from our audited consolidated financial statements included elsewhere in this prospectus. The as adjusted data included in the summary consolidated balance sheet data is unaudited. We maintain our books and records and report our financial results in DKK and prepare our audited consolidated financial statements in accordance with IFRS as issued by the IASB. You should read this data together with our consolidated financial statements and related notes included elsewhere in this prospectus and the information under the captions "Capitalization," "Selected Consolidated Financial Data" and "Management's Discussion and Analysis of Financial Condition and Results of Operations." Our historical results are not necessarily indicative of our future results.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Income Statement Data</w:t>
      </w:r>
    </w:p>
    <w:p>
      <w:pPr>
        <w:spacing w:after="0" w:line="2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80" w:type="dxa"/>
            <w:vAlign w:val="bottom"/>
            <w:gridSpan w:val="7"/>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592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(in thousands, except per share data)</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jc w:val="center"/>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4"/>
                <w:szCs w:val="14"/>
                <w:color w:val="auto"/>
              </w:rPr>
            </w:pPr>
          </w:p>
        </w:tc>
        <w:tc>
          <w:tcPr>
            <w:tcW w:w="2020" w:type="dxa"/>
            <w:vAlign w:val="bottom"/>
            <w:gridSpan w:val="3"/>
          </w:tcPr>
          <w:p>
            <w:pPr>
              <w:ind w:left="280"/>
              <w:spacing w:after="0"/>
              <w:rPr>
                <w:sz w:val="20"/>
                <w:szCs w:val="20"/>
                <w:color w:val="auto"/>
              </w:rPr>
            </w:pPr>
            <w:r>
              <w:rPr>
                <w:rFonts w:ascii="Arial" w:cs="Arial" w:eastAsia="Arial" w:hAnsi="Arial"/>
                <w:sz w:val="13"/>
                <w:szCs w:val="13"/>
                <w:b w:val="1"/>
                <w:bCs w:val="1"/>
                <w:color w:val="auto"/>
              </w:rPr>
              <w:t>DKK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2,365,436</w:t>
            </w:r>
          </w:p>
        </w:tc>
        <w:tc>
          <w:tcPr>
            <w:tcW w:w="1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(874,278)</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(146,987)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(1,021,265)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Operating result</w:t>
            </w:r>
          </w:p>
        </w:tc>
        <w:tc>
          <w:tcPr>
            <w:tcW w:w="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1,344,171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71,699</w:t>
            </w:r>
          </w:p>
        </w:tc>
        <w:tc>
          <w:tcPr>
            <w:tcW w:w="1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Financial expenses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(352,150)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1,063,720</w:t>
            </w:r>
          </w:p>
        </w:tc>
        <w:tc>
          <w:tcPr>
            <w:tcW w:w="1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4"/>
          </w:tcPr>
          <w:p>
            <w:pPr>
              <w:spacing w:after="0"/>
              <w:rPr>
                <w:sz w:val="20"/>
                <w:szCs w:val="20"/>
                <w:color w:val="auto"/>
              </w:rPr>
            </w:pPr>
            <w:r>
              <w:rPr>
                <w:rFonts w:ascii="Arial" w:cs="Arial" w:eastAsia="Arial" w:hAnsi="Arial"/>
                <w:sz w:val="18"/>
                <w:szCs w:val="18"/>
                <w:color w:val="auto"/>
              </w:rPr>
              <w:t>Corporate tax</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1,103,551</w:t>
            </w:r>
          </w:p>
        </w:tc>
        <w:tc>
          <w:tcPr>
            <w:tcW w:w="1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line="277" w:lineRule="exact"/>
              <w:rPr>
                <w:sz w:val="20"/>
                <w:szCs w:val="20"/>
                <w:color w:val="auto"/>
              </w:rPr>
            </w:pPr>
            <w:r>
              <w:rPr>
                <w:rFonts w:ascii="Arial" w:cs="Arial" w:eastAsia="Arial" w:hAnsi="Arial"/>
                <w:sz w:val="18"/>
                <w:szCs w:val="18"/>
                <w:color w:val="auto"/>
              </w:rPr>
              <w:t>Basic net result per share</w:t>
            </w:r>
            <w:r>
              <w:rPr>
                <w:rFonts w:ascii="Arial" w:cs="Arial" w:eastAsia="Arial" w:hAnsi="Arial"/>
                <w:sz w:val="29"/>
                <w:szCs w:val="29"/>
                <w:color w:val="auto"/>
                <w:vertAlign w:val="superscript"/>
              </w:rPr>
              <w:t>(2)</w:t>
            </w: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gridSpan w:val="4"/>
            <w:vMerge w:val="continue"/>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Diluted net result per share</w:t>
            </w:r>
            <w:r>
              <w:rPr>
                <w:rFonts w:ascii="Arial" w:cs="Arial" w:eastAsia="Arial" w:hAnsi="Arial"/>
                <w:sz w:val="29"/>
                <w:szCs w:val="29"/>
                <w:color w:val="auto"/>
                <w:vertAlign w:val="superscript"/>
              </w:rPr>
              <w:t>(2)</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80" w:type="dxa"/>
            <w:vAlign w:val="bottom"/>
            <w:shd w:val="clear" w:color="auto" w:fill="CCEEFF"/>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gridSpan w:val="2"/>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66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340" w:type="dxa"/>
            <w:vAlign w:val="bottom"/>
            <w:gridSpan w:val="2"/>
          </w:tcPr>
          <w:p>
            <w:pPr>
              <w:spacing w:after="0"/>
              <w:rPr>
                <w:sz w:val="20"/>
                <w:szCs w:val="20"/>
                <w:color w:val="auto"/>
              </w:rPr>
            </w:pPr>
            <w:r>
              <w:rPr>
                <w:rFonts w:ascii="Arial" w:cs="Arial" w:eastAsia="Arial" w:hAnsi="Arial"/>
                <w:sz w:val="13"/>
                <w:szCs w:val="13"/>
                <w:color w:val="auto"/>
              </w:rPr>
              <w:t>(1)</w:t>
            </w:r>
          </w:p>
        </w:tc>
        <w:tc>
          <w:tcPr>
            <w:tcW w:w="5580" w:type="dxa"/>
            <w:vAlign w:val="bottom"/>
            <w:gridSpan w:val="2"/>
          </w:tcPr>
          <w:p>
            <w:pPr>
              <w:ind w:left="200"/>
              <w:spacing w:after="0"/>
              <w:rPr>
                <w:sz w:val="20"/>
                <w:szCs w:val="20"/>
                <w:color w:val="auto"/>
              </w:rPr>
            </w:pPr>
            <w:r>
              <w:rPr>
                <w:rFonts w:ascii="Arial" w:cs="Arial" w:eastAsia="Arial" w:hAnsi="Arial"/>
                <w:sz w:val="13"/>
                <w:szCs w:val="13"/>
                <w:color w:val="auto"/>
              </w:rPr>
              <w:t>Translated solely for convenience into U.S. dollars at an assumed exchange rate of DKK</w:t>
            </w:r>
          </w:p>
        </w:tc>
        <w:tc>
          <w:tcPr>
            <w:tcW w:w="3660" w:type="dxa"/>
            <w:vAlign w:val="bottom"/>
            <w:gridSpan w:val="8"/>
          </w:tcPr>
          <w:p>
            <w:pPr>
              <w:ind w:left="220"/>
              <w:spacing w:after="0"/>
              <w:rPr>
                <w:sz w:val="20"/>
                <w:szCs w:val="20"/>
                <w:color w:val="auto"/>
              </w:rPr>
            </w:pPr>
            <w:r>
              <w:rPr>
                <w:rFonts w:ascii="Arial" w:cs="Arial" w:eastAsia="Arial" w:hAnsi="Arial"/>
                <w:sz w:val="13"/>
                <w:szCs w:val="13"/>
                <w:color w:val="auto"/>
                <w:w w:val="93"/>
              </w:rPr>
              <w:t>per $1.00, which was the rounded official exchange rate of such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80" w:type="dxa"/>
            <w:vAlign w:val="bottom"/>
            <w:gridSpan w:val="2"/>
          </w:tcPr>
          <w:p>
            <w:pPr>
              <w:ind w:left="200"/>
              <w:spacing w:after="0" w:line="147" w:lineRule="exact"/>
              <w:rPr>
                <w:sz w:val="20"/>
                <w:szCs w:val="20"/>
                <w:color w:val="auto"/>
              </w:rPr>
            </w:pPr>
            <w:r>
              <w:rPr>
                <w:rFonts w:ascii="Arial" w:cs="Arial" w:eastAsia="Arial" w:hAnsi="Arial"/>
                <w:sz w:val="13"/>
                <w:szCs w:val="13"/>
                <w:color w:val="auto"/>
              </w:rPr>
              <w:t>currencies as of December 31, 2018 as reported by Danmarks Nationalbank.</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60" w:right="400" w:hanging="542"/>
        <w:spacing w:after="0" w:line="255" w:lineRule="auto"/>
        <w:tabs>
          <w:tab w:leader="none" w:pos="18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note 2.5 to our audited consolidated financial statements included elsewhere in this prospectus for further details regarding the calculation of basic and diluted net result per share.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presents summary audited consolidated balance sheet data as of December 31, 2018 on an actual basis, and on an as adjusted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gridSpan w:val="3"/>
          </w:tcPr>
          <w:p>
            <w:pPr>
              <w:ind w:left="240"/>
              <w:spacing w:after="0"/>
              <w:rPr>
                <w:sz w:val="20"/>
                <w:szCs w:val="20"/>
                <w:color w:val="auto"/>
              </w:rPr>
            </w:pPr>
            <w:r>
              <w:rPr>
                <w:rFonts w:ascii="Arial" w:cs="Arial" w:eastAsia="Arial" w:hAnsi="Arial"/>
                <w:sz w:val="18"/>
                <w:szCs w:val="18"/>
                <w:color w:val="auto"/>
              </w:rPr>
              <w:t>basis to give effect to the issuance and sale of</w:t>
            </w:r>
          </w:p>
        </w:tc>
        <w:tc>
          <w:tcPr>
            <w:tcW w:w="2360" w:type="dxa"/>
            <w:vAlign w:val="bottom"/>
          </w:tcPr>
          <w:p>
            <w:pPr>
              <w:jc w:val="right"/>
              <w:ind w:right="372"/>
              <w:spacing w:after="0"/>
              <w:rPr>
                <w:sz w:val="20"/>
                <w:szCs w:val="20"/>
                <w:color w:val="auto"/>
              </w:rPr>
            </w:pPr>
            <w:r>
              <w:rPr>
                <w:rFonts w:ascii="Arial" w:cs="Arial" w:eastAsia="Arial" w:hAnsi="Arial"/>
                <w:sz w:val="18"/>
                <w:szCs w:val="18"/>
                <w:color w:val="auto"/>
              </w:rPr>
              <w:t>ADSs, representing</w:t>
            </w:r>
          </w:p>
        </w:tc>
        <w:tc>
          <w:tcPr>
            <w:tcW w:w="4920" w:type="dxa"/>
            <w:vAlign w:val="bottom"/>
            <w:gridSpan w:val="2"/>
          </w:tcPr>
          <w:p>
            <w:pPr>
              <w:ind w:left="600"/>
              <w:spacing w:after="0"/>
              <w:rPr>
                <w:sz w:val="20"/>
                <w:szCs w:val="20"/>
                <w:color w:val="auto"/>
              </w:rPr>
            </w:pPr>
            <w:r>
              <w:rPr>
                <w:rFonts w:ascii="Arial" w:cs="Arial" w:eastAsia="Arial" w:hAnsi="Arial"/>
                <w:sz w:val="18"/>
                <w:szCs w:val="18"/>
                <w:color w:val="auto"/>
              </w:rPr>
              <w:t>shares, in this offering at an assumed initial public</w:t>
            </w:r>
          </w:p>
        </w:tc>
      </w:tr>
      <w:tr>
        <w:trPr>
          <w:trHeight w:val="216"/>
        </w:trPr>
        <w:tc>
          <w:tcPr>
            <w:tcW w:w="1780" w:type="dxa"/>
            <w:vAlign w:val="bottom"/>
            <w:gridSpan w:val="2"/>
          </w:tcPr>
          <w:p>
            <w:pPr>
              <w:ind w:left="240"/>
              <w:spacing w:after="0"/>
              <w:rPr>
                <w:sz w:val="20"/>
                <w:szCs w:val="20"/>
                <w:color w:val="auto"/>
              </w:rPr>
            </w:pPr>
            <w:r>
              <w:rPr>
                <w:rFonts w:ascii="Arial" w:cs="Arial" w:eastAsia="Arial" w:hAnsi="Arial"/>
                <w:sz w:val="18"/>
                <w:szCs w:val="18"/>
                <w:color w:val="auto"/>
              </w:rPr>
              <w:t>offering price of $</w:t>
            </w:r>
          </w:p>
        </w:tc>
        <w:tc>
          <w:tcPr>
            <w:tcW w:w="9460" w:type="dxa"/>
            <w:vAlign w:val="bottom"/>
            <w:gridSpan w:val="4"/>
          </w:tcPr>
          <w:p>
            <w:pPr>
              <w:ind w:left="260"/>
              <w:spacing w:after="0"/>
              <w:rPr>
                <w:sz w:val="20"/>
                <w:szCs w:val="20"/>
                <w:color w:val="auto"/>
              </w:rPr>
            </w:pPr>
            <w:r>
              <w:rPr>
                <w:rFonts w:ascii="Arial" w:cs="Arial" w:eastAsia="Arial" w:hAnsi="Arial"/>
                <w:sz w:val="18"/>
                <w:szCs w:val="18"/>
                <w:color w:val="auto"/>
              </w:rPr>
              <w:t>per ADS, the U.S. dollar equivalent of the closing price of our shares on Nasdaq Copenhagen of</w:t>
            </w:r>
          </w:p>
        </w:tc>
      </w:tr>
      <w:tr>
        <w:trPr>
          <w:trHeight w:val="216"/>
        </w:trPr>
        <w:tc>
          <w:tcPr>
            <w:tcW w:w="960" w:type="dxa"/>
            <w:vAlign w:val="bottom"/>
          </w:tcPr>
          <w:p>
            <w:pPr>
              <w:ind w:left="240"/>
              <w:spacing w:after="0"/>
              <w:rPr>
                <w:sz w:val="20"/>
                <w:szCs w:val="20"/>
                <w:color w:val="auto"/>
              </w:rPr>
            </w:pPr>
            <w:r>
              <w:rPr>
                <w:rFonts w:ascii="Arial" w:cs="Arial" w:eastAsia="Arial" w:hAnsi="Arial"/>
                <w:sz w:val="18"/>
                <w:szCs w:val="18"/>
                <w:color w:val="auto"/>
              </w:rPr>
              <w:t>DKK</w:t>
            </w:r>
          </w:p>
        </w:tc>
        <w:tc>
          <w:tcPr>
            <w:tcW w:w="820" w:type="dxa"/>
            <w:vAlign w:val="bottom"/>
          </w:tcPr>
          <w:p>
            <w:pPr>
              <w:ind w:left="180"/>
              <w:spacing w:after="0"/>
              <w:rPr>
                <w:sz w:val="20"/>
                <w:szCs w:val="20"/>
                <w:color w:val="auto"/>
              </w:rPr>
            </w:pPr>
            <w:r>
              <w:rPr>
                <w:rFonts w:ascii="Arial" w:cs="Arial" w:eastAsia="Arial" w:hAnsi="Arial"/>
                <w:sz w:val="18"/>
                <w:szCs w:val="18"/>
                <w:color w:val="auto"/>
              </w:rPr>
              <w:t>on</w:t>
            </w:r>
          </w:p>
        </w:tc>
        <w:tc>
          <w:tcPr>
            <w:tcW w:w="4540" w:type="dxa"/>
            <w:vAlign w:val="bottom"/>
            <w:gridSpan w:val="2"/>
          </w:tcPr>
          <w:p>
            <w:pPr>
              <w:jc w:val="right"/>
              <w:ind w:right="492"/>
              <w:spacing w:after="0"/>
              <w:rPr>
                <w:sz w:val="20"/>
                <w:szCs w:val="20"/>
                <w:color w:val="auto"/>
              </w:rPr>
            </w:pPr>
            <w:r>
              <w:rPr>
                <w:rFonts w:ascii="Arial" w:cs="Arial" w:eastAsia="Arial" w:hAnsi="Arial"/>
                <w:sz w:val="18"/>
                <w:szCs w:val="18"/>
                <w:color w:val="auto"/>
              </w:rPr>
              <w:t>, 2019, at the U.S. dollar/DKK exchange rate of</w:t>
            </w:r>
          </w:p>
        </w:tc>
        <w:tc>
          <w:tcPr>
            <w:tcW w:w="1840" w:type="dxa"/>
            <w:vAlign w:val="bottom"/>
          </w:tcPr>
          <w:p>
            <w:pPr>
              <w:ind w:left="460"/>
              <w:spacing w:after="0"/>
              <w:rPr>
                <w:sz w:val="20"/>
                <w:szCs w:val="20"/>
                <w:color w:val="auto"/>
              </w:rPr>
            </w:pPr>
            <w:r>
              <w:rPr>
                <w:rFonts w:ascii="Arial" w:cs="Arial" w:eastAsia="Arial" w:hAnsi="Arial"/>
                <w:sz w:val="18"/>
                <w:szCs w:val="18"/>
                <w:color w:val="auto"/>
              </w:rPr>
              <w:t>as of</w:t>
            </w:r>
          </w:p>
        </w:tc>
        <w:tc>
          <w:tcPr>
            <w:tcW w:w="3080" w:type="dxa"/>
            <w:vAlign w:val="bottom"/>
          </w:tcPr>
          <w:p>
            <w:pPr>
              <w:ind w:left="20"/>
              <w:spacing w:after="0"/>
              <w:rPr>
                <w:sz w:val="20"/>
                <w:szCs w:val="20"/>
                <w:color w:val="auto"/>
              </w:rPr>
            </w:pPr>
            <w:r>
              <w:rPr>
                <w:rFonts w:ascii="Arial" w:cs="Arial" w:eastAsia="Arial" w:hAnsi="Arial"/>
                <w:sz w:val="18"/>
                <w:szCs w:val="18"/>
                <w:color w:val="auto"/>
                <w:w w:val="99"/>
              </w:rPr>
              <w:t>, 2019, multiplied by the ADS-to-share</w:t>
            </w:r>
          </w:p>
        </w:tc>
      </w:tr>
      <w:tr>
        <w:trPr>
          <w:trHeight w:val="222"/>
        </w:trPr>
        <w:tc>
          <w:tcPr>
            <w:tcW w:w="960" w:type="dxa"/>
            <w:vAlign w:val="bottom"/>
          </w:tcPr>
          <w:p>
            <w:pPr>
              <w:ind w:left="240"/>
              <w:spacing w:after="0"/>
              <w:rPr>
                <w:sz w:val="20"/>
                <w:szCs w:val="20"/>
                <w:color w:val="auto"/>
              </w:rPr>
            </w:pPr>
            <w:r>
              <w:rPr>
                <w:rFonts w:ascii="Arial" w:cs="Arial" w:eastAsia="Arial" w:hAnsi="Arial"/>
                <w:sz w:val="18"/>
                <w:szCs w:val="18"/>
                <w:color w:val="auto"/>
              </w:rPr>
              <w:t>ratio of</w:t>
            </w:r>
          </w:p>
        </w:tc>
        <w:tc>
          <w:tcPr>
            <w:tcW w:w="7200" w:type="dxa"/>
            <w:vAlign w:val="bottom"/>
            <w:gridSpan w:val="4"/>
          </w:tcPr>
          <w:p>
            <w:pPr>
              <w:ind w:left="320"/>
              <w:spacing w:after="0"/>
              <w:rPr>
                <w:sz w:val="20"/>
                <w:szCs w:val="20"/>
                <w:color w:val="auto"/>
              </w:rPr>
            </w:pPr>
            <w:r>
              <w:rPr>
                <w:rFonts w:ascii="Arial" w:cs="Arial" w:eastAsia="Arial" w:hAnsi="Arial"/>
                <w:sz w:val="18"/>
                <w:szCs w:val="18"/>
                <w:color w:val="auto"/>
                <w:w w:val="88"/>
              </w:rPr>
              <w:t>to 1, after deducting the underwriting commission and estimated offering expenses payable by us.</w:t>
            </w:r>
          </w:p>
        </w:tc>
        <w:tc>
          <w:tcPr>
            <w:tcW w:w="3080" w:type="dxa"/>
            <w:vAlign w:val="bottom"/>
          </w:tcPr>
          <w:p>
            <w:pPr>
              <w:spacing w:after="0"/>
              <w:rPr>
                <w:sz w:val="19"/>
                <w:szCs w:val="19"/>
                <w:color w:val="auto"/>
              </w:rPr>
            </w:pPr>
          </w:p>
        </w:tc>
      </w:tr>
      <w:tr>
        <w:trPr>
          <w:trHeight w:val="444"/>
        </w:trPr>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427"/>
        </w:trPr>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512"/>
              <w:spacing w:after="0"/>
              <w:rPr>
                <w:sz w:val="20"/>
                <w:szCs w:val="20"/>
                <w:color w:val="auto"/>
              </w:rPr>
            </w:pPr>
            <w:r>
              <w:rPr>
                <w:rFonts w:ascii="Arial" w:cs="Arial" w:eastAsia="Arial" w:hAnsi="Arial"/>
                <w:sz w:val="18"/>
                <w:szCs w:val="18"/>
                <w:color w:val="auto"/>
              </w:rPr>
              <w:t>14</w:t>
            </w:r>
          </w:p>
        </w:tc>
        <w:tc>
          <w:tcPr>
            <w:tcW w:w="18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8"/>
        </w:trPr>
        <w:tc>
          <w:tcPr>
            <w:tcW w:w="9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46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4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p>
      <w:pPr>
        <w:jc w:val="right"/>
        <w:ind w:right="1640"/>
        <w:spacing w:after="0"/>
        <w:rPr>
          <w:sz w:val="20"/>
          <w:szCs w:val="20"/>
          <w:color w:val="auto"/>
        </w:rPr>
      </w:pPr>
      <w:r>
        <w:rPr>
          <w:rFonts w:ascii="Arial" w:cs="Arial" w:eastAsia="Arial" w:hAnsi="Arial"/>
          <w:sz w:val="13"/>
          <w:szCs w:val="13"/>
          <w:b w:val="1"/>
          <w:bCs w:val="1"/>
          <w:color w:val="auto"/>
        </w:rPr>
        <w:t>As of December 31, 2018</w:t>
      </w:r>
    </w:p>
    <w:p>
      <w:pPr>
        <w:spacing w:after="0" w:line="12"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5860" w:type="dxa"/>
            <w:vAlign w:val="bottom"/>
          </w:tcPr>
          <w:p>
            <w:pPr>
              <w:spacing w:after="0" w:line="142" w:lineRule="exact"/>
              <w:rPr>
                <w:sz w:val="20"/>
                <w:szCs w:val="20"/>
                <w:color w:val="auto"/>
              </w:rPr>
            </w:pPr>
            <w:r>
              <w:rPr>
                <w:rFonts w:ascii="Arial" w:cs="Arial" w:eastAsia="Arial" w:hAnsi="Arial"/>
                <w:sz w:val="13"/>
                <w:szCs w:val="13"/>
                <w:b w:val="1"/>
                <w:b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Actual</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280"/>
              <w:spacing w:after="0" w:line="142" w:lineRule="exact"/>
              <w:rPr>
                <w:sz w:val="20"/>
                <w:szCs w:val="20"/>
                <w:color w:val="auto"/>
              </w:rPr>
            </w:pPr>
            <w:r>
              <w:rPr>
                <w:rFonts w:ascii="Arial" w:cs="Arial" w:eastAsia="Arial" w:hAnsi="Arial"/>
                <w:sz w:val="13"/>
                <w:szCs w:val="13"/>
                <w:b w:val="1"/>
                <w:bCs w:val="1"/>
                <w:color w:val="auto"/>
              </w:rPr>
              <w:t>As Adjusted</w:t>
            </w:r>
          </w:p>
        </w:tc>
      </w:tr>
      <w:tr>
        <w:trPr>
          <w:trHeight w:val="175"/>
        </w:trPr>
        <w:tc>
          <w:tcPr>
            <w:tcW w:w="5860" w:type="dxa"/>
            <w:vAlign w:val="bottom"/>
          </w:tcPr>
          <w:p>
            <w:pPr>
              <w:spacing w:after="0"/>
              <w:rPr>
                <w:sz w:val="15"/>
                <w:szCs w:val="15"/>
                <w:color w:val="auto"/>
              </w:rPr>
            </w:pPr>
          </w:p>
        </w:tc>
        <w:tc>
          <w:tcPr>
            <w:tcW w:w="400" w:type="dxa"/>
            <w:vAlign w:val="bottom"/>
          </w:tcPr>
          <w:p>
            <w:pPr>
              <w:jc w:val="right"/>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900" w:type="dxa"/>
            <w:vAlign w:val="bottom"/>
          </w:tcPr>
          <w:p>
            <w:pPr>
              <w:ind w:left="440"/>
              <w:spacing w:after="0"/>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5"/>
                <w:szCs w:val="15"/>
                <w:color w:val="auto"/>
              </w:rPr>
            </w:pPr>
          </w:p>
        </w:tc>
        <w:tc>
          <w:tcPr>
            <w:tcW w:w="600" w:type="dxa"/>
            <w:vAlign w:val="bottom"/>
          </w:tcPr>
          <w:p>
            <w:pPr>
              <w:jc w:val="right"/>
              <w:ind w:right="162"/>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700" w:type="dxa"/>
            <w:vAlign w:val="bottom"/>
          </w:tcPr>
          <w:p>
            <w:pPr>
              <w:ind w:left="240"/>
              <w:spacing w:after="0"/>
              <w:rPr>
                <w:sz w:val="20"/>
                <w:szCs w:val="20"/>
                <w:color w:val="auto"/>
              </w:rPr>
            </w:pPr>
            <w:r>
              <w:rPr>
                <w:rFonts w:ascii="Arial" w:cs="Arial" w:eastAsia="Arial" w:hAnsi="Arial"/>
                <w:sz w:val="13"/>
                <w:szCs w:val="13"/>
                <w:b w:val="1"/>
                <w:bCs w:val="1"/>
                <w:color w:val="auto"/>
              </w:rPr>
              <w:t>DKK</w:t>
            </w:r>
          </w:p>
        </w:tc>
      </w:tr>
    </w:tbl>
    <w:p>
      <w:pPr>
        <w:ind w:left="1320"/>
        <w:spacing w:after="0"/>
        <w:rPr>
          <w:sz w:val="20"/>
          <w:szCs w:val="20"/>
          <w:color w:val="auto"/>
        </w:rPr>
      </w:pPr>
      <w:r>
        <w:rPr>
          <w:rFonts w:ascii="Arial" w:cs="Arial" w:eastAsia="Arial" w:hAnsi="Arial"/>
          <w:sz w:val="18"/>
          <w:szCs w:val="18"/>
          <w:color w:val="auto"/>
        </w:rPr>
        <w:t>Total assets</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shareholders' equity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liabilities</w:t>
      </w:r>
    </w:p>
    <w:p>
      <w:pPr>
        <w:spacing w:after="0" w:line="323"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340" w:type="dxa"/>
            <w:vAlign w:val="bottom"/>
          </w:tcPr>
          <w:p>
            <w:pPr>
              <w:jc w:val="right"/>
              <w:ind w:right="113"/>
              <w:spacing w:after="0"/>
              <w:rPr>
                <w:sz w:val="20"/>
                <w:szCs w:val="20"/>
                <w:color w:val="auto"/>
              </w:rPr>
            </w:pPr>
            <w:r>
              <w:rPr>
                <w:rFonts w:ascii="Arial" w:cs="Arial" w:eastAsia="Arial" w:hAnsi="Arial"/>
                <w:sz w:val="13"/>
                <w:szCs w:val="13"/>
                <w:color w:val="auto"/>
                <w:w w:val="87"/>
              </w:rPr>
              <w:t>(1)</w:t>
            </w:r>
          </w:p>
        </w:tc>
        <w:tc>
          <w:tcPr>
            <w:tcW w:w="5380" w:type="dxa"/>
            <w:vAlign w:val="bottom"/>
          </w:tcPr>
          <w:p>
            <w:pPr>
              <w:ind w:left="200"/>
              <w:spacing w:after="0"/>
              <w:rPr>
                <w:sz w:val="20"/>
                <w:szCs w:val="20"/>
                <w:color w:val="auto"/>
              </w:rPr>
            </w:pPr>
            <w:r>
              <w:rPr>
                <w:rFonts w:ascii="Arial" w:cs="Arial" w:eastAsia="Arial" w:hAnsi="Arial"/>
                <w:sz w:val="13"/>
                <w:szCs w:val="13"/>
                <w:color w:val="auto"/>
              </w:rPr>
              <w:t>Translated solely for convenience into U.S. dollars at an assumed exchange rate of DKK</w:t>
            </w:r>
          </w:p>
        </w:tc>
        <w:tc>
          <w:tcPr>
            <w:tcW w:w="3860" w:type="dxa"/>
            <w:vAlign w:val="bottom"/>
          </w:tcPr>
          <w:p>
            <w:pPr>
              <w:ind w:left="420"/>
              <w:spacing w:after="0"/>
              <w:rPr>
                <w:sz w:val="20"/>
                <w:szCs w:val="20"/>
                <w:color w:val="auto"/>
              </w:rPr>
            </w:pPr>
            <w:r>
              <w:rPr>
                <w:rFonts w:ascii="Arial" w:cs="Arial" w:eastAsia="Arial" w:hAnsi="Arial"/>
                <w:sz w:val="13"/>
                <w:szCs w:val="13"/>
                <w:color w:val="auto"/>
                <w:w w:val="93"/>
              </w:rPr>
              <w:t>per $1.00, which was the rounded official exchange rate of such</w:t>
            </w:r>
          </w:p>
        </w:tc>
      </w:tr>
      <w:tr>
        <w:trPr>
          <w:trHeight w:val="172"/>
        </w:trPr>
        <w:tc>
          <w:tcPr>
            <w:tcW w:w="340" w:type="dxa"/>
            <w:vAlign w:val="bottom"/>
          </w:tcPr>
          <w:p>
            <w:pPr>
              <w:spacing w:after="0"/>
              <w:rPr>
                <w:sz w:val="14"/>
                <w:szCs w:val="14"/>
                <w:color w:val="auto"/>
              </w:rPr>
            </w:pPr>
          </w:p>
        </w:tc>
        <w:tc>
          <w:tcPr>
            <w:tcW w:w="5380" w:type="dxa"/>
            <w:vAlign w:val="bottom"/>
          </w:tcPr>
          <w:p>
            <w:pPr>
              <w:ind w:left="200"/>
              <w:spacing w:after="0"/>
              <w:rPr>
                <w:sz w:val="20"/>
                <w:szCs w:val="20"/>
                <w:color w:val="auto"/>
              </w:rPr>
            </w:pPr>
            <w:r>
              <w:rPr>
                <w:rFonts w:ascii="Arial" w:cs="Arial" w:eastAsia="Arial" w:hAnsi="Arial"/>
                <w:sz w:val="13"/>
                <w:szCs w:val="13"/>
                <w:color w:val="auto"/>
              </w:rPr>
              <w:t>currencies as of December 31, 2018 as reported by Danmarks Nationalbank.</w:t>
            </w:r>
          </w:p>
        </w:tc>
        <w:tc>
          <w:tcPr>
            <w:tcW w:w="38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i w:val="1"/>
          <w:iCs w:val="1"/>
          <w:color w:val="auto"/>
        </w:rPr>
        <w:t>Investing in the ADSs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the ADSs. The occurrence of any of the events or developments described below could harm our business, financial condition, results of operations and growth prospects. In such an event, the market price of the ADSs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2017, royalties and milestone payments from Janssen related to daratumumab, marketed as DARZALEX for certain indications of multiple myeloma, or MM, accounted for 90% of our revenue and we anticipate that DARZALEX will continue to account for a substantial portion of our revenue in the near-term. Only one of our other products, ofatumumab, marketed as Arzerra for certain indications of chronic lymphocytic leukemia, or CLL, has received marketing approval in any jurisdiction. Arzerra accounted for 2% of our 2017 revenue and is not expected to account for a significant portion of our revenue in the near-term. Under our collaboration agreement regarding daratumumab, Janssen is fully responsible for developing and commercializing daratumumab and all costs associated therewith. Consequently, our revenue and resulting operating profit, if any, and near-term prospects are substantially dependent on the success of this collaboration and on Janssen's continued ability to effectively maintain and grow sales of daratumumab for its approved indications and to continue to expand its indications. Janssen has obtained marketing approval for DARZALEX for certain indications of frontline MM and relapsed/refractory, or R/R, MM in the United States and the European Union and in certain other countries. In addition, applications for label expansion in the United States and Japan and for initial approval in China are currently pending with applicable regulators. There can be no assurance that Janssen will be successful in obtaining approvals for DARZALEX in these additional indications or jurisdictions or in maintaining existing regulatory approvals. While DARZALEX product sales have grown over time, and our future plans assume that sales of DARZALEX will continue to increase, there can be no assurance that, even with the recent expansion to the prescribing label for DARZALEX in the United States and the European Union, DARZALEX sales will continue to grow or that Janssen will be able to maintain sales of DARZALEX at or near current levels. In particular, DARZALEX is subject to intense competition in the MM therapy market. There are numerous other products approved by the FDA for the same indications as DARZALEX and the competition from these and other therapies is intensifying. We are also aware of numerous additional investigational agents and technologies that are currently being studied for the treatment of MM, any of which may compete with DARZALEX in the future. If Janssen is unable to successfully compete with these other agents and technologies, DARZALEX sales could decline materially.</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Janssen is also currently conducting clinical trials of daratumumab for the treatment of smoldering MM, or SMM, and additional indications of frontline</w:t>
      </w:r>
    </w:p>
    <w:p>
      <w:pPr>
        <w:spacing w:after="0" w:line="38" w:lineRule="exact"/>
        <w:rPr>
          <w:sz w:val="20"/>
          <w:szCs w:val="20"/>
          <w:color w:val="auto"/>
        </w:rPr>
      </w:pPr>
    </w:p>
    <w:p>
      <w:pPr>
        <w:ind w:right="220" w:firstLine="8"/>
        <w:spacing w:after="0" w:line="253" w:lineRule="auto"/>
        <w:tabs>
          <w:tab w:leader="none" w:pos="3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R/R MM, as well as certain other malignant and pre-malignant diseases in which CD38 is expressed, including amyloidosis, acute lymphocytic leukemia and NKT-cell lymphoma, which are in different stages of clinical development. Although we are able to participate in the development strategy for daratumumab through regular meetings of the joint development and steering committee, we cannot control the amount and timing of resources that Janssen dedicates to the development of daratumumab and our prospects for future milestone payments and royalties related to daratumumab depend on Janssen's decision to continue 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conduct clinical trials of daratumumab for expanded indications and to seek new regulatory approvals for daratumumab, and on the success of such studies and applications.</w:t>
      </w:r>
    </w:p>
    <w:p>
      <w:pPr>
        <w:spacing w:after="0" w:line="186"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There can be no assurance that Janssen will complete the ongoing and planned studies of daratumumab, successfully or at all, or that Janssen will obtain and maintain the regulatory approvals necessary to market daratumumab for any additional indications. In particular, although we reported positive topline data in the MAIA study in October 2018, Janssen initiated an sBLA submission to the FDA based on this study in January 2019 and we expect Janssen to submit an MAA to the EMA based on the MAIA study in 2019, and although we reported positive topline data in the CASSIOPEIA study in October 2018 and expect Janssen to submit regulatory applications based on the CASSIOPEIA study and to release initial data for the Phase III COLUMBA and Phase II GRIFFIN studies in 2019, there can be no assurance that marketing approval will be granted for the additional indications based on the MAIA and CASSIOPEIA studies, that any of the other studies will be completed on the expected timeline or at all, or, if completed, that the final results of such studies will be positive. Negative or inconclusive results in these or other trials would negatively impact, or preclude altogether, Janssen's ability to obtain regulatory approvals for daratumumab in the proposed indications, which would limit the commercial potential of daratumumab. For example, in May 2018, the CALLISTO Phase Ib/II study of daratumumab in combination with atezolizumab for the treatment of patients with previously treated non-small-cell lung cancer, or NSCLC, was terminated following a planned review by a data monitoring committee, which determined that there was no observed benefit in the combination treatment arm versus atezolizumab alone and observed a numerical increase in mortality-related events in this arm of the study. Based on these findings, a Phase I study of daratumumab and Janssen's proprietary anti-PD-1 antibody for the treatment of patients with MM was also discontinued. Even if the results of Janssen's ongoing studies are positive, there can be no assurance that Janssen will apply for regulatory approval of the related indications and, if Janssen applies, that such applications will be successful, each of which would limit the commercial potential of daratumumab. Additionally, even if Janssen receives the required regulatory approvals to market daratumumab for any additional indications or in additional jurisdictions, Janssen may not be able to effectively commercialize daratumumab as a result of unfavorable pricing or reimbursement limitations, competition or other factors, or may choose not to prioritize daratumumab in its marketing efforts.</w:t>
      </w:r>
    </w:p>
    <w:p>
      <w:pPr>
        <w:spacing w:after="0" w:line="18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product patent (as defined in the agreement) covering daratumumab in such country. Our issued U.S., European and Japanese patents covering the composition of matter for daratumumab do not begin to expire until March 2026.</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Future prospects for daratumumab are also subject to the risks outlined below with respect to our other product candidates, including risks related to clinical studies,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Janssen as outlined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19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Ofatumumab has been approved for the treatment of certain CLL indications in the United States and certain other countries and is currently commercialized by Novartis for such CLL indications under the name Arzerra. On January 22, 2018, Novartis announced that it intends to transition Arzerra in non-U.S. markets from commercial availability to limited availability through managed access programs or alternative solutions, where applicable and allowed by local regulations, due to increased availability of treatments for CLL and a low number of patients using Arzerra outside of the United States, but will continue to market Arzerra for approved CLL indications in the United States and Japan. Under our collaboration agreement, Novartis is fully responsible for development and commercialization of ofatumumab and all costs associated therewith. Consequently, the commercial success of ofatumumab is dependent on the success of this collaboration and the activities of Novartis. Global net sales of Arzerra have been decreasing since 2013, primarily due to increased competition in the CLL treatment market, with 2017 global net sales of Arzerra by Novartis of $36.0 million, resulting in royalties to us of DKK 47.5 million. Due to significant competition in the CLL treatment space and Novartis's ongoing transition of Arzerra to limited availability in most jurisdictions, we do not expect Arzerra net sales to increase in the near future. For these and other reasons, we believe that our prospects for revenue from ofatumumab are largely dependent on Novartis' ability to expand the labeled indications of use for ofatumumab and to successfully commercialize it for such indications. We cannot control the amount and timing of resources that Novartis dedicates to the development and commercialization of ofatumumab and our ability to obtain milestone payments and royalties related to ofatumumab depends on Novartis' decision to continue to study ofatumumab for new indications, to seek regulatory approvals for such indications and to effectively commercialize ofatumumab for new and existing indications, and on the success of such efforts. In May 2018, Novartis reported negative topline results showing that a Phase III study of ofatumumab in combination with bendamustine did not meet the primary endpoint of improved PFS in patients with indolent B-cell non-Hodgkin lymphoma, or NHL, who were unresponsive to rituximab or a rituximab-containing regimen, compared to those given bendamustine alone.</w:t>
      </w:r>
    </w:p>
    <w:p>
      <w:pPr>
        <w:spacing w:after="0" w:line="18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Novartis is currently investigating a subQ formulation of ofatumumab in two Phase III clinical studies, ASCLEPIOS I and II, in relapsing multiple sclerosis, or relapsing MS. Although Novartis reported that it completed recruitment for these studies in May 2018 and expects to complete the studies during 2019, there can be no assurance of the exact time of completion, as the studies are event-driven. As expected in a Phase III program, negative or inconclusive results in these or other trials would negatively impact, or preclude altogether, Novartis' ability to obtain regulatory approvals for ofatumumab for the treatment of relapsing MS, or RMS, or for other indications Novartis may pursue in the future, which would limit the commercial potential of ofatumumab. Equivocal results from the ASCLEPIOS I and II studies could delay, if not altogether eliminate, Novartis' plans for ofatumumab and would negatively impact our prospects for potential income from ofatumumab. Even if the results of the ASCLEPIOS I and II studies are positive, there can be no assurance that Novartis will apply for regulatory approval of ofatumumab for the treatment of RMS or, if Novartis applies, that such application will be successful. In addition, Novartis may not be able to effectively commercialize ofatumumab for RMS, if approved, as a result of unfavorable pricing or reimbursement limitations, competition or other factors, or may choose not to prioritize ofatumumab in its marketing efforts.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b w:val="1"/>
          <w:bCs w:val="1"/>
          <w:i w:val="1"/>
          <w:iCs w:val="1"/>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41" w:lineRule="exact"/>
        <w:rPr>
          <w:sz w:val="20"/>
          <w:szCs w:val="20"/>
          <w:color w:val="auto"/>
        </w:rPr>
      </w:pPr>
    </w:p>
    <w:p>
      <w:pPr>
        <w:ind w:right="140" w:firstLine="351"/>
        <w:spacing w:after="0" w:line="314" w:lineRule="auto"/>
        <w:rPr>
          <w:sz w:val="20"/>
          <w:szCs w:val="20"/>
          <w:color w:val="auto"/>
        </w:rPr>
      </w:pPr>
      <w:r>
        <w:rPr>
          <w:rFonts w:ascii="Arial" w:cs="Arial" w:eastAsia="Arial" w:hAnsi="Arial"/>
          <w:sz w:val="15"/>
          <w:szCs w:val="15"/>
          <w:color w:val="auto"/>
        </w:rPr>
        <w:t>Our clinical stage product candidates include four proprietary product candidates, ongoing clinical studies for daratumumab and ofatumumab by Janssen and Novartis, respectively, and eight additional product candidates being developed in collaboration with our partners. We also have approximately 20 proprietary and partnered product candidates in pre-clinical development. Other than daratumumab and ofatumumab, which are currently in Phase III clinical studies for certain additional indications, tisotumab vedotin, which is currently in Phase II development, and teprotumumab, which is currently in Phase III development by one of our partners, our current product candidates are in relatively early stages of development. All of our product candidates will require significant further development, financial resources and personnel to obtain regulatory approval and develop into commercially viable products, if at all.</w:t>
      </w:r>
    </w:p>
    <w:p>
      <w:pPr>
        <w:spacing w:after="0" w:line="15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Due to the uncertain, time-consuming and costly clinical development and regulatory approval process, we or our partners may not successfully develop any of our product candidates, or we or our partners may choose to discontinue the development of product candidates for a variety of reasons, including due to safety, risk versus benefit profile, exclusivity, competitive landscape, commercialization potential, production limitations or prioritization of our or our partners' resources. It is possible that none of our current product candidates will ever obtain regulatory approval and, even if approved, such product candidates may never be effectively commercialized. In addition, our research programs may initially show promise in identifying potential product candidates, yet fail to yield product candidates suitable for clinical development or commercialization. Likewise, we and our partners have to make decisions about which clinical stage and pre-clinical product candidates to develop and advance, and we may not have the resources to invest in all of our current product candidates, or clinical data and other development considerations may not support the advancement of one or more product candidates. Decision-making about which product candidates to prioritize involves inherent uncertainty, and our and our partners' development program decision-making and resource prioritization decisions may not improve our results of operations or future growth prospects or enhance the value of the ADSs and our underlying shares.</w:t>
      </w:r>
    </w:p>
    <w:p>
      <w:pPr>
        <w:spacing w:after="0" w:line="17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Additionally, our most advanced proprietary product candidate, tisotumab vedotin, is currently in Phase II development, and we have not advanced any product candidates through late-stage clinical development ourselves. If we are unable to develop late-stage development capabilities, we will be required to continue to contract with third parties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7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have no history of commercializing our marketed products. Building our commercialization capabilities will require significant investment of time and money. There can be no assurance that we will successfully set up our commercialization capabilities in any of the proposed jurisdictions or at all, or that we will successfully commercialize any of our product candidates in the future.</w:t>
      </w:r>
    </w:p>
    <w:p>
      <w:pPr>
        <w:spacing w:after="0" w:line="194"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with an initial focus on achieving commercial launch readiness in Western Europe and Japan to support the potential launch of tisotumab vedotin for the treatment of cervical cancer in these jurisdictions, subject to obtaining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regulatory approval and, where applicable, reimbursement approval. Our sales and marketing operations are currently in the early stages of development and setting up full commercialization capabilities in these jurisdictions will require substantial investment of time and money and will divert significant management focus and resources. We will be competing with larger pharmaceutical and biotechnology companies with established commercialization and marketing capabilities. In addition, we may be unable to develop productive relationships with local medical experts, patients and other key stakeholders or may face barriers due to cultural or regulatory differences. We will also compete for staffing with transnational and local pharmaceutical and biotechnology firms and local medical, healthcare and research organizations. Accordingly, there can be no assurance that our efforts to set up commercialization capabilities will be successful in any of the proposed jurisdictions or at all.</w:t>
      </w:r>
    </w:p>
    <w:p>
      <w:pPr>
        <w:spacing w:after="0" w:line="172"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Even if tisotumab vedotin or one of our other proprietary product candidates obtains regulatory approval, we may determine that commercializing such product candidate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Failure to successfully market one or more of our approved products, or delays in our commercialization efforts, may diminish the commercial prospects for such products and may result in financial losses or damage to our reputation, each of which may have a negative impact on the market price of our ADSs and our financial condition, results of operations and future growth prospects.</w:t>
      </w:r>
    </w:p>
    <w:p>
      <w:pPr>
        <w:spacing w:after="0" w:line="174" w:lineRule="exact"/>
        <w:rPr>
          <w:sz w:val="20"/>
          <w:szCs w:val="20"/>
          <w:color w:val="auto"/>
        </w:rPr>
      </w:pPr>
    </w:p>
    <w:p>
      <w:pPr>
        <w:ind w:right="920"/>
        <w:spacing w:after="0" w:line="331" w:lineRule="auto"/>
        <w:rPr>
          <w:sz w:val="20"/>
          <w:szCs w:val="20"/>
          <w:color w:val="auto"/>
        </w:rPr>
      </w:pPr>
      <w:r>
        <w:rPr>
          <w:rFonts w:ascii="Arial" w:cs="Arial" w:eastAsia="Arial" w:hAnsi="Arial"/>
          <w:sz w:val="16"/>
          <w:szCs w:val="16"/>
          <w:b w:val="1"/>
          <w:bCs w:val="1"/>
          <w:i w:val="1"/>
          <w:iCs w:val="1"/>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4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Tisotumab vedotin is currently our most advanced proprietary product candidate, and our initial commercialization efforts are focused on setting up our commercialization capabilities in Western Europe and Japan to market tisotumab vedotin for the treatment of cervical cancer. However, there can be no assurance that tisotumab vedotin will obtain regulatory approval in our targeted jurisdictions, on our expected timeline or at all. We and Seattle Genetics are currently conducting a potentially registrational Phase II clinical trial of tisotumab vedotin for the treatment of patients with recurrent and/or metastatic cervical cancer and expect enrollment to be completed for this study in 2019. There can be no assurance that this study will be completed, on the proposed timeline or at all, or that the results will be supportive of regulatory filings. Even if we achieve results in this study that support regulatory filings, we may be required to conduct one or more additional clinical trials in order to obtain marketing approval for tisotumab vedotin. Such trials would be time consuming and costly and may not be completed successfully, if at all. If we are not able to complete the ongoing Phase II study and any other studies that may be required and achieve results that support regulatory filings, we will be unable to obtain regulatory approval for tisotumab vedotin in the proposed indications. Even if we file a Biologics License Application, or BLA, or other regulatory application, there is no guarantee that we will obtain marketing approval or, if we obtain marketing approval, that we and Seattle Genetics will be able to successfully commercialize tisotumab vedotin. If we are unable to commercialize tisotumab vedotin for cervical cancer or in the proposed jurisdictions, we may lose a portion of our investment and may incur additional costs to refocus our efforts on other products or indications, which could have a negative impact on our business, financial condition, results of operations and future growth prospects.</w:t>
      </w:r>
    </w:p>
    <w:p>
      <w:pPr>
        <w:spacing w:after="0" w:line="18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developing tisotumab vedotin in collaboration with Seattle Genetics under an agreement in which the companies share all future costs and profits for the product on a 50:50 basis. If we and Seattle Genetics are unable to agree on the development and commercialization strategies for tisotumab vedotin, such efforts may be delayed or we may be required to take full responsibility for ongoing development and commercialization efforts, including the costs of such efforts. Under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agreement, Seattle Genetics will be responsible for tisotumab vedotin commercialization activities in the United States, Canada and Mexico, while we will be responsible for commercialization activities in all other territories. We are currently in discussions with Seattle Genetics regarding the detailed terms on which we will work together to commercialize tisotumab vedotin under this agreement. The results of these discussions may impact the pace and timing of our commercial expansion into the United States or other jurisdictions. In addition, either party may opt out of co-development and profit-sharing in return for receiving milestone payments and royalties from the continuing party.</w:t>
      </w:r>
    </w:p>
    <w:p>
      <w:pPr>
        <w:spacing w:after="0" w:line="16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Furthermore, tisotumab vedotin is developed using Seattle Genetics' proprietary ADC technology in combination with our proprietary HuMax-TF antibody. Any failures or setbacks in Seattle Genetics' ADC development program, including adverse effects resulting from the use of ADC technology in commercial settings or human clinical trials and/or the imposition of clinical holds on any trials for product candidates using this technology, could have a detrimental impact on the continued development of tisotumab vedotin, which could adversely affect our business, financial condition, results of operations and future growth prospects.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failures or setbacks in our DuoBody platform or our other proprietary technologies could negatively affect our business and financial condition.</w:t>
      </w:r>
    </w:p>
    <w:p>
      <w:pPr>
        <w:spacing w:after="0" w:line="26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Many of our proprietary and partnered product candidates are created with, and dependent upon, our proprietary technologies, including our proprietary DuoBody-CD3xCD20, DuoBody-CD40x4-1BB and DuoBody-PD-L1x4-1BB product candidates, which were created with our DuoBody technology, as well as several additional product candidates in clinical development by Janssen through our DuoBody collaboration, our proprietary HexaBody-DR5/DR5 product candidate, which was created with our HexaBody technology, and our proprietary DuoHexaBody-CD37 product candidate, which was created with our DuoHexaBody technology. Our DuoBody technology is also the basis of our collaborations with Novo Nordisk, BioNTech and Gilead Sciences. To date, no products based on any of these technologies have been approved for commercial sale in any jurisdiction. Any failures or setbacks with respect to our proprietary technologies, including adverse effects resulting from the use of these technologies in human clinical trials and/or the imposition of clinical holds on trials of any product candidates using our proprietary technologies, could have a detrimental impact on our clinical pipeline, as well as our ability to maintain and/or enter into new corporate collaborations regarding our technologies or otherwise, which would negatively affect our business and financial condition.</w:t>
      </w:r>
    </w:p>
    <w:p>
      <w:pPr>
        <w:spacing w:after="0" w:line="17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Several of our products and product candidates are used or proposed to be used in combination with other therapeutic products, which exposes us to risks related to those products.</w:t>
      </w:r>
    </w:p>
    <w:p>
      <w:pPr>
        <w:spacing w:after="0" w:line="186"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color w:val="auto"/>
        </w:rPr>
        <w:t>Part of our clinical development strategy for certain of our product candidates, including daratumumab and ofatumumab, is to seek to identify patients or patient subsets within a disease category whose treatment may benefit from our products in combination with other therapeutic products. For example, daratumumab has been approved in certain jurisdictions in combination with (i) lenalidomide and dexamethasone, or Rd, for the treatment of MM patients who have received at least one prior line of therapy; (ii) bortezomib and dexamethasone, or Vd, for the treatment of MM patients who have received at least one prior line of therapy; (iii) pomalidomide and dexamethasone, or Pom-d, for the treatment of MM patients who have received at least two prior therapies, including lenalidomide and a proteasome inhibitor, or PI; and (iv) bortezomib, melphalan and prednisone, or VMP, for frontline treatment of transplant-ineligible MM patients. Ofatumumab has been approved in certain jurisdictions in combination with (i) fludarabine and cyclophosphamide, and</w:t>
      </w:r>
    </w:p>
    <w:p>
      <w:pPr>
        <w:spacing w:after="0" w:line="5" w:lineRule="exact"/>
        <w:rPr>
          <w:sz w:val="20"/>
          <w:szCs w:val="20"/>
          <w:color w:val="auto"/>
        </w:rPr>
      </w:pPr>
    </w:p>
    <w:p>
      <w:pPr>
        <w:jc w:val="center"/>
        <w:ind w:right="620" w:firstLine="8"/>
        <w:spacing w:after="0" w:line="281"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chlorambucil and bendamustine for the treatment of certain CLL indications. In addition, daratumumab is currently in Phase III clinical trials in combination with (i) bortezomib, lenalidomide and dexamethasone, or VRd, Rd and VMP for frontline treatment of transplant-ineligible MM patients;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bortezomib, thalidomide and dexamethasone, or VTd, and VRd for frontline treatment of transplant-eligible MM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patients; and (iii) carfilzomib and dexamethasone, or Kd, Pom-d and Vd for the treatment of R/R MM, and in combination with cyclophosphamide, bortezomib and dexamethasone, or CyBord, for the treatment of amyloidosis. We and our partners are also testing other product candidates as combination treatments. Approval of a product for the treatment of a disease indication in combination with other therapeutic products exposes us and our partners to certain risks related to those other therapeutic products, including the risks that such products will become less competitive or obsolete or will be found to have safety concerns, which could potentially result in removal of such products from the market. For example, in May 2012, the FDA issued a safety announcement relating to the risk of second primary malignancies in patients with newly diagnosed MM that had received lenalidomide, marketed as Revlimid, and on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July 18, 2013, Celgene, in consultation with the FDA, discontinued treatment with Revlimid in a Phase III trial for the treatment of previously untreated elderly patients with CLL due to an imbalance observed in the number of deaths in patients treated with Revlimid versus patients treated with chlorambucil. In addition, in May 2018, the CALLISTO Phase Ib/II study of daratumumab in combination with atezolizumab in patients with previously treated NSCLC was terminated following a planned review by a data monitoring committee, which determined that there was no observed benefit in the combination treatment arm versus atezolizumab alone and observed a numerical increase in mortality-related events in the combination treatment arm of the study.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Partnerships are an important part of our strategy and we may not be able to continue our current partnerships or establish additional partnerships.</w:t>
      </w:r>
    </w:p>
    <w:p>
      <w:pPr>
        <w:spacing w:after="0" w:line="260"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entered into a number of different partnerships for development, co-development, commercialization and co-commercialization of our products and product candidates, as well as for the in- and out-licensing of third-party technologies and our proprietary technologies. Our ability to continue our current partnerships and to enter into additional partnerships will depend in large part on whether we are able to successfully demonstrate our ability to select and develop product candidates and that our antibody technology and other platform technologies are attractive formats for developing antibody therapeutic products. Existing or potential partners may pursue alternative technologies, including those of our competitors, or enter into other transactions that could make collaboration with us less attractive to them. For example, if an existing partner purchases or is purchased by one of our competitors, that company could be less willing to continue its collaboration with us. Moreover, disputes may arise with respect to the ownership of rights to any technology or products developed with any current or future partner. Lengthy negotiations with potential new partners or disagreements between us and our partners may lead to delays in or termination of the research, development or commercialization of products and product candidates. If we are not able to establish additional partnerships on terms that are favorable to us or if a significant number of our existing partnerships are terminated and we cannot replace them, we may be required to increase our internal product development and commercialization efforts. This would likely limit the number of product candidates that we would be able to develop and commercialize, significantly increase our need for capital and/or place additional strain on management's time, any of which could materially harm our business, financial condition and results of operations. Furthermore, as discussed above, we cannot assure you that we would be able to establish the necessary internal product development and commercialization capabilities to develop and commercialize our product candidates ourselves in a timely matter or at all, or that any product development or commercialization activities we carry out would be successful.</w:t>
      </w:r>
    </w:p>
    <w:p>
      <w:pPr>
        <w:spacing w:after="0" w:line="179"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b w:val="1"/>
          <w:bCs w:val="1"/>
          <w:i w:val="1"/>
          <w:iCs w:val="1"/>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141" w:lineRule="exact"/>
        <w:rPr>
          <w:sz w:val="20"/>
          <w:szCs w:val="20"/>
          <w:color w:val="auto"/>
        </w:rPr>
      </w:pPr>
    </w:p>
    <w:p>
      <w:pPr>
        <w:ind w:right="520" w:firstLine="348"/>
        <w:spacing w:after="0" w:line="369" w:lineRule="auto"/>
        <w:rPr>
          <w:sz w:val="20"/>
          <w:szCs w:val="20"/>
          <w:color w:val="auto"/>
        </w:rPr>
      </w:pPr>
      <w:r>
        <w:rPr>
          <w:rFonts w:ascii="Arial" w:cs="Arial" w:eastAsia="Arial" w:hAnsi="Arial"/>
          <w:sz w:val="15"/>
          <w:szCs w:val="15"/>
          <w:color w:val="auto"/>
        </w:rPr>
        <w:t>We rely on our partners to support our business, including to assist with, or to conduct, clinical and regulatory development, manufacturing and/or commercialization of certain of our products and product candidates or to provide access to antigens, technologies, skills and information that we do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possess. For example, we have granted Janssen worldwide exclusive rights to develop and commercialize daratumumab, have granted Novartis worldwide exclusive rights to co-develop and commercialize ofatumumab, and have also entered into partnerships with Seattle Genetics and BioNTech for certain of our proprietary product candidates. In addition, we have granted Janssen, Novo Nordisk and Gilead Sciences certain rights to develop product candidates using our DuoBody technology platform. We have also created product candidates which have been out-licensed to Janssen, Roche, BMS, ADC Therapeutics, Lundbeck and Amgen, and have entered into a research collaboration and exclusive license agreement with Immatics to discover and develop potential next-generation bispecific immunotherapies to target multiple cancer indications. If we do not realize the contemplated benefits from our collaborations, our business, financial condition and results of operations may be materially harmed.</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particular, the termination of our key partnerships could significantly delay the development and commercialization of our products and product candidates and impact our financial results and future prospects. Our licensing partners generally have the right to terminate our partnerships with notice at any time. For example, Janssen has the right to terminate our collaboration agreement concerning daratumumab with 150 days' written notice to us, Novartis has the right to terminate the co-development and collaboration agreement concerning ofatumumab at any time by providing nine months' prior written notice to us, and Seattle Genetics has the right to opt out of co-development and profit-sharing of tisotumab vedotin in return for receiving milestone payments and royalties from us. In particular, any disruption to our collaboration with Janssen or changes in Janssen's product development or business strategy for daratumumab could result in a material decline in our revenue. In addition, any failure by Janssen to perform its obligations under our agreements for any reason, including its obligations to make milestone payments or pay royalties, could have a material adverse effect on our financial performance. Our near-term prospects for product development and commercialization could also be significantly impacted by any disruption in, or termination of, our collaborations with Novartis and Seattle Genetics for ofatumumab and tisotumab vedotin, respectively.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reliance on our partners subjects us to a number of additional risks, including the following:</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have significant discretion regarding whether and on what timeline to pursue planned activities;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cannot control the quantity and nature of the resources our partners may devote to the development, commercialization, marketing and distribution of products or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not develop products generated using our antibody technology as expected;</w:t>
      </w:r>
    </w:p>
    <w:p>
      <w:pPr>
        <w:spacing w:after="0" w:line="238" w:lineRule="exact"/>
        <w:rPr>
          <w:rFonts w:ascii="Arial" w:cs="Arial" w:eastAsia="Arial" w:hAnsi="Arial"/>
          <w:sz w:val="18"/>
          <w:szCs w:val="18"/>
          <w:color w:val="auto"/>
        </w:rPr>
      </w:pPr>
    </w:p>
    <w:p>
      <w:pPr>
        <w:ind w:left="1080" w:right="300" w:hanging="532"/>
        <w:spacing w:after="0" w:line="33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between us and our partners may delay or terminate the research, development or commercialization of the applicable products and product candidates or result in costly litigation or arbitration that diverts management's attention and resources;</w:t>
      </w:r>
    </w:p>
    <w:p>
      <w:pPr>
        <w:spacing w:after="0" w:line="167"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receive milestone payments from our partners, at the expected time or at all, if our partners do not achieve future milestones or if we and our partners disagree about whether a milestone has been reached;</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collaborations under which we have an active role, we and our partners may have differing opinions or priorities, or we may encounter challenges in joint decision making, which may delay or terminate the research, development or commercialization of the applicable products and product candidates;</w:t>
      </w:r>
    </w:p>
    <w:p>
      <w:pPr>
        <w:spacing w:after="0" w:line="207"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 may delay, terminate or repeat clinical trials or require a new formulation of a product candidate for clinical testing, or may abandon a product candidate;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relationships with our partners may divert significant time and effort of our scientific staff and management team;</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 may be subject to regulatory sanctions that could adversely affect the development, approval or commercialization of the applicable products or product candidates;</w:t>
      </w:r>
    </w:p>
    <w:p>
      <w:pPr>
        <w:spacing w:after="0" w:line="199"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 may develop competing products, therapeutic approaches or technologies;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financial difficulties or significant changes in a partner's business strategy may adversely affect that partner's willingness or ability to continue to pursue our products or product candidates;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collaborations may be terminated, breached or allowed to expire, or our partners may reduce the scope of our agreements with them.</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one or more of the foregoing risks, if realized, could have a material adverse effect on our business,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license agreements violate the competition provisions of the EC Treaty, then some terms of our key agreements may be unenforceable.</w:t>
      </w:r>
    </w:p>
    <w:p>
      <w:pPr>
        <w:spacing w:after="0" w:line="24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Certain license agreements that we have entered into, or may enter into, will grant or may grant exclusive licenses of patents, patent applications and know-how and, therefore, might be found to be restrictive of competition under Article 81(1) of the EC Treaty. Article 81(1) prohibits agreements which restrict competition within the European Community and affect trade between member states. We determine on an agreement-by-agreement basis whether an existing exemption from the application of Article 81(1) applies to the agreement. If an exemption is not applicable, provisions of any license agreement which are restrictive of competition under Article 81(1), including those relating to the exclusivity of rights, may be unenforceable and we could lose the benefit of the rights granted under the provision and may be ordered to pay fines and damages to third parties.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product candidates will need to undergo clinical trials that are time 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FDA, the EMA and comparable regulatory authorities in other jurisdictions must approve new product candidates before they can be marketed, promoted or sold in those territories. We or our partners must provide these regulatory authorities with data from pre-clinical studies and clinical trials that demonstrate that our product candidates are safe and effective for a specific indication before they can be approved for commercial distribution. DARZALEX and Arzerra are currently our only approved products. We cannot be certain that our or our partners'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or reimbursement of approved products or validations or endorsements of treatment options. Such third parties may require additional data or studies for their determinations.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 are inherently unpredictable and can occur at any stage. Topline or interim results of clinical trials do not necessarily predict final results, and success in pre-clinical studies and early clinical trials does not ensure that later clinical trials will be successful. A number of companies in the pharmaceutical, biopharmaceutical and biotechnology industries have suffered significant setbacks in advanced clinical trials even after promising results in earlier trials, and we cannot be certain that we or our partners will not face similar setbacks. If topline or interim data that we or our partners report differ from final results, if others, including regulatory authorities, disagree with our assumptions, calculations, conclusions, or analyses or interpret or weigh the data differently, or if subsequent studies are unsuccessful, we or our partners may be unable to obtain marketing approval for product candidates on a timely basis or at all, which could impact our reputation, business, financial condition, results of operations and future growth prospects.</w:t>
      </w:r>
    </w:p>
    <w:p>
      <w:pPr>
        <w:spacing w:after="0" w:line="17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and flaws in the design of a clinical trial may not become apparent until the clinical trial is well advanced or completed. In addition, advancements or changes in the industry standards or techniques may impact the value and recognition of our and our partners' clinical data. Failure to adopt new industry standards may result in less comparable or useful study results. Alternately, early adoption of emerging protocols or endpoints may result in data that is not recognized by certain regulatory bodies or industry professionals, or if such protocols are later found to be ineffective, may require us or our partners to change the design of our clinical trials. For example, Janssen has selected minimal residual disease, or MRD, an emerging efficacy endpoint in MM, as the primary endpoint in the Phase III CEPHEUS trial of daratumumab in combination with VRd for the treatment of frontline MM. Although the trial includes more conventional measures as secondary endpoints, such as PFS and OS, this design may not be sufficient to obtain regulatory approval, and Janssen may be required to change the design of the trial or conduct additional trials to obtain regulatory approval. Similarly, failure of the industry to adopt MRD as a valid endpoint may result in study results being discounted or disregarded by industry professionals. Changing the design of a clinical trial can be expensive and time consuming. An unfavorable outcome in one or more trials would be a major setback for our product candidates and for us and may require us or our partners to delay, reduce the scope of or eliminate one or more product development programs, which could have a material adverse effect on our business, financial position, results of operations and future growth prospects. In addition, any delays in product development may allow our competitors to bring products to market before we do or shorten any periods during which we or our partners have the exclusive right to commercialize our product candidates.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clinical trials of our product candidates, we face a number of risks, including risks that:</w:t>
      </w:r>
    </w:p>
    <w:p>
      <w:pPr>
        <w:spacing w:after="0" w:line="239" w:lineRule="exact"/>
        <w:rPr>
          <w:sz w:val="20"/>
          <w:szCs w:val="20"/>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partners may be unable to manufacture or obtain sufficient quantities of qualified materials for clinical trials or may be required to modify manufacturing processes;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recruitment may be slower than expected;</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be ineffective, inferior to existing approved products for the same indications, unacceptably toxic or have unacceptable side effects;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patients may die or suffer other adverse effects for reasons that may or may not be related to the product candidate being tested;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clinical trial may be delayed, suspended or terminated by the institutional review board or ethics committee responsible for overseeing the clinical study, by regulatory authorities or by us or our partners due to failure to meet clinical protocols, safety issues or adverse effects, failure to demonstrate product efficacy, changes in clinical protocols or applicable regulatory requirements, lack of funding or other factors;</w:t>
      </w:r>
    </w:p>
    <w:p>
      <w:pPr>
        <w:spacing w:after="0" w:line="187" w:lineRule="exact"/>
        <w:rPr>
          <w:rFonts w:ascii="Arial" w:cs="Arial" w:eastAsia="Arial" w:hAnsi="Arial"/>
          <w:sz w:val="16"/>
          <w:szCs w:val="16"/>
          <w:color w:val="auto"/>
        </w:rPr>
      </w:pPr>
    </w:p>
    <w:p>
      <w:pPr>
        <w:ind w:left="1080" w:right="400" w:hanging="532"/>
        <w:spacing w:after="0" w:line="33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investigators or other third parties could conduct clinical studies on our products or product candidates that could lead to adverse events or results that could negatively impact the development, regulatory approval or marketability of such products;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studies on long-term tolerance could invalidate the use of our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final results of studies may not confirm positive interim results or the results of earlier trials;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may not meet the level of statistical significance required by the FDA, the EMA or other relevant regulatory agencies to establish the safety and efficacy of our product candidates for continued trial or marketing approval;</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partners or contract research organizations, or CROs, may be unable or unwilling to perform under their contracts.</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announced milestones in the timeframes we expect, or at all, the commercialization of our product candidates may be delayed and we may not be entitled to receive certain contractual payments, which could have a material adverse effect on our business, financial condition, results of operations and future growth prospects.</w:t>
      </w:r>
    </w:p>
    <w:p>
      <w:pPr>
        <w:spacing w:after="0" w:line="162"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b w:val="1"/>
          <w:bCs w:val="1"/>
          <w:i w:val="1"/>
          <w:iCs w:val="1"/>
          <w:color w:val="auto"/>
        </w:rPr>
        <w:t>Results of pre-clinical or early clinical trials may not be indicative of results obtained in later clinical trials, the timing and outcomes of which are always uncertain, and our product candidates may not successfully complete clinical trials on our expected timeline or at all.</w:t>
      </w:r>
    </w:p>
    <w:p>
      <w:pPr>
        <w:spacing w:after="0" w:line="14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 xml:space="preserve">Even if we or our partners obtain positive results from pre-clinical or early clinical trials, we or they may not achieve the same success in future trials. In particular, the results of pre-clinical trials are based on animal,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other laboratory testing and may not be predictive of the safety or efficacy of our product candidates in humans. Similarly, the results of early stage clinical trials are based on a limited number of patients and may, upon further review, be revised or negated by regulatory authorities or by later stage clinical results. Historically, industry wide results from pre-clinical testing and early clinical trials have often not been predictive of results obtained in later clinical trials. Industry wide, a number of new drug and biologic candidates have shown promising results in early clinical trials, but subsequently failed to establish sufficient safety and efficacy data to obtain necessary regulatory approvals. Data obtained from pre-clinical and clinical activities are susceptible to varying interpretations, which may delay, limit or prevent regulatory approval. In addition, regulatory delays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rejections may be encountered as a result of many factors, including emerging knowledge or changes in regulatory policy during the period of product development.</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Clinical trials may not demonstrate statistically sufficient levels of safety and efficacy to obtain the requisite regulatory approvals. The failure of clinical trials to demonstrate safety and efficacy for our desired indications could harm the development of the relevant product candidate as well as other product candidates employing the same technology, which could have a significant impact on our product pipeline and future growth prospects.</w:t>
      </w:r>
    </w:p>
    <w:p>
      <w:pPr>
        <w:spacing w:after="0" w:line="16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these third parties do not successfully carry out their contractual duties or meet expected deadlines, we may be unable to obtain regulatory approval for our product candidates.</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do not currently have the ability to independently conduct clinical trials. With respect to our proprietary product candidates or any other product candidates for which we control the clinical development, we rely on third parties, such as CROs, to conduct clinical trials on our product candidates. For our out-licensed products and product candidates, or for any product candidates where our partner is responsible for clinical development, we rely on such partners to conduct clinical trials. These partners may also hire CROs or other third parties to conduct clinical studies on our products and product candidates. The third parties with whom we and our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clinical trials, we remain responsible for ensuring that each of our clinical trials is conducted in accordance with its investigational plan and protocol. The FDA and regulatory authorities in Europe and other jurisdictions require us to comply with regulations and standards, commonly referred to as current good clinical practices, or cGCPs, for conducting, monitoring, recording and reporting the results of clinical trials, in order to ensure that the data and results are scientifically credible and accurate and that the trial subjects are adequately informed of the potential risks of participating in clinical trials.</w:t>
      </w:r>
    </w:p>
    <w:p>
      <w:pPr>
        <w:spacing w:after="0" w:line="18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some of which may compete with us.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and we may not be able to obtain regulatory approval in a timely fashion, or at all, for the applicable product candidate, or to commercialize such product candidate being tested in such studies or trials.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and our partners have conducted, currently are conducting and intend in the future to conduct, clinical trials outside the United States, particularly in the European Union where we are headquartered. Although the FDA may accept data from clinical trials conducted outside the United States, acceptance of this data is subject to certain conditions imposed by the FDA. For example, the clinical trial must be well designed and conducted by qualified investigators in accordance with cGCPs, including review and approval by an independent ethics committee and receipt of informed consent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trial patients. The trial population must also adequately represent the U.S. population, and the data must be applicable to the U.S. population and U.S. medical practice in ways that the FDA deems clinically meaningful. Generally, the patient population for any clinical trial conducted outside of the United States must be representative of the population for which we intend to seek approval in the United States. In addition, while these clinical trials are subject to applicable local laws, FDA acceptance of the data will be dependent upon its determination that the trials also comply with all applicable U.S. laws and regulations. There can be no assurance that the FDA will accept data from trials conducted outside of the United States. If the FDA does not accept the data from any clinical trials that we or our partners conduct outside the United States, it would likely result in the need for additional clinical trials, which would be costly and time-consuming and delay or permanently halt our ability to develop and market these product candidates for the proposed indications in the United States.</w:t>
      </w:r>
    </w:p>
    <w:p>
      <w:pPr>
        <w:spacing w:after="0" w:line="19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For example, the FDA may not accept data from Janssen's ongoing pivotal Phase III CASSIOPEIA study based on its design or other factors. Among other things, the study is assessing daratumumab in combination with VTd, a MM treatment regimen more commonly prescribed in Europe, and is being conducted in certain European countries by French Intergroupe Francophone du Myelome, or IFM, in collaboration with the Dutch-Belgian Cooperative Trial Group for Hematology Oncology, or HOVON, and Janssen. In addition, the FDA may not accept the use of sCR, an emerging endpoint, as the primary endpoint for the consolidation stage of the study or may not be satisfied with other aspects of the trial design, including the double randomization feature, in which patients that achieved a response in the first part of the study undergo a second randomization to either receive maintenance treatment of daratumumab versus no further treatment (observation).</w:t>
      </w:r>
    </w:p>
    <w:p>
      <w:pPr>
        <w:spacing w:after="0" w:line="172"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In other jurisdictions, for instance, in Japan, there is a similar risk regarding the acceptability of clinical trial data conducted outside of that jurisdiction. In addition, there are risks inherent in conducting clinical trials in multiple jurisdictions, inside and outside of the United States, such as:</w:t>
      </w:r>
    </w:p>
    <w:p>
      <w:pPr>
        <w:spacing w:after="0" w:line="154" w:lineRule="exact"/>
        <w:rPr>
          <w:sz w:val="20"/>
          <w:szCs w:val="20"/>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and our partners' ability to conduct 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we or our partners encounter difficulties enrolling patients in our clinical trials, our clinical development activities could be delayed or otherwise adversely affected.</w:t>
      </w:r>
    </w:p>
    <w:p>
      <w:pPr>
        <w:spacing w:after="0" w:line="186"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or our partners may experience difficulties in patient enrollment in our clinical trials for a variety of reasons, including:</w:t>
      </w:r>
    </w:p>
    <w:p>
      <w:pPr>
        <w:spacing w:after="0" w:line="207"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61" w:lineRule="exact"/>
        <w:rPr>
          <w:rFonts w:ascii="Arial" w:cs="Arial" w:eastAsia="Arial" w:hAnsi="Arial"/>
          <w:sz w:val="16"/>
          <w:szCs w:val="16"/>
          <w:color w:val="auto"/>
        </w:rPr>
      </w:pPr>
    </w:p>
    <w:p>
      <w:pPr>
        <w:ind w:left="1080" w:right="36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addition, our and our partners' clinical trials will compete with other clinical trials for product candidates that are in the same therapeutic areas as our product candidates, and this competition will reduce the number and types of patients available for our and our partners' clinical trials, because some patients who might have opted to enroll in our trials may instead opt to enroll in a trial being conducted by one of our competitors. We expect that we and our partners will conduct some of our clinical trials at the same clinical trial sites that some of our competitors use, which will reduce the number of patients who are available for our and our partners'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Even if we and our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partners' ability to advance the development of our product candidates.</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or to enter into successful commercial arrangements for such diagnostics, could harm our development strategy.</w:t>
      </w:r>
    </w:p>
    <w:p>
      <w:pPr>
        <w:spacing w:after="0" w:line="186"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may seek to identify patient subsets within a disease category that may derive selective and meaningful benefit from the product candidates we are developing. Through collaborations, we may develop companion diagnostics to help us to more accurately identify patients within a particular subset, both during our clinical trials and in connection with the commercialization of our product candidates. Companion diagnostics are subject to regulation by the FDA, the EMA and comparable foreign regulatory authorities as companion diagnostic medical devices and typically require separate regulatory approval prior to commercial use. We expect that we may develop companion diagnostics in collaboration with third parties and may be dependent on the scientific insights and sustained cooperation and effort of such partners in developing and obtaining approval for companion diagnostics. We and our partners may encounter difficulties in developing and obtaining approval for any companion diagnostics, including issues relating to selectivity/specificity, analytical validation, reproducibility or clinical validation. Any delay or failure by us or our partners to obtain regulatory approval of companion diagnostics could delay or prevent approval of our product candidates. In addition, we or our partners may encounter production difficulties that could constrain the supply of the companion diagnostics, and may experience difficulties gaining acceptance of the use of such companion diagnostics in the clinical community. Failure to gain market acceptance of such companion diagnostics could have an adverse effect on our or our partners' ability to successfully commercialize such product candidates. In addition, the diagnostic company with whom we contract may decide to discontinue selling or manufacturing the companion diagnostic that we or our partners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companion diagnostic test for use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development and commercialization of our product candidates or do so on commercially reasonable terms, which could adversely affect and/or delay the development or commercialization of our product candidates.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subject to extensive and costly government regulation, and are required to obtain and maintain governmental approvals to commercialize our products.</w:t>
      </w:r>
    </w:p>
    <w:p>
      <w:pPr>
        <w:spacing w:after="0" w:line="186"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Product candidates employing our antibody technology are subject to extensive and rigorous government regulation. The FDA, the EMA and similar regulatory agencies in other countries regulate the development, testing, manufacture, safety, efficacy, record-keeping, labeling, storage, approval, advertising, promotion, sale and distribution of biopharmaceutical products. The regulatory review and approval or licensing process is lengthy, expensive and uncertain and requires the submission of extensive pre-clinical and clinical data and supporting information for each indication to establish the product candidate's safety and efficacy. We or our partners may be unable to obtain regulatory approval on the basis of such data if the relevant regulatory authorities disagree with the design or implementation of the clinical trials, determine that the results of such trials do not meet the requisite level of statistical significance, disagree with our or our partners' interpretation of such data, determine that we or our partners have not demonstrated the safety and efficacy of the product candidate or that its benefits outweigh its risks or fail to approve the manufacturing processes or facilities for the product candidate. In addition, approval policies, regulations, or the type and amount of clinical data necessary to gain approval may change during the course of a product candidate's clinical development and may vary among jurisdictions. Moreover, principal investigators for our clinical trials may serve as scientific advisors or consultants to us from time to time and receive compensation in connection with such services. Under certain circumstances, particularly as we move towards the commercial stage of our product candidates, we may be required to report some of these relationships to the FDA or other regulatory authorities, as well as to certain national registers or other applicable agencies. The FDA or other regulatory authorities may conclude that a financial relationship between us and a principal investigator has created a conflict of interest or otherwise affected the integrity of the study. We have not obtained regulatory approval for any of our proprietary product candidates and it is possible that none of our existing product candidates or any product candidates we may seek to develop in the future will ever obtain regulatory approval.</w:t>
      </w:r>
    </w:p>
    <w:p>
      <w:pPr>
        <w:spacing w:after="0" w:line="16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Even if we or our partners are able to obtain approval for our products or product candidates, regulatory authorities may grant approval for fewer or more limited indications than requested, may grant approval contingent on the performance of costly post-marketing clinical trials, or may approve a product candidate with a label that does not include the labeling claims necessary or desirable for the successful commercialization of such product candidate.</w:t>
      </w:r>
    </w:p>
    <w:p>
      <w:pPr>
        <w:spacing w:after="0" w:line="160"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addition, once a product obtains regulatory approval, numerous post-approval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current good manufacturing practices, or cGMPs.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condition, results of operations and future growth prospects will be negatively impacted and we or our partners may be subject to sanctions. In addition, even if our products are approved for marketing, we or our partners may be unable to market our products, successfully or at all, if we are unable to obtain favorable pricing for our products or if third party payors do not agree to provide reimbursement for our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products, at favorable rates or at all. See "—Risks Related to Government Regulation" below for more information about the regulatory risks we and our partners face.</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Any approval granted for our products or product candidates in the United States does not assure approval of such products in the European Union or other foreign jurisdictions.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order to market and sell our drugs in the European Union and other jurisdictions, we and our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many countries outside of the United States require that the drug be approved for reimbursement before the drug can be approved for sale in that country. We and our partners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Reports of adverse or undesirable events or safety concerns involving daratumumab, ofatumumab or our proprietary or partnered product candidates could delay or prevent us or our partners from obtaining or maintaining regulatory approvals, or could negatively impact sales and prospects of our products and product candidates.</w:t>
      </w:r>
    </w:p>
    <w:p>
      <w:pPr>
        <w:spacing w:after="0" w:line="194"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with most biological drug products, use of our products and product candidates could be associated with undesirable side effects or adverse events which can vary in severity from minor reactions to death and in frequency from infrequent to prevalent. In particular, many of our and our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could suffer adverse medical events or die for reasons that may or may not be related to our product candidates. Reports of adverse events or safety concerns could have negative impacts on our or our partners' clinical trials, regulatory processes, reputation and results.</w:t>
      </w:r>
    </w:p>
    <w:p>
      <w:pPr>
        <w:spacing w:after="0" w:line="20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Such adverse events or safety concerns involving our products or product candidates could cause us or regulatory authorities to interrupt, delay or halt clinical trials, or could negatively impact patient enrolment in, or completion of, clinical trials. For example, in May 2018, the CALLISTO Phase Ib/II study of daratumumab in combination with atezolizumab in patients with previously treated NSCLC was terminated following a planned review by a data monitoring committee, which determined that there was no observed benefit in the combination treatment arm versus atezolizumab alone and observed a numerical increase in mortality-related events in the combination arm of the study. Based on these findings, a Phase I study of daratumumab and Janssen's proprietary anti-PD-1 antibody for the treatment of patients with MM was also terminated. In addition, in June 2018, a Phase I study of JNJ-63709178, one of the product candidates being developed by Janssen through our DuoBody collaboration was put on clinical hold due to the occurrence of a Grade 3 adverse event. This hold was subsequently lifted and the study is ongoing. However, there can be no assurance that this study will not be halted again or terminated in the future.</w:t>
      </w:r>
    </w:p>
    <w:p>
      <w:pPr>
        <w:spacing w:after="0" w:line="17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reports of adverse events or safety concerns involving our products or product candidates could result in regulatory authorities limiting, denying, withdrawing approval of or recalling such product for any or all indications, including the use of such product in its previously approved indications, or may require additional clinical trials, updates to the prescribing information,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boxed warnings, contraindications, or other labeling statements, implementation of a Risk Evaluation and Mitigation Strategy or the issuance of field alerts, warnings or other communications to physicians, pharmacies or patients. For example, the prescribing information for Arzerra includes a warning that Arzerra may cause hepatitis B virus, or HBV, infection to reoccur, which may cause serious liver problems and death, and may cause progressive multifocal leukoencephalopathy, or PML, a rare brain infection that causes severe disability and can lead to death. In certain cases, regulatory authorities may order us or our partners to conduct additional trials or to cease further development or commercialization of the product or product candidate entirely.</w:t>
      </w:r>
    </w:p>
    <w:p>
      <w:pPr>
        <w:spacing w:after="0" w:line="16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Furthermore, actual or potential drug related side effects could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could prevent us or our partners from developing, commercializing or maintaining market acceptance of daratumumab, ofatumumab or the particular product candidate or could substantially increase commercialization costs, which could significantly harm our business, financial condition, results of operations and future growth prospects. In addition, the reporting of adverse safety events involving daratumumab, ofatumumab or our product candidates, or public rumors about such events, could cause our stock price to decline or experience periods of volatility. There are no assurances that patients receiving daratumumab, ofatumumab or our product candidates will not experience serious adverse events in the future.</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have received Fast Track Designation, or FTD, and Breakthrough Therapy Designation, or BTD, for certain indications in the past and may seek FTD or BTD, or may seek to participate in other programs for expedited development or review, in the future. We may fail to obtain such designation and may not be eligible for participation in such programs, and even if received, such designations or programs may not lead to a faster development or regulatory review or approval process.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a product candidate is intended for the treatment of a serious or life-threatening disease or condition, and pre-clinical or clinical data demonstrate the potential to address an unmet medical need for this condition, a product sponsor may apply for FTD from the FDA for such indication. Similarly, the FDA may grant BTD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In addition, the FDA or other regulatory bodies periodically introduce other pilot programs for expedited review of applications, including the FDA's recently released Real-Time Oncology Review, or RTOR, Pilot Program, which is currently available for certain supplemental applications for already-approved cancer drugs. The RTOR Pilot Program allows the FDA to review data before the applicant formally submits its completed supplemental application, resulting in a more efficient review when the applicant submits the full supplemental application. The FDA has indicated that it plans to review Janssen's sBLA submission for DARZALEX as a combination treatment for frontline MM based on the MAIA study under the RTOR Pilot Program.</w:t>
      </w:r>
    </w:p>
    <w:p>
      <w:pPr>
        <w:spacing w:after="0" w:line="176"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Although these designations and pilot programs are intended to expedite the review and approval of drug candidates, they do not ensure that marketing approval will be granted in a particular timeframe or at all. The FDA and other regulatory authorities have broad discretion whether or not to grant these designations or include product candidates within pilot programs, and, even if we or our partners believe a particular product candidate is eligible for these designations or programs, we cannot assure you that such authority would agree. Even though the FDA plans to review the sBLA for DARZALEX based on the MAIA study under its RTOR Pilot Program, and even if we or our partners receive such designations or are eligible for inclusion in expedited review pilot programs in the future,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spacing w:after="0" w:line="335" w:lineRule="auto"/>
        <w:rPr>
          <w:sz w:val="20"/>
          <w:szCs w:val="20"/>
          <w:color w:val="auto"/>
        </w:rPr>
      </w:pPr>
      <w:r>
        <w:rPr>
          <w:rFonts w:ascii="Arial" w:cs="Arial" w:eastAsia="Arial" w:hAnsi="Arial"/>
          <w:sz w:val="15"/>
          <w:szCs w:val="15"/>
          <w:color w:val="auto"/>
        </w:rPr>
        <w:t>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See "Business—Government Regulation" for more information about BTD and FTD and other programs for expedited review.</w:t>
      </w:r>
    </w:p>
    <w:p>
      <w:pPr>
        <w:spacing w:after="0" w:line="14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Daratumumab has received BTD for three indications of R/R MM and FTD for one indication of R/R MM, and ofatumumab has received BTD and FTD, each for one CLL indication. These products have been approved for each of the designated indications and these designations are not applicable to ongoing studies for daratumumab and ofatumumab in other indications. In addition, teprotumumab, one of our product candidates currently in Phase III clinical development by Horizon Pharma through our collaboration with Roche has received FTD and BTD for the treatment of Graves' Orbitopathy. We or our partners may seek FTD or BTD or seek eligibility for other expedited review or approval programs for some or all of our other product candidates in the future, but we may never receive such designation or be accepted to such program, and, even if received or accepted, the development or regulatory review of our product candidates may not be expedited or benefited by such designation or program. In addition, such designation or acceptance to such program does not assure ultimate approval by the FDA or the applicable regulatory body.</w:t>
      </w:r>
    </w:p>
    <w:p>
      <w:pPr>
        <w:spacing w:after="0" w:line="17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b w:val="1"/>
          <w:bCs w:val="1"/>
          <w:i w:val="1"/>
          <w:iCs w:val="1"/>
          <w:color w:val="auto"/>
        </w:rPr>
        <w:t>Enhanced governmental and private scrutiny over, or investigations or litigation involving, pharmaceutical manufacturer donations to patient assistance programs offered by charitable foundations may require us or our partners to modify such programs and could negatively impact our business practices, harm our reputation, divert the attention of management and increase our expenses.</w:t>
      </w:r>
    </w:p>
    <w:p>
      <w:pPr>
        <w:spacing w:after="0" w:line="160"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To help patients afford our products, certain of our partners have, and we may have in the future, patient assistance programs and we or our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or our partners' patient assistance programs and support of independent charitable foundations could become the target of similar litigation.</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permitting pharmaceutical manufacturers to make donations to charitable organizations that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our partners or our vendors or donation recipients are deemed to fail to comply with laws or regulations in the operation of these programs, we or such partner could be subject to damages, fines, penalties or other criminal, civil or administrative sanctions or enforcement actions. Further, numerous organizations, including pharmaceutical manufacturers, have received subpoenas from the OIG and other enforcement authorities seeking information related to their patient assistance programs and support. We cannot ensure that our compliance controls, policies and procedures will be sufficient to protect against acts of our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currently rely primarily on one contract manufacturer to produce our product candidates for clinical trials and are currently negotiating arrangements for commercial scale production.</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To ultimately be successful, our antibody products must be manufactured in commercial quantities in compliance with regulatory requirements and at acceptable costs. Janssen is responsible for the manufacture of daratumumab, and Novartis for the manufacture of ofatumumab. For the products we are responsible to manufacture, we currently rely primarily upon one single source third-party contract manufacturing organization, or CMO, Lonza, to manufacture and supply large quantities of our product candidates. As part of our efforts in building our in-house commercialization capabilities, we are currently in negotiations with a CMO for commercial production of tisotumab vedotin if and when approved. If these negotiations are unsuccessful, we believe that additional facilities would be available for commercial production of tisotumab vedotin if and when approved. We expect to negotiate contracts for commercial production on a product-by-product basis for products that we choose to commercialize ourselves.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aware of only a limited number of companies on a worldwide basis who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study, which could result in loss if we terminate the study or need to make changes to the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manufacturing partners must obtain and maintain compliance with applicable laws and regulations, including cGMPs.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Before commercializing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EMA or similar regulatory agencies at any time may also implement new standards, or change their interpretation and enforcement of existing standards for manufacture, packaging or testing of products.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Manufacturers of pharmaceutical and biologic products often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study materials in our pre-clinical studies and clinical trials would be jeopardized. Any delay or interruption in the supply of pre-clinical study or clinical trial materials could delay the completion of our pre-clinical studies and clinical trials, increase the costs associated with maintaining our pre-clinical study and clinical trial programs and, depending upon the period of delay, require us to commence new trials at significant additional expense or terminate the studies and trials completely.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we have little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partners may not be able to obtain regulatory approval for or successfully commercialize such products, and we or our partners may be held liable for any injuries sustained as a result. Any of these factors could cause a delay of clinical trials, regulatory submissions, approvals or commercialization of our products and product candidates or entail higher costs or impair our reputation. No assurance is given that third party manufacturers will be able to comply adequately with the applicable regulations.</w:t>
      </w:r>
    </w:p>
    <w:p>
      <w:pPr>
        <w:spacing w:after="0" w:line="17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which may result in others discovering, developing or commercializing competing products before or more successfully than we do, or earlier than we anticipate.</w:t>
      </w:r>
    </w:p>
    <w:p>
      <w:pPr>
        <w:spacing w:after="0" w:line="186"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products. Many third parties compete with us in developing various approaches to antibody therapy. They include pharmaceutical companies, biotechnology companies, academic institutions and other research organizations. Many of our competitors have significantly greater financial resources and expertise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collaborative arrangements with large and established companies.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ADC, CAR modified T-cell, or CAR-T, and ribonucleic acid, or RNA-based, technologies. In addition, our DuoBody and other technology partners may develop compounds utilizing our technologies that may compete with product candidates that we are developing. See "Business—Competition" below for more information about our competitors.</w:t>
      </w:r>
    </w:p>
    <w:p>
      <w:pPr>
        <w:spacing w:after="0" w:line="184"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In addition, in the United States, the Biologics Price Competition and Innovation Act of 2009, or BPCIA,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data from one indication to support approval for other indications. The BPCIA is complex and is still being interpreted and implemented by the FDA. As a result, the ultimate impact of the BPCIA is subject to uncertainty.</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the European Union, the European Commission has granted marketing authorizations for several biosimilars pursuant to a set of general and product class-specific guidelines for biosimilar approvals issued since 2005. We are aware of many pharmaceutical and biotechnology and other companies that are actively engaged in research and development of biosimilars or interchangeable products.</w:t>
      </w:r>
    </w:p>
    <w:p>
      <w:pPr>
        <w:spacing w:after="0" w:line="19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It is possible that our competitors will succeed in developing products and technologies that are more effective than our products and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the pricing of our products depend, and the pricing of our products and product candidates, if and when approved for marketing, will depend, in part, on the pricing strategies adopted by our competitors. If we or our partners are forced to reduce the prices of our products, or if sales of our products fall, due to competitive pricing, our revenue from milestone payments, sales or royalties related to such products will be negatively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increased competition from lower-cost products imported from other countries.</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Any products we or our partners are able to commercialize in the United States and the European Union may be subject to competition from lower priced imports of those same products, leading to reduced revenues and lower sales margins, as well as lower priced imports of competing products from Eastern Europe, Canada, Mexico and other countries with government price controls or other market dynamics that, in each case, reduce prices of products. The ability of patients and other customers to obtain these lower priced imports has grown significantly. Some of these foreign imports are illegal under current law. However, the volume of imports is now significant, due in part to the limited enforcement resources and the pressure in the current political environment to permit the imports as a mechanism for expanding access to lower 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or if any of our marketed products receive marketing approval for additional indications, they may fail to achieve the degree of market acceptance by physicians, patients, healthcare payors and others in the medical community necessary for commercial success.</w:t>
      </w:r>
    </w:p>
    <w:p>
      <w:pPr>
        <w:spacing w:after="0" w:line="19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If any of our product candidates receive marketing approval or if any of our marketed products receive marketing approval for additional indications,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products or product candidates do not achieve an adequate level of acceptance, our commercial opportunity may be limited and/or our revenues from sales of these products may be negatively impacted. The degree of market acceptance of our product candidates and new indications for our marketed products, if approved for commercial sale, will depend on a number of factors, including the price, efficacy, safety, convenience and ease of administration of such products, along with their competitive advantages vis-à-vis other therapies, designation as a first-, second- or third-line treatment and any labeling restrictions or warnings. The processes developed for safe administration and any changes to the standard of care for the targeted indications may also have an impact on market acceptance of such products. The willingness of the target patient population to try, and of physicians to prescribe, the product, as well as the availability and amount of coverage and reimbursement from government payors, managed care plans and other third-party payors are also key factors that impact market acceptance of a new product. In addition, the strength of the sales, marketing and distribution support provided by us or our partners will play a key role in the effective commercialization of a new product.</w:t>
      </w:r>
    </w:p>
    <w:p>
      <w:pPr>
        <w:spacing w:after="0" w:line="17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target patient population may be lower than our estimates and we may be unable to recoup our investment due to small patient population or restrictions to the approved indication of a product.</w:t>
      </w:r>
    </w:p>
    <w:p>
      <w:pPr>
        <w:spacing w:after="0" w:line="186"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Periodically, we and our partners make estimates regarding the incidence and prevalence of target patient populations for particular diseases based on various third-party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 all of which could materially adversely affect our business, financial condition, results of operations and future growth prospects.</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Even if our product candidates obtain significant market share for their approved indications, because certain potential target populations are small, we may never recoup our investment in such product candidate without obtaining regulatory approval for additional indications for such product candidates. In addition, we expect that we or our partners will initially seek approval of some of our product candidates as second- or third-line therapies for patients who have failed other approved treatments, which further limits the size of the potential patient population for such indication. For product candidates that prove to be sufficiently beneficial as second- or third-line therapies, we expect that we or our partners would seek approval of such products as a second-line therapy (with respect to products initially approved as third-line therapies) and/or as frontline therapies. However, such applications may require us or our partners to conduct additional clinical trials at significant cost and risk, and there can be no assurance that such clinical trials or regulatory applications would be successful. If we or our partners are unable to obtain regulatory approval for such products for frontline or second-line therapy, we may be unable to recoup our investment in such products.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need to raise additional funding, which may not be available on acceptable terms, or at all, and failure to obtain this capital when needed may force us to delay, limit or terminate our product development efforts or other operations.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currently advancing our proprietary product candidates through clinical development and are conducting pre-clinical studies with respect to other programs. Developing product candidates is expensive, time-intensive and risky, and we expect our research and development expenses to increase in connection with our ongoing activities, particularly as we seek to advance our proprietary product candidates toward commercialization. In addition, we expect our general and administrative expenses to increase over the next few years as we begin to build and eventually expand our commercialization capabilities in a number of jurisdictions. Although we believe that our existing revenue streams, along with the proceeds of this offering, will be sufficient to fund our current projects and commercialization activities, our operating plans may change as a result of a variety of factors, and we may need to seek additional funds sooner than planned through public or private equity or debt financings, government or other third party funding, marketing and distribution arrangements and other collaborations, strategic alliances and licensing arrangements or a combination of these approaches. Further, we may seek additional capital if market conditions are favorable or if we have specific strategic objectives which could benefit from additional capital.</w:t>
      </w:r>
    </w:p>
    <w:p>
      <w:pPr>
        <w:spacing w:after="0" w:line="173"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ADS holders and the issuance of additional securities, whether equity or debt, by us, or the possibility of such issuance, may cause the market price of the ADSs to decline. The sale of additional equity or convertible debt securities could be dilutive to our ADS 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partners or at an earlier stage than otherwise would be desirable and we may be required to relinquish rights to some of our technologies or proprietary product candidates or otherwise agree to terms unfavorable to us. If we are unable to obtain funding on a timely basis, we may be required to significantly curtail, delay or discontinue one or more of our research or development programs or the commercialization of any proprietary product candidate or be unable to expand our operations or otherwise capitalize on our business opportunities, as desired, any of which could impair our business, financial condition, results of operations and future growth prospects.</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expect to incur higher research and development costs and general and administrative expenses in future periods as we advance our proprietary product candidates through clinical development and expand our commercial capabilities.</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we increase the number of product candidates under active clinical development. Our ongoing research and development and, increasingly, pre-launch commercial activities will require substantial amounts of capital and may not ultimately be successful. Over the next several years, we expect that we will continue to incur substantial expenses, primarily as a result of activities related to the continued development of our clinical pipeline and building our late-stage development and commercialization capabilities. Our proprietary product candidates will require significant further development, financial resources and personnel to pursue and obtain regulatory approval and develop into commercially viable products, if at all. Our commitment of resources to the research and continued development of our product candidates and the expansion of our pipeline will likely result 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4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We also expect our general and administrative expenses to increase over the next few years as we begin to build and eventually expand our commercialization capabilities in a number of jurisdictions. In addition, we expect the structure and composition of our staff and expenses to change as we focus on advancing our proprietary product candidates and develop our late-stage development and commercialization capabilities.</w:t>
      </w:r>
    </w:p>
    <w:p>
      <w:pPr>
        <w:spacing w:after="0" w:line="160" w:lineRule="exact"/>
        <w:rPr>
          <w:sz w:val="20"/>
          <w:szCs w:val="20"/>
          <w:color w:val="auto"/>
        </w:rPr>
      </w:pPr>
    </w:p>
    <w:p>
      <w:pPr>
        <w:ind w:right="260"/>
        <w:spacing w:after="0" w:line="369" w:lineRule="auto"/>
        <w:rPr>
          <w:sz w:val="20"/>
          <w:szCs w:val="20"/>
          <w:color w:val="auto"/>
        </w:rPr>
      </w:pPr>
      <w:r>
        <w:rPr>
          <w:rFonts w:ascii="Arial" w:cs="Arial" w:eastAsia="Arial" w:hAnsi="Arial"/>
          <w:sz w:val="15"/>
          <w:szCs w:val="15"/>
          <w:b w:val="1"/>
          <w:bCs w:val="1"/>
          <w:i w:val="1"/>
          <w:iCs w:val="1"/>
          <w:color w:val="auto"/>
        </w:rPr>
        <w:t>We have revenues and expenses in foreign currencies and we have invested a part of our cash position in both Danish and foreign marketable securities and are therefore exposed to different kinds of financial risks including foreign exchange risk, changes in interest rates and credit risks.</w:t>
      </w:r>
    </w:p>
    <w:p>
      <w:pPr>
        <w:spacing w:after="0" w:line="118" w:lineRule="exact"/>
        <w:rPr>
          <w:sz w:val="20"/>
          <w:szCs w:val="20"/>
          <w:color w:val="auto"/>
        </w:rPr>
      </w:pPr>
    </w:p>
    <w:p>
      <w:pPr>
        <w:jc w:val="both"/>
        <w:ind w:right="20" w:firstLine="351"/>
        <w:spacing w:after="0" w:line="254" w:lineRule="auto"/>
        <w:rPr>
          <w:sz w:val="20"/>
          <w:szCs w:val="20"/>
          <w:color w:val="auto"/>
        </w:rPr>
      </w:pPr>
      <w:r>
        <w:rPr>
          <w:rFonts w:ascii="Arial" w:cs="Arial" w:eastAsia="Arial" w:hAnsi="Arial"/>
          <w:sz w:val="18"/>
          <w:szCs w:val="18"/>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Janssen and Novartis. In addition, our reported revenue is affected by the translation of milestone payments, royalties and other income denominated in foreign currencies, primarily U.S. dollars, into Danish kroner as our reporting currency.</w:t>
      </w:r>
    </w:p>
    <w:p>
      <w:pPr>
        <w:spacing w:after="0" w:line="201" w:lineRule="exact"/>
        <w:rPr>
          <w:sz w:val="20"/>
          <w:szCs w:val="20"/>
          <w:color w:val="auto"/>
        </w:rPr>
      </w:pPr>
    </w:p>
    <w:p>
      <w:pPr>
        <w:ind w:right="280" w:firstLine="348"/>
        <w:spacing w:after="0" w:line="254" w:lineRule="auto"/>
        <w:rPr>
          <w:sz w:val="20"/>
          <w:szCs w:val="20"/>
          <w:color w:val="auto"/>
        </w:rPr>
      </w:pPr>
      <w:r>
        <w:rPr>
          <w:rFonts w:ascii="Arial" w:cs="Arial" w:eastAsia="Arial" w:hAnsi="Arial"/>
          <w:sz w:val="18"/>
          <w:szCs w:val="18"/>
          <w:color w:val="auto"/>
        </w:rPr>
        <w:t>We do not generally hedge our currency exposure on our milestone payments, royalties or other income and expense items in the ordinary course of business. Due to long-standing policy of Danmarks Nationalbank with respect to the €/DKK exchange rate, we currently believe that there are currently no material transaction exposure or exchange rate risks regarding transactions in Euros. However, should Denmark's policy towards the Euro change, the DKK values of our Euro-denominated assets and costs could be materially different compared to what is calculated and reported under the existing Danish policy towards the €/DKK exchange rate.</w:t>
      </w:r>
    </w:p>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we fail to manage our financial risks adequately, our business, financial condition, results of operations and future growth prospects and the value of our ADSs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related to the use or misuse of our products or technologies.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adequate,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loss of any potential future revenue and a decline in the market price of our ADSs.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partners or other contractors or consultants, may fail or suffer security breaches, which could result in a material disruption of our business and product development.</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computer systems, including those hosted by third parties, and those of our partners and other contractors or consultants, may be vulnerable to cyber security breaches, computer viruses and unauthorized access, as well as damage or loss of data due to natural disasters, terrorism, war and telecommunication and electrical failures. If such an event were to occur, it could result in a material disruption of our development programs and our business operations. In addition, any loss or disclosure of trade secrets, clinical data or other proprietary information as a result of such disruption or breach could subject us to litigation or regulatory review and sanctions and may impact our reputation and our and our partners' ability to further develop and commercialize our products and product candidates, any of which could have a material adverse effect on our business, financial condition, results of operations and the market price of our ADSs.</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60"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Should attractive opportunities arise, we may acquire companies or technologies that facilitate our access to new medicines, research projects or geographical areas, or that enable us to achieve synergies with our existing operations. However, we may not be able to identify appropriate targets or make acquisitions under satisfactory conditions, in particular, satisfactory price conditions. In addition, we may be unable to obtain the financing for these acquisitions on favorable terms and could be led to finance these acquisitions using cash that could otherwise be allocated to other purposes in the context of our existing operations, or issuances of equity or convertible debt securities, which could be dilutive to our shareholders and ADS holders, including those purchasing ADSs in this offering, and adversely affect the market price of our ADSs. If we acquire or enter into strategic alliances with businesses with promising markets or technologies, we may not be able to realize the benefits of such acquisitions or alliances, including if we are unable to successfully integrate them with our existing operations and company culture, or if we encounter difficulties in developing, manufacturing and marketing any new products resulting from such acquisitions or alliances. We cannot assure you that we will achieve the expected synergies to justify any such transaction, which could have a material adverse effect on our business, financial condition, results of operations and future growth prospects and your ability to realize on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result of the listing of the ADSs on the Nasdaq Global Select Market, we will become subject to the Foreign Corrupt Practices Act.</w:t>
      </w:r>
    </w:p>
    <w:p>
      <w:pPr>
        <w:spacing w:after="0" w:line="248" w:lineRule="exact"/>
        <w:rPr>
          <w:sz w:val="20"/>
          <w:szCs w:val="20"/>
          <w:color w:val="auto"/>
        </w:rPr>
      </w:pPr>
    </w:p>
    <w:p>
      <w:pPr>
        <w:ind w:firstLine="341"/>
        <w:spacing w:after="0" w:line="308" w:lineRule="auto"/>
        <w:rPr>
          <w:sz w:val="20"/>
          <w:szCs w:val="20"/>
          <w:color w:val="auto"/>
        </w:rPr>
      </w:pPr>
      <w:r>
        <w:rPr>
          <w:rFonts w:ascii="Arial" w:cs="Arial" w:eastAsia="Arial" w:hAnsi="Arial"/>
          <w:sz w:val="15"/>
          <w:szCs w:val="15"/>
          <w:color w:val="auto"/>
        </w:rPr>
        <w:t>As a result of the listing of the ADSs on the Nasdaq Global Select Market, we will become subject to the Foreign Corrupt Practices Act, or FCPA, which generally prohibits companies and their intermediaries from making or offering improper payments to non-U.S. officials for the purpose of obtaining or retaining business. The FCPA generally also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of the United States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debarment from government contracts as well as other remedial measures. In connection with this offering, we are adopting an amended written code of business conduct and other policies and procedures to assist us and our personnel in complying with the FCPA and other applicable anti-bribery laws. However, our personnel and others acting on our behalf could take actions that violate these requirements, which could adversely affect our reputation,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commercial success and viability depend in part on our and our partners' ability to obtain and maintain adequate intellectual property protection in the United States, Europe and other countries with respect to our existing products, product candidates and processes and related technologies owned by us and to successfully defend these rights against third party challenges, successfully enforce these rights to prevent third-party infringement, as well as our ability to maintain adequate intellectual property protection for any future technologies and products. If we or our partners do not adequately protect our intellectual property, competitors may be able to use our technologies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w:t>
      </w:r>
    </w:p>
    <w:p>
      <w:pPr>
        <w:spacing w:after="0" w:line="172"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We and our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17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ability to obtain patent protection for our technologies, products and product candidates is uncertain and the degree of future protection afforded by our intellectual property rights is uncertain due to a number of factors, including, but not limited to:</w:t>
      </w:r>
    </w:p>
    <w:p>
      <w:pPr>
        <w:spacing w:after="0" w:line="214" w:lineRule="exact"/>
        <w:rPr>
          <w:sz w:val="20"/>
          <w:szCs w:val="20"/>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partners may not have been the first to make or file patent applications for the inventions covered by pending patent applications or issued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technologies, products or compositions and uses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or all of our or our partners' pending or any future patent applications may not result in issued patents;</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or our partners may not provide a basis for commercially viable products, or may not provide any competitive advantages in countries of significant business opportunity;</w:t>
      </w:r>
    </w:p>
    <w:p>
      <w:pPr>
        <w:spacing w:after="0" w:line="212" w:lineRule="exact"/>
        <w:rPr>
          <w:rFonts w:ascii="Arial" w:cs="Arial" w:eastAsia="Arial" w:hAnsi="Arial"/>
          <w:sz w:val="18"/>
          <w:szCs w:val="18"/>
          <w:color w:val="auto"/>
        </w:rPr>
      </w:pPr>
    </w:p>
    <w:p>
      <w:pPr>
        <w:ind w:left="1080" w:right="120" w:hanging="532"/>
        <w:spacing w:after="0" w:line="25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initiate interference, re-examination, post-grant review, inter partes review, or derivation actions in the U.S. Patent and Trademark Office, or USPTO, or oppositions in the European Patent Office, or EPO, or observations or protests, or any similar actions in other patent administrative or court proceedings worldwide that challenge the validity, enforceability or scope of such patents, which may result in our patent claims being narrowed or invalidated which could limit our ability to prevent competitors from developing and marketing similar products;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or our partners' technologies, compositions and methods may not be patentable;</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design around our or our partners' patent claims to produce competitive products or uses which fall outside of the scope of our patents;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third parties may have blocking patents that could prevent us from marketing our products or practicing our own patented technology;</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technologies, products and product candidates for an adequate amount of time; or</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or change the patent life time of, our or our partners' patents.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and product candidates could be found invalid or unenforceable if challenged in court.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Even if our patents do successfully issue and even if such patents cover our technologies, products, product candidates, compositions and methods of use, third parties may initiate interference, re-examination, post-grant review, inter partes review, or derivation actions in the USPTO, third party oppositions in the EPO or observations or protests, or similar actions challenging the validity, enforceability or scope of such patents in other patent administrative proceedings worldwide, which may result in our patent claims being narrowed or invalidated. Such proceedings could result in revocation or amendment of our patents in such a way that they no longer cover our technologies, product candidates or competitive products. Further, if we initiate legal proceedings against a third party to enforce a patent covering our product candidate or technology, the defendant could counterclaim that the patent covering our product candidate or technology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w:t>
      </w:r>
    </w:p>
    <w:p>
      <w:pPr>
        <w:spacing w:after="0" w:line="17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administrative and court actions, grounds for a patent validity challenge may include alleged failures to meet any of several statutory requirements, including lack of novelty, obviousness (lack of inventive step) and in some cases, lack of sufficiently teaching, or non-enablement of, the claimed invention. Grounds for unenforceability assertions include allegations that someone connected with prosecution of the patent withheld relevant information from the patent examiner during prosecution in the USPTO, the EPO or elsewhere, or made a misleading statement during prosecution in the USPTO. Third parties may also raise similar claims before administrative bodies in the USPTO or the EPO, even outside the context of litigation. The outcome following legal assertions of invalidity and unenforceability is unpredictable. With respect to validity, for example, we cannot be certain that there is no invalidating prior art, of which we or the patent examiner were unaware during prosecution. Further, we cannot be certain that all of the potentially relevant art relating to our patents and patent applications has been cited in every patent office. If a defendant were to prevail on a legal assertion of invalidity or unenforceability, we would lose at least part, and perhaps all, of the patent protection on our technologies, products, product candidates, compositions and methods of use.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currently rely on proprietary technology licensed from third parties and may rely on other third party licensors in the future. If we lose our existing licenses or are unable to acquire or license additional proprietary rights from these licensors or other third parties, we may not be able to continue developing our products.</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currently in-license certain intellectual property from third parties to be able to use such intellectual property in our products and product candidates and to aid in our research activities. In the future we may in-license intellectual property from additional licensors.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w:t>
      </w:r>
    </w:p>
    <w:p>
      <w:pPr>
        <w:spacing w:after="0" w:line="169"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 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8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existing licenses impose various diligence, milestone payment, royalty and other obligations on us. If we fail to comply with these obligations or otherwise materially breach a license agreement, our licensors or partners may have the right to terminate the license.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20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 and have a material adverse effect on the success of our business.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Competitors may infringe our patents, trademarks or other intellectual property. To counter infringement or unauthorized use, we may be required to file infringement claims on a</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partners or customers in our markets of interest, thus this could materially harm our business and negatively affect our position in the marketplace.</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Claims that our products or product candidates or their uses infringe the intellectual property rights of third parties could result in costly litigation, and unfavorable outcomes could require us to pay damages or royalties and could limit our research and development activities or our ability to commercialize certain products.</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Even if we or our partners have or obtain patents covering our technologies, products, product candidates, compositions or uses, we or our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these may relate to compounds we or our partners intend to commercialize. Numerous worldwide patents and pending patent applications owned by others exist in the cancer field and may cover products or product candidates which we or our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 party patent or other intellectual property rights. Because patent applications usually take 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partners. We may be required to develop or obtain alternative technologies, review product design or, in the case of claims concerning registered trademarks, rename our products or product candidates.</w:t>
      </w:r>
    </w:p>
    <w:p>
      <w:pPr>
        <w:spacing w:after="0" w:line="178" w:lineRule="exact"/>
        <w:rPr>
          <w:sz w:val="20"/>
          <w:szCs w:val="20"/>
          <w:color w:val="auto"/>
        </w:rPr>
      </w:pPr>
    </w:p>
    <w:p>
      <w:pPr>
        <w:ind w:right="60" w:firstLine="351"/>
        <w:spacing w:after="0" w:line="305" w:lineRule="auto"/>
        <w:rPr>
          <w:sz w:val="20"/>
          <w:szCs w:val="20"/>
          <w:color w:val="auto"/>
        </w:rPr>
      </w:pPr>
      <w:r>
        <w:rPr>
          <w:rFonts w:ascii="Arial" w:cs="Arial" w:eastAsia="Arial" w:hAnsi="Arial"/>
          <w:sz w:val="15"/>
          <w:szCs w:val="15"/>
          <w:color w:val="auto"/>
        </w:rPr>
        <w:t>Claims that our or our partners' technologies, products, product candidates, compositions or their uses infringe or interfere with the patent rights of third parties, or that we or our partners have misappropriated third party trade secrets, could result in costly litigation and could require substantial time and money to resolve, even if litigation were avoided. The basis of such litigation could be existing patents or patents that are granted in the future. If we or our partners were to face infringement claims or challenges by third parties, an adverse outcome could subject us or our partners to significant liabilities to such third parties. Litigation or threatened litigation could result in significant demands on the time and attention of our management team. A negative outcome could expose us or our partners to payment of costs, damages and other financial remedies, including in some jurisdictions, increased damages, such as treble damages and attorneys' fees, if we were found to have willfully infringed a patent. Litigation with third parties concerning alleged infringement of their intellectual property rights could require us and our partners to bear substantial costs and impose burdens on our and their management and personnel, even if we or our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partners to delay, curtail or cease the development and commercialization of some or all of our products and product candidates, or could cause us or our partners to seek legal or administrative actions against third parties. We or our partners may need to obtain licenses from third parties and such licenses may not be available on commercially reasonable terms, or at all. Even if we are able to obtain licenses from a third party to resolve a dispute, such settlement arrangements could involve substantial costs including one-time and/or ongoing royalty payments.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Further, our competitors may independently develop knowledge, methods and know-how similar, equivalent, or superior to our proprietary technologies. Competitors could purchase our products and attempt to reverse engineer and replicate some or all of the competitive advantages we derive from our development efforts, willfully infringe our intellectual property rights, design around our protected technologies, or develop their own competitive technologies that fall outside of our intellectual property rights. In addition, our key employees, consultants, suppliers or other individuals with access to our proprietary technologies and know-how may incorporate such technologies and know-how into projects and inventions developed independently or with third parties. As a result, disputes may arise regarding the ownership of the proprietary rights to such technologies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7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Obtaining and maintaining a patent portfolio entails significant expense and resources. Part of the expense includes periodic maintenance fees, renewal fees, annuity fees, various other governmental fees on patents or applications due in several stages over the lifetime of patents or applications, as well as the cost associated with complying with numerous procedural provisions during the patent application process. Filing, prosecuting and defending patents on our technologies, products and product candidates in all countries and jurisdictions throughout the world would be prohibitively expensive and, therefore, we typically elect to seek less extensive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United States or in Europe, and thus such protection may not be sufficient to prevent or stop infringing activities.</w:t>
      </w:r>
    </w:p>
    <w:p>
      <w:pPr>
        <w:spacing w:after="0" w:line="180"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 consuming process with uncertain outcomes. If we fail to timely file a patent application in a specific country or major market, we may be precluded from doing so at a later date. Accordingly, we may choose not to seek patent protection in certain countries, and we will not have the benefit of patent protection in such countries. Proceedings and legal actions to enforce our patent rights in the United States or in Europe and in foreign jurisdictions can be expensive, could result in substantial costs, and could divert management time and our efforts and attention from other aspects of our business. In addition, such proceedings or legal actions could put our patents at risk of being invalidated, found unenforceable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We may or may not choose to pursue litigation or other actions against those that have infringed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18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addition, changes in the law and legal decisions by courts in the United States, Europe and foreign countries may affect our ability to obtain adequate protection for our technologies, products, product candidates or compositions or uses thereof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Third parties may challenge the inventorship of our patent filings and other intellectual property or may assert ownership or commercial rights to inventions we develop.</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We have written agreements with our partners that provide for the ownership of intellectual property arising from our 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17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186"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Recent patent reform legislation in the United States could increase the uncertainties and costs surrounding the prosecution of our patent applications and the enforcement or defense of our issued patents. On September 16, 2011, Leahy-Smith America Invents Act, or the Leahy-Smith Act was signed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3"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72" w:lineRule="exact"/>
        <w:rPr>
          <w:sz w:val="20"/>
          <w:szCs w:val="20"/>
          <w:color w:val="auto"/>
        </w:rPr>
      </w:pPr>
    </w:p>
    <w:p>
      <w:pPr>
        <w:ind w:right="100"/>
        <w:spacing w:after="0" w:line="369"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partners fail to maintain the patents and patent applications covering our products, product candidates, technologies or procedures, we may not be able to stop a competitor from marketing products that are the same as or similar to our own, which would have a material adverse effect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products and product candidates for an adequate amount of time.</w:t>
      </w:r>
    </w:p>
    <w:p>
      <w:pPr>
        <w:spacing w:after="0" w:line="24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and product candidates are obtained, once the patent term has expired for patents covering a product or product candidate, we may be open to competition from competitive products and services. As a result, our patent portfolio may not provide us with sufficient rights to exclude others from commercializing products or product candidates similar or identical to ours.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or we have wrongfully used or disclosed confidential information or misappropriated trade secrets, or claim ownership of what we regard as our own intellectual property.</w:t>
      </w:r>
    </w:p>
    <w:p>
      <w:pPr>
        <w:spacing w:after="0" w:line="186"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Although we try to ensure that our employees and consultants do not use the proprietary information or know-how of others in their work for us, and no such claims against us are currently pending, we may be subject to claims that we or our employees, consultants or independent contractors have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otherwise adversely impact our business.</w:t>
      </w:r>
    </w:p>
    <w:p>
      <w:pPr>
        <w:spacing w:after="0" w:line="1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Certain provisions in our intellectual property agreements, including our in-licenses of third party intellectual property or technology,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97"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78"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or other jurisdictions must be approved by the FDA, the EMA or other governmental authorities, regardless of whether we have registered, or applied to register, the proposed proprietary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Government restrictions on pricing and reimbursement, as well as other healthcare payor cost-containment initiatives, may negatively impact our ability to generate revenue.</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Sales of certain of our products and our product candidates, if and when approved for marketing, have and will depend, in part, on the extent to which our products will be covered by third party payors, such as government health care programs like Medicare and Medicaid, commercial insurance and managed healthcare organizations. These third party payors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 party payors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The primary trend in the U.S. healthcare industry and elsewhere has been cost containment, including price controls, restrictions on coverage and reimbursement and requirements for substitution of generic products and/or biosimilars. Outside the United States, international operations are generally subject to extensive governmental price controls and other market regulations. Accordingly, in markets outside the United States, the reimbursement for our products may be reduced compared with the United States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Further, from time to time, typically on an annual basis, payment rates are updated and revised by third-party payors. Such updates could impact the demand for our products, to the extent that patients who are prescribed our products, if approved, are not separately reimbursed for the cost of the product. For example, Medicare reimbursement under the Medicare Physician Fee Schedule is updated on an annual basis. The Medicare Access and CHIP Reauthorization Act of 2015 instituted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addition, in certain jurisdictions, marketing approval for a product, or the ability to launch an approved product, is subject to determination of pricing and reimbursement levels. In such jurisdictions, even if we or our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160"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Moreover, increasing efforts by governmental and third 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surgical procedures and other treatments, has become very intense. As a result, increasingly high barriers are being erected to the successful commercialization of new products.</w:t>
      </w:r>
    </w:p>
    <w:p>
      <w:pPr>
        <w:spacing w:after="0" w:line="18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b w:val="1"/>
          <w:bCs w:val="1"/>
          <w:i w:val="1"/>
          <w:i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BLA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 Advertising and promotional materials must comply with FDA rules in addition to other potentially applicable federal and state laws. In addition, we or our partners may be subject to significant liability if physicians prescribe any of our products to patients in a manner that is inconsistent with the approved label and if we are found to have promoted off-label uses of such products. For example, the U.S.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7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Sales, marketing and scientific/educational grant programs must comply with the U.S. Medicare-Medicaid Anti-Fraud and Abuse Act, as amended, the False Claims Act, also as amended,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9"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Within the European Union, once a Marketing Authorization is obtained, numerous post-approval requirements also apply. The requirements are regulated by both EU regulations (such as reporting of adverse events, etc.) as well as national applicable regulations (related to, for example, prices and promotional material). In addition, 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target the treatment, prevention, or medical diagnosis of seriously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debilitating diseases or life-threatening diseases and those designated as orphan medicinal products. 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 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 Certain approvals of DARZALEX and Arzerra in the European Union were initially granted on the basis of conditional marketing authorizations. Each of these conditions have been met.</w:t>
      </w:r>
    </w:p>
    <w:p>
      <w:pPr>
        <w:spacing w:after="0" w:line="17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partners to expend significant time and resources in response, and could generate negative publicity. Any failure to comply with ongoing regulatory requirements may significantly and adversely affect our and our partners' ability to commercialize and generate revenue from our products. If regulatory sanctions are applied or if regulatory approval is withdrawn, the value of our company and our operating results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United States, the European Union or in other countries. We expect more rigorous coverage criteria in the future in the U.S. healthcare market and an additional downward pressure on the prices that we or our partners receive for approved products, which may trigger a similar reduction in payments from private payors. If we or our partners are slow or unable to adapt to changes in existing requirements or the adoption of new requirements or policies, or if we and our partners are not able to maintain regulatory compliance, we or they may lose any marketing approval that we or they may have obtained, which could adversely impact our business and financial results.</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particular, since its enactment, there have been judicial and congressional challenges to certain aspects of the Affordable Care Act, or the ACA, as well as efforts by the current administration to repeal or replace certain aspects of the ACA or otherwise circumvent some of the requirements for health insurance mandated by the ACA. There is currently uncertainty with respect to the impact any such repeal may have and any resulting changes may take time to unfold, which could have an impact on coverage and reimbursement for healthcare items and services covered by plans that were authorized by the ACA. However, we cannot predict the ultimate content, timing or effect of any such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legislation or executive action or the impact of potential legislation or executive action on us. Most recently, the Tax Cuts and Jobs Act was enacted, which, among other things, removes the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the Centers for Medicare &amp; Medicaid Services, or CMS, have both stated that the ruling will have no immediate effect, it is unclear how this decision, subsequent appeals, if any, and other efforts to repeal and replace the ACA will impact the ACA and our business. There may be additional challenges and amendments to the ACA in the future.</w:t>
      </w:r>
    </w:p>
    <w:p>
      <w:pPr>
        <w:spacing w:after="0" w:line="20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addition, other legislative changes have been proposed and adopted since the ACA was enacted. These changes included aggregate reductions to Medicare payments to providers of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U.S. government to recover overpayments to providers from three to five years. These new laws may result in additional reductions in Medicare and other healthcare funding, which could have a material adverse effect on customers for our out-licensed products and product candidates (if and when approved) and accordingly, our financial results.</w:t>
      </w:r>
    </w:p>
    <w:p>
      <w:pPr>
        <w:spacing w:after="0" w:line="15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Furthermore,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issuing guidance, and reviewing and approving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we and our partners could be limited and/or delayed in obtaining new regulatory approvals or maintaining existing approvals, either of which could have a material adverse effect on our business, financial condition, results of operations and future growth prospects.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subject to various laws protecting the confidentiality of certain patient health information, and our failure to comply could result in penalties and reputational damage.</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Numerous countries in which we, our partners and our third party contractors, including CROs and CMOs, operate, manufacture and sell our products have, or are developing, laws protecting personal data and the individual's right to privacy as well as the confidentiality of certain patient health information. EU member states and other jurisdictions have adopted data protection laws and regulations, which impose significant compliance obligations. For example, the EU General Data Protection Regulation, or the GDPR, became applicable on May 25, 2018, introduced new data protection requirements in the European Economic Area (the 28 member states of the European Union plus Iceland, Liechtenstein and Norway), or the EEA, and substantial fines for infringements of the data protection rules. For several EEA jurisdictions, the GDPR expanded significantly the jurisdictional reach of EEA data protection law by extending the law's application to the processing of personal data in connection with the offering of goods or services to data subjects located in the EEA and processing personal data in connection with monitoring the behavior of data subjects located in the EEA. The GDPR imposes several increased obligations and specific restrictions on controllers and processors processing personal data including, for example, additional requirements in relation to the information obligation, where applicable, higher standards for organizations to demonstrate compliance, such as obtainment of valid consent or assessment of another legal basis to justify the data processing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activities, increased requirements pertaining to health data (including, in certain situations, where such data is key-coded), mandatory data breach notification requirements, appointment of a data protection officer where the core activities of the controller or the processor consist of processing of sensitive personal data (i.e., health data) on a large scale, additional mandatory requirements for the content of data processing agreements with service providers processing personal data, implementation of appropriate technical and organizational measures, and expanded rights for individuals over their personal data. This could affect our and our partners or third party contractors' ability to collect, analyze and transfer personal data, including health data from clinical trials and adverse event reporting, or could cause our costs to increase, potentially leading to harm to our business and financial condition. If the measures implemented by us or our partners or service providers in order to comply with the GDPR requirements are not considered sufficient to ensure the necessary compliance level, we may be subject to litigation, regulatory investigations, enforcement notices requiring us to change the way we use personal data and/or fines of up to €20 million or up to 4% of the total worldwide annual turnover of the preceding financial year, whichever is higher, as well as compensation claims by affected individuals, negative publicity and a potential loss of business.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8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While the GDPR, as a directly effective regulation, was designed to harmonize data protection law across the EEA, it does permit member states to legislate in many areas (particularly with regard to the processing of genetic, biometric or health data), meaning that inconsistencies between different member states will still arise. EEA member states have their own regimes on medical confidentiality and national and EEA-level guidance on implementation and compliance practices is often updated or otherwise revised, which adds to the complexity of processing personal data in the EEA.</w:t>
      </w:r>
    </w:p>
    <w:p>
      <w:pPr>
        <w:spacing w:after="0" w:line="16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to the GDPR, we, our partners and our third party contractors are subject to similar data privacy and confidentiality laws in other countries in which we or they operate or market our products. Such laws and regulations may also impose costly compliance obligations and potentially significant fines or other penalties for non-compliance.</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 parties with whom we contract must comply with environmental laws and regulations, which can be expensive and restrict how we do business.</w:t>
      </w:r>
    </w:p>
    <w:p>
      <w:pPr>
        <w:spacing w:after="0" w:line="186"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a biotechnology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our partners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our partners and by third 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financial condition, results of operations and future growth prospects, and the value of our ADSs.</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are subject to healthcare laws and regulations, which may require substantial compliance efforts and could expose us to criminal sanctions, civil penalties, exclusion from government healthcare programs, contractual damages, reputational harm and diminished profits and future earnings, among other penalties.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Healthcare providers, such as physicians and others, play a primary role in the recommendation and prescription of our products. Our or our partners' arrangements with such persons and third party payors and our general business operations will expose us or our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Health Insurance Portability and Accountability Act of 1996, as amended, or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United States.</w:t>
      </w:r>
    </w:p>
    <w:p>
      <w:pPr>
        <w:spacing w:after="0" w:line="178"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 For more information about these and other applicable regulations, see "Business—Government Regulation" below.</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employees and partners may engage in misconduct or other improper activities, including violating applicable regulatory standards and requirements, which could significantly harm our business.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exposed to the risk of fraud or other misconduct of our employees and partners. Misconduct by our partners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United States, Denmark and other jurisdictions; failure to comply with the FCPA and other applicable anti-bribery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86"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6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directly holding our shares.</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a holder of the ADSs, you will not be treated as one of our shareholders and you will not have shareholder rights. Our depositary, Deutsche Bank Trust Company Americas, will be the holder of the shares underlying your ADSs. As a holder of ADSs, you will have contractual ADS holder rights. The deposit agreement among us, the depositary and you, as an ADS holder, and all other persons directly or indirectly holding ADSs sets out ADS holder rights as well as the rights and obligations of the depositary. ADS holders may only exercise voting rights with respect to the shares underlying their respective ADSs in accordance with the provisions of the deposit agreement, which provides that you may vote the shares underlying your ADSs either by withdrawing the shares or by instructing the depositary to vote the shares or other deposited securities underlying your ADSs. However, you may not know about the meeting sufficiently in advance to withdraw the shares and, even if you instruct the depositary to vote the shares underlying your ADSs, we cannot guarantee you that the depositary will vote in accordance with your instructions. Please see the risk factor entitled "—You may not be able to exercise your right to vote the shares underlying your ADSs."</w:t>
      </w:r>
    </w:p>
    <w:p>
      <w:pPr>
        <w:spacing w:after="0" w:line="17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to voting rights, your right to receive any dividends we declare on our shares, whether in the form of cash or bonus securities, will also be more limited than that of our shareholders. For example, we may elect to offer subscription rights to our shareholders without offering such rights directly to you as ADS holders as such subscription rights will be offered to the depositary as shareholder. The depositary has substantial discretion as to what will happen with any offered subscription rights and may determine that it is not legal or reasonably practicable to make such rights available to ADS holders, in which case the depositary will endeavor to sell such rights and distribute the proceeds to ADS holders, which it may not be able to do at the then-current market price or at all. If the depositary is unable to distribute or sell such rights, they will lapse, and ADS holders will receive no value. See "Description of American Depositary Shares—Dividends and Other Distributions."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There has been no prior market for the ADSs on a U.S. national securities exchange and an active and liquid market for our securities may fail to develop, which could harm the market price of the ADSs.</w:t>
      </w:r>
    </w:p>
    <w:p>
      <w:pPr>
        <w:spacing w:after="0" w:line="186"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Prior to this offering, while our shares have been traded on Nasdaq Copenhagen since October 2000 and certain ADRs have been traded on the over-the-counter market in the United States since May 2013 through our existing sponsored Level 1 ADR program with Deutsche Bank Trust Company Americas, there has been no public market on a U.S. national securities exchange for the ADSs or our shares. Although we intend to apply to list the ADSs on the Nasdaq Global Select Market, an active trading market for the ADSs may never develop or be sustained following this offering. The offering price of the ADSs will be based on the market price for our shares on Nasdaq Copenhagen at the time of this offering. This offering price may not be indicative of the market price of the ADSs or shares after this offering. In the absence of an active trading market for the ADSs or shares, investors may not be able to sell their ADSs at or above the offering price or at the time they would like to sell. The absence of an active trading market may also impair our ability to raise additional capital by selling ADSs and may impair our ability to acquire other businesses or technologies or in-license new product candidates using our ADSs as consideration.</w:t>
      </w:r>
    </w:p>
    <w:p>
      <w:pPr>
        <w:spacing w:after="0" w:line="16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although we expect the price of the ADSs in this offering to be based on the closing price of the underlying shares on Nasdaq Copenhagen at the time of this offering, there is no guarantee that such price will be free from challenge by our existing shareholders based on allegations that it does not reflect the "market price" at which we are required by our articles of association and Danish law to sell our shares. Any such shareholder challenge could be time-consuming and costly and, if decided in a manner unfavorable to us, could result in liability to us and our directors, and could prevent this offering from closing.</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equity securities may be volatile due to factors beyond our control, and purchasers of the ADSs could incur substantial losses.</w:t>
      </w:r>
    </w:p>
    <w:p>
      <w:pPr>
        <w:spacing w:after="0" w:line="26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market prices of the ADSs and shares may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ADSs or shares at or above the price originally paid for the security. The market price for the ADSs and shares may be influenced by many factors, including, but not limited to:</w:t>
      </w:r>
    </w:p>
    <w:p>
      <w:pPr>
        <w:spacing w:after="0" w:line="210"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release of new data from the clinical trials of our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52"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our ADSs;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 products and product candidates;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 party payors and government payors and any announcements relating to coverage policies or reimbursement levels;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issuances or sales of our shares or ADSs by us, our insiders or our other shareholders or ADS holders;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These and other market and industry factors may cause the market price and demand for the ADSs to fluctuate substantially, regardless of our actual operating performance, which may limit or prevent investors from readily selling their shares or ADSs at a favorable price or at all, and may otherwise negatively affect the liquidity of the trading market for our ADSs. In addition,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the attention of our senior management would be diverted from the operation of our business, and we could incur significant liabilities, any one of which could have a material adverse effect on our business, financial condition and results of operations.</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have broad discretion over the use of the net proceeds from this offering and may use them in ways with which you do not agree and in ways that may not enhance our operating results or the price of our ADSs.</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board of directors and management will have broad discretion over the application of the net proceeds that we receive from this offering. We may spend or invest these proceeds in ways with which our shareholders and holders of ADSs disagree or that do not yield a favorable return, if at all. We intend to use the net proceeds from this offering for general corporate purposes as described in "Use of Proceeds." However, our actual use of the net proceeds from this offering may differ substantially from our current plans. Failure by our management to apply these funds effectively could harm our business and financial condition and cause the market price of the ADSs to decline. Pending their use, we may invest the net proceeds from this offering in a manner that does not produce income or that loses value.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trading market for the ADSs and shares will depend in part on the research and reports that securities or industry analysts publish about us or our business. We are currently followed by analysts, but there can be no assurance that these analysts will continue to follow us or that additional securities or industry analysts will commence coverage of us. If no or only limited securities or industry analysts cover our company, the trading price for the ADSs would be negatively impacted.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ceases coverage of our company or fails to publish reports on us regularly, or downgrades our securities, demand for ADSs could decrease, which could cause the price of the ADSs and their trading volume to decline.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currently intend to retain all available funds and any future earnings and, consequently, your ability to achieve a return on your investment will depend on appreciation in the price of the ADSs.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never declared or paid any cash dividends on our shares, and we currently intend to retain all available funds and any future earnings to fund the development and expansion of our business. Therefore, you are not likely to receive any dividends on your ADSs for the foreseeable future and the success of an investment in ADSs will depend upon any future appreciation in their value. Consequently, investors may need to sell all or part of their holdings of ADSs after price appreciation, which may never occur, as the only way to realize any future gains on their investment. There is no guarantee that the ADSs will appreciate in value or even maintain the price at which our investors have purchased them. Investors seeking cash dividends should not purchase the ADSs or shares.</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if we choose to pay dividends in the future, exchange rate fluctuations may affect the amount of Danish kroner that we are able to distribute, and the amount in U.S. dollars that our ADS holders receive, upon the payment of cash dividends or other distributions we declare and pay in Danish kroner, if any. Additionally, dividends will generally be subject to Danish withholding tax. See the section of this prospectus titled "Material Danish Income Tax Consequences" for a more detailed description of Danish taxes on dividends. These factors could impair the value of the ADSs.</w:t>
      </w:r>
    </w:p>
    <w:p>
      <w:pPr>
        <w:spacing w:after="0" w:line="166" w:lineRule="exact"/>
        <w:rPr>
          <w:sz w:val="20"/>
          <w:szCs w:val="20"/>
          <w:color w:val="auto"/>
        </w:rPr>
      </w:pPr>
    </w:p>
    <w:p>
      <w:pPr>
        <w:ind w:right="460" w:firstLine="341"/>
        <w:spacing w:after="0" w:line="306" w:lineRule="auto"/>
        <w:rPr>
          <w:sz w:val="20"/>
          <w:szCs w:val="20"/>
          <w:color w:val="auto"/>
        </w:rPr>
      </w:pPr>
      <w:r>
        <w:rPr>
          <w:rFonts w:ascii="Arial" w:cs="Arial" w:eastAsia="Arial" w:hAnsi="Arial"/>
          <w:sz w:val="16"/>
          <w:szCs w:val="16"/>
          <w:color w:val="auto"/>
        </w:rPr>
        <w:t>ADS investors may also not realize all of the benefits of being a shareholder in our company. For instance, the votes of ADS holders will not be represented directly on our books, but only through a vote by the depositary of the underlying shares on the basis of the instructions received by the ADS holders, if any. Separately, we may elect to offer subscription rights to our shareholders without offering such rights to ADS holders.</w:t>
      </w:r>
    </w:p>
    <w:p>
      <w:pPr>
        <w:spacing w:after="0" w:line="160"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Furthermore, even if we declare and pay cash dividends in the future, your right to receive such dividends as an ADS holder, and the amount you will be entitled to receive, may be more limited than that of our shareholders. If we pay cash dividends on our shares in the future, the depositary will convert or cause to be converted such amounts into U.S. dollars, provided that, if the depositary determines in its judgment that such conversions or transfers are not practicable or lawful, or if any government approval or license is needed and cannot be obtained at a reasonable cost within a reasonable period or otherwise sought, the depositary will distribute such amounts in the form of Danish kroner, but only to those ADS holders to whom it is possible to do so, and will hold the foreign currency on behalf of any ADS holders that were not paid. If the exchange rates fluctuate at a time when the depositary cannot convert the foreign currency, you may lose some or all of the value of the distribution. In addition, prior to making any such distributions, the depositary will deduct its own fees and expenses, in addition to the taxes described above. See "Description of American Depositary Shares—Dividends and Other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in the book value of their investment.</w:t>
      </w:r>
    </w:p>
    <w:p>
      <w:pPr>
        <w:spacing w:after="0" w:line="225" w:lineRule="exact"/>
        <w:rPr>
          <w:sz w:val="20"/>
          <w:szCs w:val="20"/>
          <w:color w:val="auto"/>
        </w:rPr>
      </w:pPr>
    </w:p>
    <w:p>
      <w:pPr>
        <w:jc w:val="both"/>
        <w:ind w:right="140" w:firstLine="348"/>
        <w:spacing w:after="0" w:line="283" w:lineRule="auto"/>
        <w:rPr>
          <w:sz w:val="20"/>
          <w:szCs w:val="20"/>
          <w:color w:val="auto"/>
        </w:rPr>
      </w:pPr>
      <w:r>
        <w:rPr>
          <w:rFonts w:ascii="Arial" w:cs="Arial" w:eastAsia="Arial" w:hAnsi="Arial"/>
          <w:sz w:val="16"/>
          <w:szCs w:val="16"/>
          <w:color w:val="auto"/>
        </w:rPr>
        <w:t>We expect the initial public offering price of the ADSs to be substantially higher than the as adjusted net book value per ADS after giving effect to this offering. Accordingly, if you invest in the ADSs in this offering, you will incur immediate and substantial dilution of approximately DKK per ADS ($ ), representing the difference between the assumed initial public offering price of $ per ADS (DKK ), and our as adjusted net book value per ADS as of December 31, 2018. In addition, following this offering, investors in this offering will have contributed approximately % of the total gross consideration paid to purchase our outstanding shares and ADSs, but will only own ADSs representing approximately % of our shares outstanding</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after this offering. Furthermore, if additional shares are issued pursuant to the underwriters' exercise of their option to purchase additional ADSs, if our board of directors authorizes us to issue additional shares, including in the form of ADSs, or if warrants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convertible securities are issued and subsequently exercised, you could experience further dilution. For a further description of the dilution that you will experience immediately after this offering, see "Dilution."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may issue additional shares in the future without pre-emptive rights to our existing shareholders and at a price that may cause further dilution of the investment made by the investors in the ADSs or our shareholders.</w:t>
      </w:r>
    </w:p>
    <w:p>
      <w:pPr>
        <w:spacing w:after="0" w:line="186" w:lineRule="exact"/>
        <w:rPr>
          <w:sz w:val="20"/>
          <w:szCs w:val="20"/>
          <w:color w:val="auto"/>
        </w:rPr>
      </w:pPr>
    </w:p>
    <w:p>
      <w:pPr>
        <w:ind w:right="240" w:firstLine="351"/>
        <w:spacing w:after="0" w:line="284" w:lineRule="auto"/>
        <w:rPr>
          <w:sz w:val="20"/>
          <w:szCs w:val="20"/>
          <w:color w:val="auto"/>
        </w:rPr>
      </w:pPr>
      <w:r>
        <w:rPr>
          <w:rFonts w:ascii="Arial" w:cs="Arial" w:eastAsia="Arial" w:hAnsi="Arial"/>
          <w:sz w:val="16"/>
          <w:szCs w:val="16"/>
          <w:color w:val="auto"/>
        </w:rPr>
        <w:t>In addition, as of December 31, 2018, warrants in respect of shares at a weighted average exercise price of approximately DKK were outstanding, representing approximately % of our issued and outstanding share capital as at December 31, 2018 and, after giving effect to this offering (assuming no exercise of the underwriters' option to purchase additional ADSs), would have represented approximately % of our issued and outstanding</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 capital as at December 31, 2018. If any such warrants are exercised, investors will suffer further dilution. In addition, warrants may be granted under our warrant plan in the future at prices that are lower than the price paid by the investors. For a further description of our warrant program and outstanding warrants, see "Management—Compensation—Warrant Program."</w:t>
      </w:r>
    </w:p>
    <w:p>
      <w:pPr>
        <w:spacing w:after="0" w:line="198" w:lineRule="exact"/>
        <w:rPr>
          <w:sz w:val="20"/>
          <w:szCs w:val="20"/>
          <w:color w:val="auto"/>
        </w:rPr>
      </w:pPr>
    </w:p>
    <w:p>
      <w:pPr>
        <w:jc w:val="both"/>
        <w:ind w:right="260"/>
        <w:spacing w:after="0" w:line="369" w:lineRule="auto"/>
        <w:rPr>
          <w:sz w:val="20"/>
          <w:szCs w:val="20"/>
          <w:color w:val="auto"/>
        </w:rPr>
      </w:pPr>
      <w:r>
        <w:rPr>
          <w:rFonts w:ascii="Arial" w:cs="Arial" w:eastAsia="Arial" w:hAnsi="Arial"/>
          <w:sz w:val="15"/>
          <w:szCs w:val="15"/>
          <w:b w:val="1"/>
          <w:bCs w:val="1"/>
          <w:i w:val="1"/>
          <w:iCs w:val="1"/>
          <w:color w:val="auto"/>
        </w:rPr>
        <w:t>Investors should be aware that the rights provided to our shareholders and holders of ADSs under Danish corporate law and our articles of association differ in certain respects from the rights that you would typically enjoy as a shareholder of a U.S. company under applicable U.S. federal and state laws.</w:t>
      </w:r>
    </w:p>
    <w:p>
      <w:pPr>
        <w:spacing w:after="0" w:line="118"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Under Danish corporate law, except in certain limited circumstances, which require at a minimum that a proposal for inspection has been supported by a minimum of 25% of the share capital at a general meeting, our shareholders may not require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in order to enforce a right of our company, in case we fail to enforce such right ourselves, other than in certain cases of board member/management liability under limited circumstances. In addition, a majority of our shareholders may release a member of our board of directors or our registered managers from any claim of liability we may have, including if such board member or manager has acted in bad faith or has breached his or her duty of loyalty. However, a shareholder may bring a derivative action on behalf of our company against, among other persons, a member of our board of directors or one or more of our registered managers, provided that the circumstances of the act or omission giving rise to the claim of liability were not known to the shareholders at the time of such shareholder resolution, or if shareholders representing at least 10% of the share capital represented at the relevant general meeting has opposed such shareholder resolution.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subject to non-refundable withholding tax, and not all receiving countries allow for deduction. See "Material Danish Income Tax Consequences" for a more detailed description of the withholding tax. In addition, the use of the tax asset consisting of the accumulated tax losses requires that we are able to generate positive taxable income and the use of tax losses carried forward to offset against future income is subject to certain restrictions and can be restricted further by future amendments to Danish tax law. Finally, Danish corporate law may not provide appraisal rights in the case of a business combination equivalent to those generally afforded a shareholder of a U.S. company under applicable U.S. laws. For additional information on these and other aspects of Danish corporate law and our articles of association, see the section herein entitled "Description of Share Capital and Certain Corporate Matters." As a result of these differences between Danish corporate law and our articles of association, on the one hand, and U.S. federal and state laws, on the other hand, in certain instances, you could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 less protection as an equity holder of our company than you would as a shareholder of a U.S.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exercise your right to vote the shares underlying your ADSs.</w:t>
      </w:r>
    </w:p>
    <w:p>
      <w:pPr>
        <w:spacing w:after="0" w:line="22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ADS holders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you may not know about the meeting far enough in advance to withdraw the underlying shares, and after such withdrawal, you would no longer hold ADSs, but would instead hold the underlying shares directly.</w:t>
      </w:r>
    </w:p>
    <w:p>
      <w:pPr>
        <w:spacing w:after="0" w:line="16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depositary will try, as far as practicable, to vote the shares underlying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will be able to instruct the depositary to vote your shares or to withdraw your shares so that you can vote them yourself. If the depositary does not receive timely voting instructions from you, it may give a proxy to a person designated by us to vote the shares underlying your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shares, and there may be nothing you can do if the shares underlying your ADSs are not voted as you requested. In addition, the depositary is only required to notify you of any particular vote if it receives timely notice from us in advance of the scheduled meeting. Our articles of association permit, in the case of general meetings, notice to be delivered within a relatively short time span, in which case the depositary would not be required to provide you with notice of and access to such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 and the withdrawal of the underlying shares.</w:t>
      </w:r>
    </w:p>
    <w:p>
      <w:pPr>
        <w:spacing w:after="0" w:line="225" w:lineRule="exact"/>
        <w:rPr>
          <w:sz w:val="20"/>
          <w:szCs w:val="20"/>
          <w:color w:val="auto"/>
        </w:rPr>
      </w:pPr>
    </w:p>
    <w:p>
      <w:pPr>
        <w:ind w:right="40" w:firstLine="344"/>
        <w:spacing w:after="0" w:line="288" w:lineRule="auto"/>
        <w:rPr>
          <w:sz w:val="20"/>
          <w:szCs w:val="20"/>
          <w:color w:val="auto"/>
        </w:rPr>
      </w:pPr>
      <w:r>
        <w:rPr>
          <w:rFonts w:ascii="Arial" w:cs="Arial" w:eastAsia="Arial" w:hAnsi="Arial"/>
          <w:sz w:val="16"/>
          <w:szCs w:val="16"/>
          <w:color w:val="auto"/>
        </w:rPr>
        <w:t>Your ADSs, which may be evidenced by ADRs,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cancel your ADSs and withdraw the underlying shares. Temporary delays in the cancellation of your ADSs and withdrawal of the underlying shares may arise because the depositary has closed its transfer books or we have closed our transfer books, the transfer of shares is blocked to permit voting at a shareholders' meeting or we are paying a dividend on our shares. In addition, you may not be able to cancel your ADSs and withdraw the underlying shares when you owe money for fees, taxes and similar charges and when it is necessary to prohibit withdrawals in order to comply with any laws or governmental regulations that apply to ADSs or to the withdrawal of shares or other deposited securities. See "Description of American Depositary Shares."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Future sales, or the perception of future sales, of a substantial number of our shares or ADSs could adversely affect the price of the ADSs, and actual sales of our equity will dilute shareholders and ADS holders.</w:t>
      </w:r>
    </w:p>
    <w:p>
      <w:pPr>
        <w:spacing w:after="0" w:line="186" w:lineRule="exact"/>
        <w:rPr>
          <w:sz w:val="20"/>
          <w:szCs w:val="20"/>
          <w:color w:val="auto"/>
        </w:rPr>
      </w:pPr>
    </w:p>
    <w:p>
      <w:pPr>
        <w:ind w:right="240" w:firstLine="351"/>
        <w:spacing w:after="0" w:line="331" w:lineRule="auto"/>
        <w:rPr>
          <w:sz w:val="20"/>
          <w:szCs w:val="20"/>
          <w:color w:val="auto"/>
        </w:rPr>
      </w:pPr>
      <w:r>
        <w:rPr>
          <w:rFonts w:ascii="Arial" w:cs="Arial" w:eastAsia="Arial" w:hAnsi="Arial"/>
          <w:sz w:val="16"/>
          <w:szCs w:val="16"/>
          <w:color w:val="auto"/>
        </w:rPr>
        <w:t>Future sales of a substantial number of our shares or ADSs, or the perception that such sales will occur, could cause a decline in the market price of the ADSs. Following the completion of this offering, based on the number of shares outstanding as of December 31, 2018, we will have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shares outstanding (assuming no exercise of the underwriters' option to purchase additional ADSs). This includes the shares underlying the ADSs offered in this offering, which may be resold in the public market immediately without restriction, other than the shares underlying any ADSs purchased by our "affiliates," as that term is defined in Rule 144 under the Securities Act, which may be resold only if registered under the Securities Act or in accordance with the requirements of Rule 144 or another applicable exemption from the registration requirements of the Securities Act. See "Shares and American Depositary Shares Eligible for Future Sale—Rule 144." Shares held by our directors and senior management will be subject to the lock-up agreements described in the "Underwriting" section of this prospectus. If, after the period during which such lock-up agreements restrict sales of the ADSs and shares, or if the representative of the underwriters waives the restrictions set forth therein (which may occur at any time), one or more of our directors or senior management sells a substantial number of their shares, or the market perceives that such sales may occur, the market price of the ADSs and our ability to raise capital through an issue of equity securities in the future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outside Denmark may be subject to exchange rate risk.</w:t>
      </w:r>
    </w:p>
    <w:p>
      <w:pPr>
        <w:spacing w:after="0" w:line="225"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shares underlying the ADSs are denominated in Danish kroner. Accordingly, an investment in the ADSs by an investor whose principal currency is not the Danish kroner may expose such investor to foreign currency exchange rate risk. Any depreciation of the Danish kroner against such foreign currency would reduce the value of the investment in the ADSs in terms of such foreign currency.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incorporated under the laws of Denmark. Although our wholly owned subsidiary, Genmab US, Inc., has an office in the United States, substantially all of our assets are located outside the United States. The majority of our directors and senior management reside outside the United States. As a result, it may not be possible for investors to effect service of process within the United States upon such persons or to enforce judgments against them or us in U.S. courts, including judgments predicated upon the civil liability provisions of the U.S. securities laws.</w:t>
      </w:r>
    </w:p>
    <w:p>
      <w:pPr>
        <w:spacing w:after="0" w:line="16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United States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our senior management, or certain experts named herein who are residents of Denmark or countries other than the United States any judgments obtained in U.S. courts in civil and commercial matters, including judgments under the U.S. federal securities laws.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 "foreign private issuer," as defined in the SEC's rules and regulations, and, consequently, we are not subject to all of the disclosure requirements applicable to public companies organized within the United States.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 "foreign private issuer," as defined in the SEC's rules and regulations, and, consequently, we are not subject to all of the disclosure requirements applicable to public companies organized within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senior management are exempt from the reporting and "short-swing" profit recovery provisions of Section 16 of the Exchange 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will not be required to file such reports with the SEC as frequently or as promptly as U.S. public companies and will not be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w:t>
      </w:r>
    </w:p>
    <w:p>
      <w:pPr>
        <w:spacing w:after="0" w:line="178"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b w:val="1"/>
          <w:bCs w:val="1"/>
          <w:i w:val="1"/>
          <w:iCs w:val="1"/>
          <w:color w:val="auto"/>
        </w:rPr>
        <w:t>As a foreign private issuer and as permitted by the listing requirements of the Nasdaq Stock Market LLC, or the Nasdaq Stock Market, we will comply with certain home country corporate governance practices rather than the corporate governance requirements of Nasdaq Stock Market.</w:t>
      </w:r>
    </w:p>
    <w:p>
      <w:pPr>
        <w:spacing w:after="0" w:line="14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qualify as a foreign private issuer and intend to apply to have the ADSs listed on the Nasdaq Global Select Market. As a result, in accordance with the listing requirements of the Nasdaq Stock Market and exemptions thereunder, we will comply with certain home country governance practices rather than the corporate governance requirements of the Nasdaq Stock Market. For example, the listing rules for the Nasdaq Stock Market, or the Nasdaq Listing Rules, for domestic U.S. issuers require, among other things, that a majority of the directors of a listed company be independent, and that independent directors have oversight over executive compensation, nomination of board members and corporate governance matters. While we intend to comply with the majority of these requirements, we are permitted to follow home country practice in lieu of the above requirements. Danish law does not require that a majority of our directors be independent directors or the implementation of a nominating and corporate governance committee, and our board may thus in the future not include, or include fewer, independent directors than would be required if we were subject to the Nasdaq Listing Rules, or they may decide that it is in our interest not to have a compensation committee or nominating and corporate governance committee, or may decide to have such committees governed by practices that would not comply with the Nasdaq Listing Rules. We intend to follow home country practice with regard to, among other things, quorum requirements generally applicable to general meetings of shareholders. Danish law does not have a regulatory regime for the solicitation of proxies and the solicitation of proxies is not a generally accepted business practice in Denmark, thus our practice will vary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rights issues at or below market price, certain private placements, directed issues at or above market price, and issuance of convertible notes. To this extent, our practice varies from the requirements of Nasdaq Listing Rule 5635, which generally requires an issuer to obtain shareholder approval for the issuance of securities in connection with such events. Finally, we intend to follow home country practice with respect to the composition of the compensation committee rather than Nasdaq Listing Rule 5605, which states that the compensation committee must be composed of independent directors. Danish law does not have such a requirement. One of the members of our compensation committee, who will remain thereon, is considered non-independent by our board of directors, solely by virtue of his length of tenure as a director. For an overview of our corporate governance principles, see "Description of Share Capital and Certain Corporate Matters." Accordingly, you may not have the same protections afforded to shareholders of companies that are subject to these Nasdaq Listing Rule requirements.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foreign private issuer status in the future, we would incur significant additional costs and expenses.</w:t>
      </w:r>
    </w:p>
    <w:p>
      <w:pPr>
        <w:spacing w:after="0" w:line="22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a foreign private issuer, we are not required to comply with all the periodic disclosure and current reporting requirements of the Exchange Act and related rules and regulations. While we currently qualify as a foreign private issuer, the determination of foreign private issuer status is made annually on the last business day of an issuer's most recently completed second fiscal quarter and, accordingly, we could lose our foreign private issuer status in the future. We will next make a determination with respect to our foreign private issuer status on June 30, 2019.</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regulatory and compliance costs to us under U.S. securities laws if we lose our foreign private issuer status would be significantly more than the costs we expect to incure as a foreign private issuer. If we lose our foreign private issuer status, we would be required to report as a U.S. domestic issuer and be subject to other U.S. securities laws applicable to U.S. domestic issuers. The regulatory and compliance costs to us under U.S. securities laws as a U.S. domestic issuer may be significantly greater than the costs we incur as a foreign private issuer.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Such conversion and modifications would involve additional costs. In addition, we may lose our ability to rely upon exemptions from certain corporate governance requirements on U.S. stock exchanges that are available to foreign private issuers, which could also increase our costs.</w:t>
      </w:r>
    </w:p>
    <w:p>
      <w:pPr>
        <w:spacing w:after="0" w:line="17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we are a passive foreign investment company for U.S. federal income tax purposes for any taxable year, U.S. holders of our ADSs could be subject to adverse U.S. federal income tax consequences.</w:t>
      </w:r>
    </w:p>
    <w:p>
      <w:pPr>
        <w:spacing w:after="0" w:line="186" w:lineRule="exact"/>
        <w:rPr>
          <w:sz w:val="20"/>
          <w:szCs w:val="20"/>
          <w:color w:val="auto"/>
        </w:rPr>
      </w:pPr>
    </w:p>
    <w:p>
      <w:pPr>
        <w:ind w:firstLine="341"/>
        <w:spacing w:after="0" w:line="309" w:lineRule="auto"/>
        <w:rPr>
          <w:sz w:val="20"/>
          <w:szCs w:val="20"/>
          <w:color w:val="auto"/>
        </w:rPr>
      </w:pPr>
      <w:r>
        <w:rPr>
          <w:rFonts w:ascii="Arial" w:cs="Arial" w:eastAsia="Arial" w:hAnsi="Arial"/>
          <w:sz w:val="15"/>
          <w:szCs w:val="15"/>
          <w:color w:val="auto"/>
        </w:rPr>
        <w:t>A non-U.S. corporation will be a passive foreign investment company, or PFIC, for U.S. federal income tax purposes for any taxable year if either (i) at least 75% of its gross income for such taxable year is "passive income" (as defined in the relevant provisions of the U.S. Internal Revenue Code of 1986, as amended, or the Code) or (ii) at least 50% of the value of its assets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2018 or in the foreseeable future. However, the determination of whether or not we are a PFIC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61"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If we are a PFIC for any taxable year during which a U.S. person holds ADSs, certain adverse U.S. federal income tax consequences could apply to such U.S. person. See "Material U.S. Federal Income Tax Considerations—Passive Foreign Investment Company Considerations."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As a result of becoming a public company in the United States, we will become subject to additional regulatory compliance requirements, including Section 404 of the Sarbanes-Oxley Act, and if we fail to maintain an effective system of internal controls, we may not be able to accurately report our financial results or prevent fraud.</w:t>
      </w:r>
    </w:p>
    <w:p>
      <w:pPr>
        <w:spacing w:after="0" w:line="194"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U.S. public company listed on the Nasdaq Global Select Market, we will incur legal, accounting and other expenses that we did not previously incur. We will be subject to the reporting requirements of the Securities Exchange Act of 1934, or the Exchange Act, the Sarbanes-Oxley Act, the Dodd-Frank Wall Street Reform and Consumer Protection Act of 2010, the Nasdaq Listing Rules and other applicable securities rules and regulations, as well as the FCPA. Compliance with these rules and regulations will increase our legal and financial compliance costs, make some activities more difficult, time consuming or costly and increase demand on our systems and resources, particularly after we are no longer an "emerging growth company" and/or a foreign private issuer. The Exchange Act would require that, as a public company, we file annual, semi-annual and current reports with respect to our business, financial condition and result of operations. However, as a foreign private issuer, we are not required to file quarterly and current reports with respect to our business and results of operations. We currently issue annual and quarterly reports with respect to our listing on Nasdaq Copenhagen. Following this offering, we intend to submit, on a quarterly basis, interim financial data to the SEC under cover of the SEC's Form 6-K.</w:t>
      </w:r>
    </w:p>
    <w:p>
      <w:pPr>
        <w:spacing w:after="0" w:line="173"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Pursuant to Section 404 of the Sarbanes-Oxley Act, or Section 404, our management will be required to assess and attest to the effectiveness of our internal control over financial reporting in connection with issuing our audited consolidated financial statements beginning with our audited consolidated financial statements as of and for the year ending December 31, 2020. Section 404 also requires an attestation report on the effectiveness of internal control over financial reporting be provided by our independent registered public accounting firm beginning with our first annual report following the date on which we are no longer an "emerging growth company", which may be up to five fiscal years following the date of this offering. See "Prospectus Summary— Implications of Being an 'Emerging Growth Company' and a Foreign Private Issuer."</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Compliance with Section 404 will significantly increase our compliance costs and management's attention may be diverted from other business concerns, which could adversely affect our results of operations. We may need to hire more employees in the future or engage outside consultants to comply with these requirements, which would further increase expenses. If we fail to comply with the requirements of Section 404 in the required timeframe, we may be subject to sanctions or investigations by regulatory authorities, including the SEC and the Nasdaq Stock Market. Furthermore, if we are unable to attest to the effectiveness of our internal control over financial reporting, we could lose investor confidence in the accuracy and completeness of our financial reports, and the market price of our shares and ADSs could decline. Failure to implement or maintain effective internal control over financial reporting could also restrict our future access to the capital markets and subject each of us, our directors and our senior management to significant monetary and criminal liability.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 generating activities to compliance activities. Furthermore, as a public reporting company in the United States and Denmark with securities listed on the Nasdaq Global Select Market and Nasdaq Copenhagen, we will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have the additional burden of complying with multiple regulatory and disclosure regimes, which may result in further uncertainty regarding compliance matters, additional costs and further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future growth prospects may be adversely affected.</w:t>
      </w:r>
    </w:p>
    <w:p>
      <w:pPr>
        <w:spacing w:after="0" w:line="16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Holders of the ADSs will not be able to exercise the pre-emptive subscription rights related to the shares that they represent, and may suffer dilution of their equity holdings in the event of future issuances of our shares.</w:t>
      </w:r>
    </w:p>
    <w:p>
      <w:pPr>
        <w:spacing w:after="0" w:line="186"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Under the Danish Companies Act (</w:t>
      </w:r>
      <w:r>
        <w:rPr>
          <w:rFonts w:ascii="Arial" w:cs="Arial" w:eastAsia="Arial" w:hAnsi="Arial"/>
          <w:sz w:val="15"/>
          <w:szCs w:val="15"/>
          <w:i w:val="1"/>
          <w:iCs w:val="1"/>
          <w:color w:val="auto"/>
        </w:rPr>
        <w:t>Selskabsloven</w:t>
      </w:r>
      <w:r>
        <w:rPr>
          <w:rFonts w:ascii="Arial" w:cs="Arial" w:eastAsia="Arial" w:hAnsi="Arial"/>
          <w:sz w:val="15"/>
          <w:szCs w:val="15"/>
          <w:color w:val="auto"/>
        </w:rPr>
        <w:t>), or DCA, our shareholders benefit from a pre-emptive subscription right on the issuance of shares for cash consideration only and not in the event of issuance of shares against non-cash contribution or debt conversion. Shareholders' pre-emptive subscription rights, in the event of issuances of shares against cash payment, may be dis-applied by a resolution of the shareholders at a general meeting of our shareholders and/or the shares may be issued on the basis of an authorization granted to the board of directors pursuant to which the board may dis-apply the shareholders' pre-emptive subscription rights. The absence of pre-emptive rights for existing equity holders in these situations may cause substantial dilution to such holders.</w:t>
      </w:r>
    </w:p>
    <w:p>
      <w:pPr>
        <w:spacing w:after="0" w:line="15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ADS holders in the United States will not be entitled to exercise or sell such pre-emptive subscription rights related to the shares underlying their ADSs unless we register the pre-emptive subscription rights and the securities to which such pre-emptive subscription rights relate under the Securities Act, or if an exemption from the registration requirements of the Securities Act is available. We are under no obligation to file a registration statement with respect to any such rights or securities. Moreover, we may not be able to establish an exemption from registration under the Securities Act. Accordingly, ADS holders may be unable to participate in any rights offering and may experience dilution in their holdings.</w:t>
      </w:r>
    </w:p>
    <w:p>
      <w:pPr>
        <w:spacing w:after="0" w:line="16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we offer shareholders any rights to subscribe for additional shares, we will advise the depositary whether we wish to make such rights available to ADS holders. If we decide to make such rights available to ADS holders, but the depositary determines that it is not legal or reasonably practicable to make the rights available to ADS holders, the depositary will endeavor to sell the rights and in a riskless principal capacity or otherwise, at such place and upon such terms (including public or private sale) as it may deem proper and distribute the net proceeds in the same way as it does with cash. However, if timing or market conditions do not permit such sale, the depositary will allow rights that are not distributed or sold to lapse, in which case, you would receive no value for such rights.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a Danish company with limited liability. The rights of our shareholders may be different from the rights of shareholders in companies governed by the laws of U.S. jurisdictions.</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and will upon the consummation of this offering be, a Danish company with limited liability. Our corporate affairs are governed by our articles of association and by the laws governing companies incorporated in Denmark. The rights of shareholders and the responsibilities of members of our board of directors may be different from the rights and obligations of shareholders and boards of directors in companies governed by the laws of U.S. jurisdictions. In the performance of its duties, our board is required by Danish law to consider the interests of our company, its shareholders, its employees and other stakeholders. It is possible that some of these parties will have interests that are different from, or in addition to, the interests of our shareholders. See "Description of Share Capital and Certain Corporate Matters—Articles of Association and Danish Corporate Law."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right="120" w:firstLine="348"/>
        <w:spacing w:after="0" w:line="302" w:lineRule="auto"/>
        <w:rPr>
          <w:sz w:val="20"/>
          <w:szCs w:val="20"/>
          <w:color w:val="auto"/>
        </w:rPr>
      </w:pPr>
      <w:r>
        <w:rPr>
          <w:rFonts w:ascii="Arial" w:cs="Arial" w:eastAsia="Arial" w:hAnsi="Arial"/>
          <w:sz w:val="15"/>
          <w:szCs w:val="15"/>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"potential," "positioned," "seek," "should," "target," "will," "would," and other similar expressions that are predictions of or indicate future events and future trends, or the negative of these terms or other comparable terminology.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forward-looking statements include, but are not limited to, statements about:</w:t>
      </w:r>
    </w:p>
    <w:p>
      <w:pPr>
        <w:spacing w:after="0" w:line="239" w:lineRule="exact"/>
        <w:rPr>
          <w:sz w:val="20"/>
          <w:szCs w:val="20"/>
          <w:color w:val="auto"/>
        </w:rPr>
      </w:pPr>
    </w:p>
    <w:p>
      <w:pPr>
        <w:ind w:left="1080" w:right="4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sales, clinical development, regulatory approvals and commercialization of daratumumab and ofatumumab by Janssen and Novartis, respectively;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the clinical development, regulatory approval and commercialization of tisotumab vedotin and our other proprietary and partnered product candidates;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with regard to our ability to create and develop additional product candidates and to submit INDs and/or CTAs for our pre-clinical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receipt of future milestone payments and royalties from our partners, and the expected timing of such payments;</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estimates and expectations regarding the potential market size and the size of the patient populations for our products and product candidates;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products and product candidates over existing therapies or therapies currently in development;</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proprietary technologies over existing antibody technologies and the prospects for our ongoing and future technology collaborations;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expand our translational research platform and the potential benefits of such platform;</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with regard to the willingness and ability of our current and future partners to pursue the development, approval and commercialization of our products and product candidates;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our partners' product discovery, development and commercialization plans with respect to our products and product candidates and our proprietary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potential to enter into new collaborations;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our partners' ability to develop, acquire and advance product candidates into, and successfully complete,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and our research and development programs;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products and product candidates;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identify, and to negotiate contracts with, suitable CMOs and the ability of such CMOs to manufacture sufficient quantities of our products and product candidates for clinical trials or commercialization in compliance with cGMPs;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commercialization and market acceptance of our products and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to build our commercialization capabilities and to potentially commercialize tisotumab vedotin or other proprietary product candidates in-house;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of and reimbursement for our approved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product candidates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operate our business without violating applicable laws and regulations;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and our partners' ability to operate our businesses without infringing the intellectual property rights and proprietary technology of third parties;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protection we and our partners are able to establish and maintain for intellectual property rights covering our products, product candidates and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analysis of our actual or potential patent infringement claims and the rights of our partners with respect to such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estimates of our future expenses and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the European Union and other jurisdictions;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exposure to additional scrutiny as a U.S. public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suitably qualified employees and key personnel, particularly for our commercialization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financial performance;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technologies.</w:t>
      </w:r>
    </w:p>
    <w:p>
      <w:pPr>
        <w:spacing w:after="0" w:line="225" w:lineRule="exact"/>
        <w:rPr>
          <w:sz w:val="20"/>
          <w:szCs w:val="20"/>
          <w:color w:val="auto"/>
        </w:rPr>
      </w:pPr>
    </w:p>
    <w:p>
      <w:pPr>
        <w:ind w:right="80" w:firstLine="348"/>
        <w:spacing w:after="0" w:line="310" w:lineRule="auto"/>
        <w:rPr>
          <w:sz w:val="20"/>
          <w:szCs w:val="20"/>
          <w:color w:val="auto"/>
        </w:rPr>
      </w:pPr>
      <w:r>
        <w:rPr>
          <w:rFonts w:ascii="Arial" w:cs="Arial" w:eastAsia="Arial" w:hAnsi="Arial"/>
          <w:sz w:val="15"/>
          <w:szCs w:val="15"/>
          <w:color w:val="auto"/>
        </w:rPr>
        <w:t>These forward-looking statements are based on our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Table of Contents</w:t>
              </w:r>
            </w:hyperlink>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6"/>
        </w:trPr>
        <w:tc>
          <w:tcPr>
            <w:tcW w:w="7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USE OF PROCEEDS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6"/>
        </w:trPr>
        <w:tc>
          <w:tcPr>
            <w:tcW w:w="5880" w:type="dxa"/>
            <w:vAlign w:val="bottom"/>
            <w:gridSpan w:val="7"/>
          </w:tcPr>
          <w:p>
            <w:pPr>
              <w:ind w:left="360"/>
              <w:spacing w:after="0"/>
              <w:rPr>
                <w:sz w:val="20"/>
                <w:szCs w:val="20"/>
                <w:color w:val="auto"/>
              </w:rPr>
            </w:pPr>
            <w:r>
              <w:rPr>
                <w:rFonts w:ascii="Arial" w:cs="Arial" w:eastAsia="Arial" w:hAnsi="Arial"/>
                <w:sz w:val="18"/>
                <w:szCs w:val="18"/>
                <w:color w:val="auto"/>
                <w:w w:val="91"/>
              </w:rPr>
              <w:t>We estimate that the net proceeds from this offering will be approximately $</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(DKK</w:t>
            </w:r>
          </w:p>
        </w:tc>
        <w:tc>
          <w:tcPr>
            <w:tcW w:w="4480" w:type="dxa"/>
            <w:vAlign w:val="bottom"/>
            <w:gridSpan w:val="4"/>
          </w:tcPr>
          <w:p>
            <w:pPr>
              <w:jc w:val="right"/>
              <w:spacing w:after="0"/>
              <w:rPr>
                <w:sz w:val="20"/>
                <w:szCs w:val="20"/>
                <w:color w:val="auto"/>
              </w:rPr>
            </w:pPr>
            <w:r>
              <w:rPr>
                <w:rFonts w:ascii="Arial" w:cs="Arial" w:eastAsia="Arial" w:hAnsi="Arial"/>
                <w:sz w:val="18"/>
                <w:szCs w:val="18"/>
                <w:color w:val="auto"/>
                <w:w w:val="91"/>
              </w:rPr>
              <w:t>), after deducting the underwriting commission and estimated</w:t>
            </w:r>
          </w:p>
        </w:tc>
      </w:tr>
      <w:tr>
        <w:trPr>
          <w:trHeight w:val="216"/>
        </w:trPr>
        <w:tc>
          <w:tcPr>
            <w:tcW w:w="6420" w:type="dxa"/>
            <w:vAlign w:val="bottom"/>
            <w:gridSpan w:val="8"/>
          </w:tcPr>
          <w:p>
            <w:pPr>
              <w:spacing w:after="0"/>
              <w:rPr>
                <w:sz w:val="20"/>
                <w:szCs w:val="20"/>
                <w:color w:val="auto"/>
              </w:rPr>
            </w:pPr>
            <w:r>
              <w:rPr>
                <w:rFonts w:ascii="Arial" w:cs="Arial" w:eastAsia="Arial" w:hAnsi="Arial"/>
                <w:sz w:val="18"/>
                <w:szCs w:val="18"/>
                <w:color w:val="auto"/>
                <w:w w:val="93"/>
              </w:rPr>
              <w:t>offering expenses payable by us, based on an assumed initial public offering price of $</w:t>
            </w:r>
          </w:p>
        </w:tc>
        <w:tc>
          <w:tcPr>
            <w:tcW w:w="4740" w:type="dxa"/>
            <w:vAlign w:val="bottom"/>
            <w:gridSpan w:val="5"/>
          </w:tcPr>
          <w:p>
            <w:pPr>
              <w:jc w:val="right"/>
              <w:ind w:right="272"/>
              <w:spacing w:after="0"/>
              <w:rPr>
                <w:sz w:val="20"/>
                <w:szCs w:val="20"/>
                <w:color w:val="auto"/>
              </w:rPr>
            </w:pPr>
            <w:r>
              <w:rPr>
                <w:rFonts w:ascii="Arial" w:cs="Arial" w:eastAsia="Arial" w:hAnsi="Arial"/>
                <w:sz w:val="18"/>
                <w:szCs w:val="18"/>
                <w:color w:val="auto"/>
                <w:w w:val="89"/>
              </w:rPr>
              <w:t>per ADS, the U.S. dollar equivalent of the closing price of our</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w w:val="94"/>
              </w:rPr>
              <w:t>shares on Nasdaq Copenhagen of DKK</w:t>
            </w:r>
          </w:p>
        </w:tc>
        <w:tc>
          <w:tcPr>
            <w:tcW w:w="640" w:type="dxa"/>
            <w:vAlign w:val="bottom"/>
          </w:tcPr>
          <w:p>
            <w:pPr>
              <w:ind w:left="120"/>
              <w:spacing w:after="0"/>
              <w:rPr>
                <w:sz w:val="20"/>
                <w:szCs w:val="20"/>
                <w:color w:val="auto"/>
              </w:rPr>
            </w:pPr>
            <w:r>
              <w:rPr>
                <w:rFonts w:ascii="Arial" w:cs="Arial" w:eastAsia="Arial" w:hAnsi="Arial"/>
                <w:sz w:val="18"/>
                <w:szCs w:val="18"/>
                <w:color w:val="auto"/>
              </w:rPr>
              <w:t>on</w:t>
            </w:r>
          </w:p>
        </w:tc>
        <w:tc>
          <w:tcPr>
            <w:tcW w:w="3880" w:type="dxa"/>
            <w:vAlign w:val="bottom"/>
            <w:gridSpan w:val="5"/>
          </w:tcPr>
          <w:p>
            <w:pPr>
              <w:ind w:left="360"/>
              <w:spacing w:after="0"/>
              <w:rPr>
                <w:sz w:val="20"/>
                <w:szCs w:val="20"/>
                <w:color w:val="auto"/>
              </w:rPr>
            </w:pPr>
            <w:r>
              <w:rPr>
                <w:rFonts w:ascii="Arial" w:cs="Arial" w:eastAsia="Arial" w:hAnsi="Arial"/>
                <w:sz w:val="18"/>
                <w:szCs w:val="18"/>
                <w:color w:val="auto"/>
                <w:w w:val="93"/>
              </w:rPr>
              <w:t>, 2019, at the U.S. dollar/DKK exchange rate of</w:t>
            </w:r>
          </w:p>
        </w:tc>
        <w:tc>
          <w:tcPr>
            <w:tcW w:w="700" w:type="dxa"/>
            <w:vAlign w:val="bottom"/>
          </w:tcPr>
          <w:p>
            <w:pPr>
              <w:ind w:left="180"/>
              <w:spacing w:after="0"/>
              <w:rPr>
                <w:sz w:val="20"/>
                <w:szCs w:val="20"/>
                <w:color w:val="auto"/>
              </w:rPr>
            </w:pPr>
            <w:r>
              <w:rPr>
                <w:rFonts w:ascii="Arial" w:cs="Arial" w:eastAsia="Arial" w:hAnsi="Arial"/>
                <w:sz w:val="18"/>
                <w:szCs w:val="18"/>
                <w:color w:val="auto"/>
              </w:rPr>
              <w:t>as of</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w w:val="95"/>
              </w:rPr>
              <w:t>, 2019, multiplied by the ADS-to-share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ratio of</w:t>
            </w:r>
          </w:p>
        </w:tc>
        <w:tc>
          <w:tcPr>
            <w:tcW w:w="10460" w:type="dxa"/>
            <w:vAlign w:val="bottom"/>
            <w:gridSpan w:val="12"/>
          </w:tcPr>
          <w:p>
            <w:pPr>
              <w:jc w:val="right"/>
              <w:spacing w:after="0"/>
              <w:rPr>
                <w:sz w:val="20"/>
                <w:szCs w:val="20"/>
                <w:color w:val="auto"/>
              </w:rPr>
            </w:pPr>
            <w:r>
              <w:rPr>
                <w:rFonts w:ascii="Arial" w:cs="Arial" w:eastAsia="Arial" w:hAnsi="Arial"/>
                <w:sz w:val="18"/>
                <w:szCs w:val="18"/>
                <w:color w:val="auto"/>
                <w:w w:val="90"/>
              </w:rPr>
              <w:t>to 1. If the underwriters exercise their option to purchase additional ADSs in full, we estimate that the net proceeds to us from this offering will be</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approximately $</w:t>
            </w:r>
          </w:p>
        </w:tc>
        <w:tc>
          <w:tcPr>
            <w:tcW w:w="9780" w:type="dxa"/>
            <w:vAlign w:val="bottom"/>
            <w:gridSpan w:val="10"/>
          </w:tcPr>
          <w:p>
            <w:pPr>
              <w:jc w:val="right"/>
              <w:ind w:right="312"/>
              <w:spacing w:after="0"/>
              <w:rPr>
                <w:sz w:val="20"/>
                <w:szCs w:val="20"/>
                <w:color w:val="auto"/>
              </w:rPr>
            </w:pPr>
            <w:r>
              <w:rPr>
                <w:rFonts w:ascii="Arial" w:cs="Arial" w:eastAsia="Arial" w:hAnsi="Arial"/>
                <w:sz w:val="18"/>
                <w:szCs w:val="18"/>
                <w:color w:val="auto"/>
                <w:w w:val="88"/>
              </w:rPr>
              <w:t>, after deducting the underwriting commission and estimated offering expenses payable by us. Each $1.00 increase (decrease) in the</w:t>
            </w:r>
          </w:p>
        </w:tc>
      </w:tr>
      <w:tr>
        <w:trPr>
          <w:trHeight w:val="216"/>
        </w:trPr>
        <w:tc>
          <w:tcPr>
            <w:tcW w:w="3000" w:type="dxa"/>
            <w:vAlign w:val="bottom"/>
            <w:gridSpan w:val="4"/>
          </w:tcPr>
          <w:p>
            <w:pPr>
              <w:spacing w:after="0"/>
              <w:rPr>
                <w:sz w:val="20"/>
                <w:szCs w:val="20"/>
                <w:color w:val="auto"/>
              </w:rPr>
            </w:pPr>
            <w:r>
              <w:rPr>
                <w:rFonts w:ascii="Arial" w:cs="Arial" w:eastAsia="Arial" w:hAnsi="Arial"/>
                <w:sz w:val="18"/>
                <w:szCs w:val="18"/>
                <w:color w:val="auto"/>
                <w:w w:val="94"/>
              </w:rPr>
              <w:t>assumed initial public offering price of $</w:t>
            </w:r>
          </w:p>
        </w:tc>
        <w:tc>
          <w:tcPr>
            <w:tcW w:w="8160" w:type="dxa"/>
            <w:vAlign w:val="bottom"/>
            <w:gridSpan w:val="9"/>
          </w:tcPr>
          <w:p>
            <w:pPr>
              <w:jc w:val="right"/>
              <w:ind w:right="152"/>
              <w:spacing w:after="0"/>
              <w:rPr>
                <w:sz w:val="20"/>
                <w:szCs w:val="20"/>
                <w:color w:val="auto"/>
              </w:rPr>
            </w:pPr>
            <w:r>
              <w:rPr>
                <w:rFonts w:ascii="Arial" w:cs="Arial" w:eastAsia="Arial" w:hAnsi="Arial"/>
                <w:sz w:val="18"/>
                <w:szCs w:val="18"/>
                <w:color w:val="auto"/>
                <w:w w:val="90"/>
              </w:rPr>
              <w:t>per ADS would increase (decrease) the net proceeds to us from this offering, after deducting the underwriting</w:t>
            </w:r>
          </w:p>
        </w:tc>
      </w:tr>
      <w:tr>
        <w:trPr>
          <w:trHeight w:val="216"/>
        </w:trPr>
        <w:tc>
          <w:tcPr>
            <w:tcW w:w="4680" w:type="dxa"/>
            <w:vAlign w:val="bottom"/>
            <w:gridSpan w:val="6"/>
          </w:tcPr>
          <w:p>
            <w:pPr>
              <w:spacing w:after="0"/>
              <w:rPr>
                <w:sz w:val="20"/>
                <w:szCs w:val="20"/>
                <w:color w:val="auto"/>
              </w:rPr>
            </w:pPr>
            <w:r>
              <w:rPr>
                <w:rFonts w:ascii="Arial" w:cs="Arial" w:eastAsia="Arial" w:hAnsi="Arial"/>
                <w:sz w:val="18"/>
                <w:szCs w:val="18"/>
                <w:color w:val="auto"/>
                <w:w w:val="89"/>
              </w:rPr>
              <w:t>commission and estimated offering expenses payable by us, by $</w:t>
            </w:r>
          </w:p>
        </w:tc>
        <w:tc>
          <w:tcPr>
            <w:tcW w:w="6480" w:type="dxa"/>
            <w:vAlign w:val="bottom"/>
            <w:gridSpan w:val="7"/>
          </w:tcPr>
          <w:p>
            <w:pPr>
              <w:jc w:val="right"/>
              <w:ind w:right="12"/>
              <w:spacing w:after="0"/>
              <w:rPr>
                <w:sz w:val="20"/>
                <w:szCs w:val="20"/>
                <w:color w:val="auto"/>
              </w:rPr>
            </w:pPr>
            <w:r>
              <w:rPr>
                <w:rFonts w:ascii="Arial" w:cs="Arial" w:eastAsia="Arial" w:hAnsi="Arial"/>
                <w:sz w:val="18"/>
                <w:szCs w:val="18"/>
                <w:color w:val="auto"/>
                <w:w w:val="90"/>
              </w:rPr>
              <w:t>, assuming that the number of ADSs offered by us, as set forth on the cover page of this</w:t>
            </w:r>
          </w:p>
        </w:tc>
      </w:tr>
      <w:tr>
        <w:trPr>
          <w:trHeight w:val="222"/>
        </w:trPr>
        <w:tc>
          <w:tcPr>
            <w:tcW w:w="9360" w:type="dxa"/>
            <w:vAlign w:val="bottom"/>
            <w:gridSpan w:val="12"/>
          </w:tcPr>
          <w:p>
            <w:pPr>
              <w:spacing w:after="0"/>
              <w:rPr>
                <w:sz w:val="20"/>
                <w:szCs w:val="20"/>
                <w:color w:val="auto"/>
              </w:rPr>
            </w:pPr>
            <w:r>
              <w:rPr>
                <w:rFonts w:ascii="Arial" w:cs="Arial" w:eastAsia="Arial" w:hAnsi="Arial"/>
                <w:sz w:val="18"/>
                <w:szCs w:val="18"/>
                <w:color w:val="auto"/>
                <w:w w:val="90"/>
              </w:rPr>
              <w:t>prospectus, remains the same. We may also increase or decrease the number of ADSs we are offering. An increase (decrease) of</w:t>
            </w:r>
          </w:p>
        </w:tc>
        <w:tc>
          <w:tcPr>
            <w:tcW w:w="1800" w:type="dxa"/>
            <w:vAlign w:val="bottom"/>
          </w:tcPr>
          <w:p>
            <w:pPr>
              <w:jc w:val="right"/>
              <w:ind w:right="172"/>
              <w:spacing w:after="0"/>
              <w:rPr>
                <w:sz w:val="20"/>
                <w:szCs w:val="20"/>
                <w:color w:val="auto"/>
              </w:rPr>
            </w:pPr>
            <w:r>
              <w:rPr>
                <w:rFonts w:ascii="Arial" w:cs="Arial" w:eastAsia="Arial" w:hAnsi="Arial"/>
                <w:sz w:val="18"/>
                <w:szCs w:val="18"/>
                <w:color w:val="auto"/>
              </w:rPr>
              <w:t>in the number of</w:t>
            </w:r>
          </w:p>
        </w:tc>
      </w:tr>
    </w:tbl>
    <w:p>
      <w:pPr>
        <w:spacing w:after="0"/>
        <w:rPr>
          <w:sz w:val="20"/>
          <w:szCs w:val="20"/>
          <w:color w:val="auto"/>
        </w:rPr>
      </w:pPr>
      <w:r>
        <w:rPr>
          <w:rFonts w:ascii="Arial" w:cs="Arial" w:eastAsia="Arial" w:hAnsi="Arial"/>
          <w:sz w:val="16"/>
          <w:szCs w:val="16"/>
          <w:color w:val="auto"/>
        </w:rPr>
        <w:t>ADSs we are offering would increase (decrease) the net proceeds to us from this offering, after deducting the underwriting commission and estimated offering</w:t>
      </w:r>
    </w:p>
    <w:p>
      <w:pPr>
        <w:spacing w:after="0" w:line="3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expenses payable by us, by $</w:t>
      </w:r>
      <w:r>
        <w:rPr>
          <w:sz w:val="20"/>
          <w:szCs w:val="20"/>
          <w:color w:val="auto"/>
        </w:rPr>
        <w:tab/>
      </w:r>
      <w:r>
        <w:rPr>
          <w:rFonts w:ascii="Arial" w:cs="Arial" w:eastAsia="Arial" w:hAnsi="Arial"/>
          <w:sz w:val="15"/>
          <w:szCs w:val="15"/>
          <w:color w:val="auto"/>
        </w:rPr>
        <w:t>, assuming the assumed initial public offering price stays the same.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this offering for general corporate purposes.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understand how any future determination by us regarding the payment of dividends would affect you as a holder of ADSs, please see the section of this prospectus entitled "Description of American Depositary Shares—Dividends and Other Distributions."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Requirements</w:t>
      </w:r>
    </w:p>
    <w:p>
      <w:pPr>
        <w:spacing w:after="0" w:line="231"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accordance with the DCA, ordinary dividends, if any, are declared with respect to a financial year at the annual general meeting of shareholders in the following year, where the statutory annual report (which includes the audited financial statements) for that financial year is approved. Further, our shareholders may resolve at a general meeting to distribute interim dividends and our shareholders may also grant our board of directors an authorization to distribute interim dividends. Any resolution to distribute interim dividends within six months of the date of the balance sheet as set out in our latest adopted annual report must be accompanied by the balance sheet from our latest annual report or an interim balance sheet which must be reviewed by our auditor. If the decision to distribute interim dividends is passed more than six months after the date of the balance sheet as set out in our latest adopted annual report, an interim balance sheet must be prepared and reviewed by our auditor. The balance sheet or the interim balance sheet, as applicable, must show that sufficient funds are available for distribution. Dividends may not exceed the amount recommended by the board of directors for approval by the general meeting of shareholders. Moreover, ordinary dividends and interim dividends may only be made out of distributable reserves and may not exceed what is considered sound and adequate with regard to our financial condition or be to the detriment of our creditors and such other factors as the board of directors may deem relevant.</w:t>
      </w:r>
    </w:p>
    <w:p>
      <w:pPr>
        <w:spacing w:after="0" w:line="162" w:lineRule="exact"/>
        <w:rPr>
          <w:sz w:val="20"/>
          <w:szCs w:val="20"/>
          <w:color w:val="auto"/>
        </w:rPr>
      </w:pPr>
    </w:p>
    <w:p>
      <w:pPr>
        <w:ind w:right="120" w:firstLine="351"/>
        <w:spacing w:after="0" w:line="317" w:lineRule="auto"/>
        <w:rPr>
          <w:sz w:val="20"/>
          <w:szCs w:val="20"/>
          <w:color w:val="auto"/>
        </w:rPr>
      </w:pPr>
      <w:r>
        <w:rPr>
          <w:rFonts w:ascii="Arial" w:cs="Arial" w:eastAsia="Arial" w:hAnsi="Arial"/>
          <w:sz w:val="15"/>
          <w:szCs w:val="15"/>
          <w:color w:val="auto"/>
        </w:rPr>
        <w:t>In accordance with the DCA, share buybacks may only be carried out by the board of directors using funds that could have been distributed as dividends at the latest annual general meeting of shareholders. Any share buyback must be conducted in accordance with an authorization obtained at a general meeting of our shareholders. The authorization must be granted for a defined period of time not exceeding five years. In addition, the authorization must specify the maximum permitted value of treasury shares as well as the minimum and maximum amount that we may pay as consideration for such shares. A decision by our board of directors to engage in share buybacks, if any, will be made in accordance with the factors applicable to dividend payments set forth above.</w:t>
      </w:r>
    </w:p>
    <w:p>
      <w:pPr>
        <w:spacing w:after="0" w:line="15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board of directors is until March 17, 2021 authorized to repurchase up to 500,000 shares. The purchase price for the shares may not deviate by more than 10% from the price quoted on Nasdaq Copenhagen at the time of the acquisition.</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See "Material Danish Income Tax Considerations" for a description of Danish withholding taxes and certain other Danish considerations relevant to the purchase or holding of shares and ADSs and "Material U.S. Federal Income Tax Considerations" for a description of U.S. federal income tax considerations relevant to the purchase or holding of shares and ADSs.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our cash position and capitalization as of December 31, 2018 on an actual basis, and on an as adjusted basis to give effect to</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issuance of ADSs, representing shares, in this offering at an assumed initial public offering price of $ per ADS, the U.S. dollar equivalent of the closing price of our shares on Nasdaq Copenhagen of DKK on , 2019, at the U.S. dollar/DKK exchange rate of as of , 2019, multiplied by the ADS-to-share ratio of to 1, after deducting the underwriting commission and estimated offering expenses payable by us.</w:t>
      </w:r>
    </w:p>
    <w:p>
      <w:pPr>
        <w:spacing w:after="0" w:line="19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Actual data as of December 31, 2018 in the table below is derived from our audited consolidated financial statements. The as adjusted data included in the table below is unaudited. You should read this information together with our audited consolidated financial statements appearing elsewhere in this prospectus and the information set forth under the headings "Selected Consolidated Financial Data," "Use of Proceeds" and "Management's Discussion and Analysis of Financial Condition and Results of Operations."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3"/>
                <w:szCs w:val="13"/>
                <w:b w:val="1"/>
                <w:bCs w:val="1"/>
                <w:color w:val="auto"/>
              </w:rPr>
              <w:t>As of December 31, 2018</w:t>
            </w:r>
          </w:p>
        </w:tc>
        <w:tc>
          <w:tcPr>
            <w:tcW w:w="660" w:type="dxa"/>
            <w:vAlign w:val="bottom"/>
            <w:tcBorders>
              <w:bottom w:val="single" w:sz="8" w:color="auto"/>
            </w:tcBorders>
          </w:tcPr>
          <w:p>
            <w:pPr>
              <w:spacing w:after="0"/>
              <w:rPr>
                <w:sz w:val="14"/>
                <w:szCs w:val="14"/>
                <w:color w:val="auto"/>
              </w:rPr>
            </w:pPr>
          </w:p>
        </w:tc>
      </w:tr>
      <w:tr>
        <w:trPr>
          <w:trHeight w:val="169"/>
        </w:trPr>
        <w:tc>
          <w:tcPr>
            <w:tcW w:w="5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2"/>
          </w:tcPr>
          <w:p>
            <w:pPr>
              <w:ind w:left="340"/>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w:t>
            </w:r>
          </w:p>
        </w:tc>
      </w:tr>
      <w:tr>
        <w:trPr>
          <w:trHeight w:val="174"/>
        </w:trPr>
        <w:tc>
          <w:tcPr>
            <w:tcW w:w="56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jc w:val="right"/>
              <w:ind w:right="479"/>
              <w:spacing w:after="0" w:line="174"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5"/>
                <w:szCs w:val="15"/>
                <w:color w:val="auto"/>
              </w:rPr>
            </w:pPr>
          </w:p>
        </w:tc>
        <w:tc>
          <w:tcPr>
            <w:tcW w:w="820" w:type="dxa"/>
            <w:vAlign w:val="bottom"/>
          </w:tcPr>
          <w:p>
            <w:pPr>
              <w:jc w:val="right"/>
              <w:ind w:right="326"/>
              <w:spacing w:after="0" w:line="174"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660" w:type="dxa"/>
            <w:vAlign w:val="bottom"/>
          </w:tcPr>
          <w:p>
            <w:pPr>
              <w:ind w:left="180"/>
              <w:spacing w:after="0"/>
              <w:rPr>
                <w:sz w:val="20"/>
                <w:szCs w:val="20"/>
                <w:color w:val="auto"/>
              </w:rPr>
            </w:pPr>
            <w:r>
              <w:rPr>
                <w:rFonts w:ascii="Arial" w:cs="Arial" w:eastAsia="Arial" w:hAnsi="Arial"/>
                <w:sz w:val="13"/>
                <w:szCs w:val="13"/>
                <w:b w:val="1"/>
                <w:bCs w:val="1"/>
                <w:color w:val="auto"/>
              </w:rPr>
              <w:t>DKK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-2540</wp:posOffset>
            </wp:positionV>
            <wp:extent cx="570039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1140"/>
        <w:spacing w:after="0" w:line="214" w:lineRule="auto"/>
        <w:rPr>
          <w:sz w:val="20"/>
          <w:szCs w:val="20"/>
          <w:color w:val="auto"/>
        </w:rPr>
      </w:pPr>
      <w:r>
        <w:rPr>
          <w:rFonts w:ascii="Arial" w:cs="Arial" w:eastAsia="Arial" w:hAnsi="Arial"/>
          <w:sz w:val="18"/>
          <w:szCs w:val="18"/>
          <w:b w:val="1"/>
          <w:bCs w:val="1"/>
          <w:color w:val="auto"/>
        </w:rPr>
        <w:t>Cash position</w:t>
      </w:r>
      <w:r>
        <w:rPr>
          <w:rFonts w:ascii="Arial" w:cs="Arial" w:eastAsia="Arial" w:hAnsi="Arial"/>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-28575</wp:posOffset>
            </wp:positionV>
            <wp:extent cx="198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-11430</wp:posOffset>
            </wp:positionV>
            <wp:extent cx="19888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Total debt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Share capital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Other reserves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-130175</wp:posOffset>
            </wp:positionV>
            <wp:extent cx="19888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039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109220</wp:posOffset>
            </wp:positionV>
            <wp:extent cx="1499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40" w:type="dxa"/>
            <w:vAlign w:val="bottom"/>
          </w:tcPr>
          <w:p>
            <w:pPr>
              <w:jc w:val="right"/>
              <w:ind w:right="133"/>
              <w:spacing w:after="0"/>
              <w:rPr>
                <w:sz w:val="20"/>
                <w:szCs w:val="20"/>
                <w:color w:val="auto"/>
              </w:rPr>
            </w:pPr>
            <w:r>
              <w:rPr>
                <w:rFonts w:ascii="Arial" w:cs="Arial" w:eastAsia="Arial" w:hAnsi="Arial"/>
                <w:sz w:val="13"/>
                <w:szCs w:val="13"/>
                <w:color w:val="auto"/>
                <w:w w:val="75"/>
              </w:rPr>
              <w:t>(1)</w:t>
            </w:r>
          </w:p>
        </w:tc>
        <w:tc>
          <w:tcPr>
            <w:tcW w:w="5180" w:type="dxa"/>
            <w:vAlign w:val="bottom"/>
          </w:tcPr>
          <w:p>
            <w:pPr>
              <w:ind w:left="200"/>
              <w:spacing w:after="0"/>
              <w:rPr>
                <w:sz w:val="20"/>
                <w:szCs w:val="20"/>
                <w:color w:val="auto"/>
              </w:rPr>
            </w:pPr>
            <w:r>
              <w:rPr>
                <w:rFonts w:ascii="Arial" w:cs="Arial" w:eastAsia="Arial" w:hAnsi="Arial"/>
                <w:sz w:val="13"/>
                <w:szCs w:val="13"/>
                <w:color w:val="auto"/>
                <w:w w:val="97"/>
              </w:rPr>
              <w:t>Translated solely for convenience into U.S. dollars at an assumed exchange rate of DKK</w:t>
            </w:r>
          </w:p>
        </w:tc>
        <w:tc>
          <w:tcPr>
            <w:tcW w:w="4540" w:type="dxa"/>
            <w:vAlign w:val="bottom"/>
          </w:tcPr>
          <w:p>
            <w:pPr>
              <w:ind w:left="200"/>
              <w:spacing w:after="0"/>
              <w:rPr>
                <w:sz w:val="20"/>
                <w:szCs w:val="20"/>
                <w:color w:val="auto"/>
              </w:rPr>
            </w:pPr>
            <w:r>
              <w:rPr>
                <w:rFonts w:ascii="Arial" w:cs="Arial" w:eastAsia="Arial" w:hAnsi="Arial"/>
                <w:sz w:val="13"/>
                <w:szCs w:val="13"/>
                <w:color w:val="auto"/>
                <w:w w:val="93"/>
              </w:rPr>
              <w:t>per $1.00, which was the rounded official exchange rate of such currencies as of</w:t>
            </w:r>
          </w:p>
        </w:tc>
      </w:tr>
      <w:tr>
        <w:trPr>
          <w:trHeight w:val="147"/>
        </w:trPr>
        <w:tc>
          <w:tcPr>
            <w:tcW w:w="340" w:type="dxa"/>
            <w:vAlign w:val="bottom"/>
          </w:tcPr>
          <w:p>
            <w:pPr>
              <w:spacing w:after="0"/>
              <w:rPr>
                <w:sz w:val="12"/>
                <w:szCs w:val="12"/>
                <w:color w:val="auto"/>
              </w:rPr>
            </w:pPr>
          </w:p>
        </w:tc>
        <w:tc>
          <w:tcPr>
            <w:tcW w:w="5180" w:type="dxa"/>
            <w:vAlign w:val="bottom"/>
          </w:tcPr>
          <w:p>
            <w:pPr>
              <w:ind w:left="200"/>
              <w:spacing w:after="0" w:line="147" w:lineRule="exact"/>
              <w:rPr>
                <w:sz w:val="20"/>
                <w:szCs w:val="20"/>
                <w:color w:val="auto"/>
              </w:rPr>
            </w:pPr>
            <w:r>
              <w:rPr>
                <w:rFonts w:ascii="Arial" w:cs="Arial" w:eastAsia="Arial" w:hAnsi="Arial"/>
                <w:sz w:val="13"/>
                <w:szCs w:val="13"/>
                <w:color w:val="auto"/>
              </w:rPr>
              <w:t>December 31, 2018 as reported by Danmarks Nationalbank.</w:t>
            </w:r>
          </w:p>
        </w:tc>
        <w:tc>
          <w:tcPr>
            <w:tcW w:w="4540" w:type="dxa"/>
            <w:vAlign w:val="bottom"/>
          </w:tcPr>
          <w:p>
            <w:pPr>
              <w:spacing w:after="0"/>
              <w:rPr>
                <w:sz w:val="12"/>
                <w:szCs w:val="12"/>
                <w:color w:val="auto"/>
              </w:rPr>
            </w:pPr>
          </w:p>
        </w:tc>
      </w:tr>
    </w:tbl>
    <w:p>
      <w:pPr>
        <w:ind w:left="1680" w:hanging="549"/>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$1.00 increase (decrease) in the assumed initial public offering price of $</w:t>
      </w:r>
      <w:r>
        <w:rPr>
          <w:rFonts w:ascii="Arial" w:cs="Arial" w:eastAsia="Arial" w:hAnsi="Arial"/>
          <w:sz w:val="12"/>
          <w:szCs w:val="12"/>
          <w:color w:val="auto"/>
        </w:rPr>
        <w:t>per ADS, the U.S. dollar equivalent of the closing price of our shares on Nasdaq Copenhagen of</w:t>
      </w:r>
    </w:p>
    <w:p>
      <w:pPr>
        <w:sectPr>
          <w:pgSz w:w="11900" w:h="16838" w:orient="portrait"/>
          <w:cols w:equalWidth="0" w:num="1">
            <w:col w:w="11240"/>
          </w:cols>
          <w:pgMar w:left="320" w:top="131" w:right="339" w:bottom="1440" w:gutter="0" w:footer="0" w:header="0"/>
        </w:sectPr>
      </w:pPr>
    </w:p>
    <w:p>
      <w:pPr>
        <w:spacing w:after="0" w:line="24" w:lineRule="exact"/>
        <w:rPr>
          <w:sz w:val="20"/>
          <w:szCs w:val="20"/>
          <w:color w:val="auto"/>
        </w:rPr>
      </w:pPr>
    </w:p>
    <w:p>
      <w:pPr>
        <w:ind w:left="1680" w:right="180"/>
        <w:spacing w:after="0" w:line="227" w:lineRule="auto"/>
        <w:rPr>
          <w:sz w:val="20"/>
          <w:szCs w:val="20"/>
          <w:color w:val="auto"/>
        </w:rPr>
      </w:pPr>
      <w:r>
        <w:rPr>
          <w:rFonts w:ascii="Arial" w:cs="Arial" w:eastAsia="Arial" w:hAnsi="Arial"/>
          <w:sz w:val="13"/>
          <w:szCs w:val="13"/>
          <w:color w:val="auto"/>
        </w:rPr>
        <w:t>DKK on , 2019, at the U.S. dollar/DKK exchange rate of as of , 2019 and an ADS-to-share ratio of to 1, would increase (decrease) our as adjusted cash position, total shareholders' equity and total capitalization by approximately DKK ($ ), assuming the number of ADSs offered by us, as set forth on the cover</w:t>
      </w:r>
    </w:p>
    <w:p>
      <w:pPr>
        <w:sectPr>
          <w:pgSz w:w="11900" w:h="16838" w:orient="portrait"/>
          <w:cols w:equalWidth="0" w:num="1">
            <w:col w:w="11240"/>
          </w:cols>
          <w:pgMar w:left="320" w:top="131" w:right="339" w:bottom="1440" w:gutter="0" w:footer="0" w:header="0"/>
          <w:type w:val="continuous"/>
        </w:sectPr>
      </w:pPr>
    </w:p>
    <w:p>
      <w:pPr>
        <w:spacing w:after="0" w:line="1"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page of this prospectus, remains the same, after deducting the underwriting commission and estimated offering expenses payable by us. We may also increase or decrease the</w:t>
      </w:r>
    </w:p>
    <w:p>
      <w:pPr>
        <w:sectPr>
          <w:pgSz w:w="11900" w:h="16838" w:orient="portrait"/>
          <w:cols w:equalWidth="0" w:num="1">
            <w:col w:w="11240"/>
          </w:cols>
          <w:pgMar w:left="320" w:top="131" w:right="339" w:bottom="1440" w:gutter="0" w:footer="0" w:header="0"/>
          <w:type w:val="continuous"/>
        </w:sectPr>
      </w:pPr>
    </w:p>
    <w:p>
      <w:pPr>
        <w:spacing w:after="0" w:line="11" w:lineRule="exact"/>
        <w:rPr>
          <w:sz w:val="20"/>
          <w:szCs w:val="20"/>
          <w:color w:val="auto"/>
        </w:rPr>
      </w:pPr>
    </w:p>
    <w:p>
      <w:pPr>
        <w:ind w:left="1680" w:right="520"/>
        <w:spacing w:after="0" w:line="258" w:lineRule="auto"/>
        <w:rPr>
          <w:sz w:val="20"/>
          <w:szCs w:val="20"/>
          <w:color w:val="auto"/>
        </w:rPr>
      </w:pPr>
      <w:r>
        <w:rPr>
          <w:rFonts w:ascii="Arial" w:cs="Arial" w:eastAsia="Arial" w:hAnsi="Arial"/>
          <w:sz w:val="12"/>
          <w:szCs w:val="12"/>
          <w:color w:val="auto"/>
        </w:rPr>
        <w:t>number of ADSs we are offering. An increase (decrease) of in the number of ADSs we are offering would increase (decrease) our as adjusted cash position, total shareholders' equity and total capitalization by approximately DKK ($ ), assuming the assumed initial public offering price per ADS remains the same, after</w:t>
      </w:r>
    </w:p>
    <w:p>
      <w:pPr>
        <w:sectPr>
          <w:pgSz w:w="11900" w:h="16838" w:orient="portrait"/>
          <w:cols w:equalWidth="0" w:num="1">
            <w:col w:w="11240"/>
          </w:cols>
          <w:pgMar w:left="320" w:top="131" w:right="339" w:bottom="1440" w:gutter="0" w:footer="0" w:header="0"/>
          <w:type w:val="continuous"/>
        </w:sectPr>
      </w:pPr>
    </w:p>
    <w:p>
      <w:pPr>
        <w:ind w:left="1680"/>
        <w:spacing w:after="0" w:line="218" w:lineRule="auto"/>
        <w:rPr>
          <w:sz w:val="20"/>
          <w:szCs w:val="20"/>
          <w:color w:val="auto"/>
        </w:rPr>
      </w:pPr>
      <w:r>
        <w:rPr>
          <w:rFonts w:ascii="Arial" w:cs="Arial" w:eastAsia="Arial" w:hAnsi="Arial"/>
          <w:sz w:val="13"/>
          <w:szCs w:val="13"/>
          <w:color w:val="auto"/>
        </w:rPr>
        <w:t>deducting the underwriting commission and estimated offering expenses payable by us. The as adjusted information is illustrative only, and we will adjust this information based on the actual initial public offering price and other terms of this offering determined at pricing.</w:t>
      </w:r>
    </w:p>
    <w:p>
      <w:pPr>
        <w:ind w:left="1680" w:hanging="549"/>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cash and cash equivalents and marketable securities.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color w:val="auto"/>
        </w:rPr>
        <w:t>If you invest in the ADSs in this offering, your interest will be immediately diluted to the extent of the difference between the initial public offering price per ADS in this offering and the net book value per ADS after this offering. Dilution results from the fact that the initial public offering price per ADS is</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substantially in excess of the net book value per ADS. As of December 31, 2018, we had a historical net book value per ADS of $ , or DKK per share. Our net book value per share represents total consolidated tangible assets less total consolidated liabilities, all divided by the number of shares outstanding as of December 31,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3"/>
          </w:tcPr>
          <w:p>
            <w:pPr>
              <w:ind w:left="340"/>
              <w:spacing w:after="0"/>
              <w:rPr>
                <w:sz w:val="20"/>
                <w:szCs w:val="20"/>
                <w:color w:val="auto"/>
              </w:rPr>
            </w:pPr>
            <w:r>
              <w:rPr>
                <w:rFonts w:ascii="Arial" w:cs="Arial" w:eastAsia="Arial" w:hAnsi="Arial"/>
                <w:sz w:val="18"/>
                <w:szCs w:val="18"/>
                <w:color w:val="auto"/>
              </w:rPr>
              <w:t>After giving effect to the sale of</w:t>
            </w:r>
          </w:p>
        </w:tc>
        <w:tc>
          <w:tcPr>
            <w:tcW w:w="5220" w:type="dxa"/>
            <w:vAlign w:val="bottom"/>
            <w:gridSpan w:val="6"/>
          </w:tcPr>
          <w:p>
            <w:pPr>
              <w:ind w:left="200"/>
              <w:spacing w:after="0"/>
              <w:rPr>
                <w:sz w:val="20"/>
                <w:szCs w:val="20"/>
                <w:color w:val="auto"/>
              </w:rPr>
            </w:pPr>
            <w:r>
              <w:rPr>
                <w:rFonts w:ascii="Arial" w:cs="Arial" w:eastAsia="Arial" w:hAnsi="Arial"/>
                <w:sz w:val="18"/>
                <w:szCs w:val="18"/>
                <w:color w:val="auto"/>
                <w:w w:val="94"/>
              </w:rPr>
              <w:t>ADSs in this offering at an assumed initial public offering price of $</w:t>
            </w:r>
          </w:p>
        </w:tc>
        <w:tc>
          <w:tcPr>
            <w:tcW w:w="3080" w:type="dxa"/>
            <w:vAlign w:val="bottom"/>
            <w:gridSpan w:val="6"/>
          </w:tcPr>
          <w:p>
            <w:pPr>
              <w:jc w:val="right"/>
              <w:spacing w:after="0"/>
              <w:rPr>
                <w:sz w:val="20"/>
                <w:szCs w:val="20"/>
                <w:color w:val="auto"/>
              </w:rPr>
            </w:pPr>
            <w:r>
              <w:rPr>
                <w:rFonts w:ascii="Arial" w:cs="Arial" w:eastAsia="Arial" w:hAnsi="Arial"/>
                <w:sz w:val="18"/>
                <w:szCs w:val="18"/>
                <w:color w:val="auto"/>
                <w:w w:val="92"/>
              </w:rPr>
              <w:t>per ADS, the U.S. dollar equivalent of the</w:t>
            </w:r>
          </w:p>
        </w:tc>
      </w:tr>
      <w:tr>
        <w:trPr>
          <w:trHeight w:val="216"/>
        </w:trPr>
        <w:tc>
          <w:tcPr>
            <w:tcW w:w="4420" w:type="dxa"/>
            <w:vAlign w:val="bottom"/>
            <w:gridSpan w:val="4"/>
          </w:tcPr>
          <w:p>
            <w:pPr>
              <w:spacing w:after="0"/>
              <w:rPr>
                <w:sz w:val="20"/>
                <w:szCs w:val="20"/>
                <w:color w:val="auto"/>
              </w:rPr>
            </w:pPr>
            <w:r>
              <w:rPr>
                <w:rFonts w:ascii="Arial" w:cs="Arial" w:eastAsia="Arial" w:hAnsi="Arial"/>
                <w:sz w:val="18"/>
                <w:szCs w:val="18"/>
                <w:color w:val="auto"/>
                <w:w w:val="93"/>
              </w:rPr>
              <w:t>closing price of our shares on Nasdaq Copenhagen of DKK</w:t>
            </w:r>
          </w:p>
        </w:tc>
        <w:tc>
          <w:tcPr>
            <w:tcW w:w="680" w:type="dxa"/>
            <w:vAlign w:val="bottom"/>
          </w:tcPr>
          <w:p>
            <w:pPr>
              <w:ind w:left="120"/>
              <w:spacing w:after="0"/>
              <w:rPr>
                <w:sz w:val="20"/>
                <w:szCs w:val="20"/>
                <w:color w:val="auto"/>
              </w:rPr>
            </w:pPr>
            <w:r>
              <w:rPr>
                <w:rFonts w:ascii="Arial" w:cs="Arial" w:eastAsia="Arial" w:hAnsi="Arial"/>
                <w:sz w:val="18"/>
                <w:szCs w:val="18"/>
                <w:color w:val="auto"/>
              </w:rPr>
              <w:t>on</w:t>
            </w:r>
          </w:p>
        </w:tc>
        <w:tc>
          <w:tcPr>
            <w:tcW w:w="3760" w:type="dxa"/>
            <w:vAlign w:val="bottom"/>
            <w:gridSpan w:val="5"/>
          </w:tcPr>
          <w:p>
            <w:pPr>
              <w:ind w:left="140"/>
              <w:spacing w:after="0"/>
              <w:rPr>
                <w:sz w:val="20"/>
                <w:szCs w:val="20"/>
                <w:color w:val="auto"/>
              </w:rPr>
            </w:pPr>
            <w:r>
              <w:rPr>
                <w:rFonts w:ascii="Arial" w:cs="Arial" w:eastAsia="Arial" w:hAnsi="Arial"/>
                <w:sz w:val="18"/>
                <w:szCs w:val="18"/>
                <w:color w:val="auto"/>
                <w:w w:val="95"/>
              </w:rPr>
              <w:t>, 2019, at the DKK/U.S. dollar exchange rate of</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as of</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 2019, multiplied</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w w:val="98"/>
              </w:rPr>
              <w:t>by the ADS-to-share ratio of</w:t>
            </w:r>
          </w:p>
        </w:tc>
        <w:tc>
          <w:tcPr>
            <w:tcW w:w="9000" w:type="dxa"/>
            <w:vAlign w:val="bottom"/>
            <w:gridSpan w:val="13"/>
          </w:tcPr>
          <w:p>
            <w:pPr>
              <w:jc w:val="right"/>
              <w:ind w:right="272"/>
              <w:spacing w:after="0"/>
              <w:rPr>
                <w:sz w:val="20"/>
                <w:szCs w:val="20"/>
                <w:color w:val="auto"/>
              </w:rPr>
            </w:pPr>
            <w:r>
              <w:rPr>
                <w:rFonts w:ascii="Arial" w:cs="Arial" w:eastAsia="Arial" w:hAnsi="Arial"/>
                <w:sz w:val="18"/>
                <w:szCs w:val="18"/>
                <w:color w:val="auto"/>
                <w:w w:val="89"/>
              </w:rPr>
              <w:t>to 1, and after deducting the underwriting commission and estimated offering expenses, our as adjusted net book value at</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w w:val="92"/>
              </w:rPr>
              <w:t>December 31, 2018 would have been $</w:t>
            </w:r>
          </w:p>
        </w:tc>
        <w:tc>
          <w:tcPr>
            <w:tcW w:w="1500" w:type="dxa"/>
            <w:vAlign w:val="bottom"/>
          </w:tcPr>
          <w:p>
            <w:pPr>
              <w:ind w:left="180"/>
              <w:spacing w:after="0"/>
              <w:rPr>
                <w:sz w:val="20"/>
                <w:szCs w:val="20"/>
                <w:color w:val="auto"/>
              </w:rPr>
            </w:pPr>
            <w:r>
              <w:rPr>
                <w:rFonts w:ascii="Arial" w:cs="Arial" w:eastAsia="Arial" w:hAnsi="Arial"/>
                <w:sz w:val="18"/>
                <w:szCs w:val="18"/>
                <w:color w:val="auto"/>
              </w:rPr>
              <w:t>per share, or $</w:t>
            </w:r>
          </w:p>
        </w:tc>
        <w:tc>
          <w:tcPr>
            <w:tcW w:w="6200" w:type="dxa"/>
            <w:vAlign w:val="bottom"/>
            <w:gridSpan w:val="10"/>
          </w:tcPr>
          <w:p>
            <w:pPr>
              <w:ind w:left="40"/>
              <w:spacing w:after="0"/>
              <w:rPr>
                <w:sz w:val="20"/>
                <w:szCs w:val="20"/>
                <w:color w:val="auto"/>
              </w:rPr>
            </w:pPr>
            <w:r>
              <w:rPr>
                <w:rFonts w:ascii="Arial" w:cs="Arial" w:eastAsia="Arial" w:hAnsi="Arial"/>
                <w:sz w:val="18"/>
                <w:szCs w:val="18"/>
                <w:color w:val="auto"/>
                <w:w w:val="88"/>
              </w:rPr>
              <w:t>per ADS. This represents an immediate increase in the as adjusted net book value of $</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per</w:t>
            </w:r>
          </w:p>
        </w:tc>
      </w:tr>
      <w:tr>
        <w:trPr>
          <w:trHeight w:val="222"/>
        </w:trPr>
        <w:tc>
          <w:tcPr>
            <w:tcW w:w="4420" w:type="dxa"/>
            <w:vAlign w:val="bottom"/>
            <w:gridSpan w:val="4"/>
          </w:tcPr>
          <w:p>
            <w:pPr>
              <w:spacing w:after="0"/>
              <w:rPr>
                <w:sz w:val="20"/>
                <w:szCs w:val="20"/>
                <w:color w:val="auto"/>
              </w:rPr>
            </w:pPr>
            <w:r>
              <w:rPr>
                <w:rFonts w:ascii="Arial" w:cs="Arial" w:eastAsia="Arial" w:hAnsi="Arial"/>
                <w:sz w:val="18"/>
                <w:szCs w:val="18"/>
                <w:color w:val="auto"/>
                <w:w w:val="90"/>
              </w:rPr>
              <w:t>share to existing shareholders and an immediate dilution of $</w:t>
            </w:r>
          </w:p>
        </w:tc>
        <w:tc>
          <w:tcPr>
            <w:tcW w:w="6200" w:type="dxa"/>
            <w:vAlign w:val="bottom"/>
            <w:gridSpan w:val="10"/>
          </w:tcPr>
          <w:p>
            <w:pPr>
              <w:ind w:left="220"/>
              <w:spacing w:after="0"/>
              <w:rPr>
                <w:sz w:val="20"/>
                <w:szCs w:val="20"/>
                <w:color w:val="auto"/>
              </w:rPr>
            </w:pPr>
            <w:r>
              <w:rPr>
                <w:rFonts w:ascii="Arial" w:cs="Arial" w:eastAsia="Arial" w:hAnsi="Arial"/>
                <w:sz w:val="18"/>
                <w:szCs w:val="18"/>
                <w:color w:val="auto"/>
                <w:w w:val="96"/>
              </w:rPr>
              <w:t>per ADS to new investors. The following table illustrates this dilution per ADS:</w:t>
            </w:r>
          </w:p>
        </w:tc>
        <w:tc>
          <w:tcPr>
            <w:tcW w:w="600" w:type="dxa"/>
            <w:vAlign w:val="bottom"/>
          </w:tcPr>
          <w:p>
            <w:pPr>
              <w:spacing w:after="0"/>
              <w:rPr>
                <w:sz w:val="19"/>
                <w:szCs w:val="19"/>
                <w:color w:val="auto"/>
              </w:rPr>
            </w:pPr>
          </w:p>
        </w:tc>
      </w:tr>
      <w:tr>
        <w:trPr>
          <w:trHeight w:val="218"/>
        </w:trPr>
        <w:tc>
          <w:tcPr>
            <w:tcW w:w="1120" w:type="dxa"/>
            <w:vAlign w:val="bottom"/>
          </w:tcPr>
          <w:p>
            <w:pPr>
              <w:spacing w:after="0"/>
              <w:rPr>
                <w:sz w:val="18"/>
                <w:szCs w:val="18"/>
                <w:color w:val="auto"/>
              </w:rPr>
            </w:pPr>
          </w:p>
        </w:tc>
        <w:tc>
          <w:tcPr>
            <w:tcW w:w="330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1"/>
              </w:rPr>
              <w:t>Assumed initial public offering price per ADS</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680" w:type="dxa"/>
            <w:vAlign w:val="bottom"/>
            <w:gridSpan w:val="5"/>
          </w:tcPr>
          <w:p>
            <w:pPr>
              <w:ind w:left="20"/>
              <w:spacing w:after="0"/>
              <w:rPr>
                <w:sz w:val="20"/>
                <w:szCs w:val="20"/>
                <w:color w:val="auto"/>
              </w:rPr>
            </w:pPr>
            <w:r>
              <w:rPr>
                <w:rFonts w:ascii="Arial" w:cs="Arial" w:eastAsia="Arial" w:hAnsi="Arial"/>
                <w:sz w:val="18"/>
                <w:szCs w:val="18"/>
                <w:color w:val="auto"/>
                <w:w w:val="97"/>
              </w:rPr>
              <w:t>Historical net book value per ADS as of December 31, 2018</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0"/>
              </w:rPr>
              <w:t>Increase in net book value per ADS attributable to new investors purchasing ADSs in this offering</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80" w:type="dxa"/>
            <w:vAlign w:val="bottom"/>
            <w:gridSpan w:val="4"/>
          </w:tcPr>
          <w:p>
            <w:pPr>
              <w:ind w:left="20"/>
              <w:spacing w:after="0"/>
              <w:rPr>
                <w:sz w:val="20"/>
                <w:szCs w:val="20"/>
                <w:color w:val="auto"/>
              </w:rPr>
            </w:pPr>
            <w:r>
              <w:rPr>
                <w:rFonts w:ascii="Arial" w:cs="Arial" w:eastAsia="Arial" w:hAnsi="Arial"/>
                <w:sz w:val="18"/>
                <w:szCs w:val="18"/>
                <w:color w:val="auto"/>
                <w:w w:val="91"/>
              </w:rPr>
              <w:t>As adjusted net book value per ADS after this offering</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6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5"/>
              </w:rPr>
              <w:t>Dilution per ADS to new investors participating in this offering</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7"/>
        </w:trPr>
        <w:tc>
          <w:tcPr>
            <w:tcW w:w="5800" w:type="dxa"/>
            <w:vAlign w:val="bottom"/>
            <w:gridSpan w:val="6"/>
          </w:tcPr>
          <w:p>
            <w:pPr>
              <w:ind w:left="340"/>
              <w:spacing w:after="0"/>
              <w:rPr>
                <w:sz w:val="20"/>
                <w:szCs w:val="20"/>
                <w:color w:val="auto"/>
              </w:rPr>
            </w:pPr>
            <w:r>
              <w:rPr>
                <w:rFonts w:ascii="Arial" w:cs="Arial" w:eastAsia="Arial" w:hAnsi="Arial"/>
                <w:sz w:val="18"/>
                <w:szCs w:val="18"/>
                <w:color w:val="auto"/>
                <w:w w:val="91"/>
              </w:rPr>
              <w:t>A $1.00 increase (decrease) in the assumed initial public offering price of $</w:t>
            </w:r>
          </w:p>
        </w:tc>
        <w:tc>
          <w:tcPr>
            <w:tcW w:w="5420" w:type="dxa"/>
            <w:vAlign w:val="bottom"/>
            <w:gridSpan w:val="9"/>
          </w:tcPr>
          <w:p>
            <w:pPr>
              <w:jc w:val="right"/>
              <w:ind w:right="72"/>
              <w:spacing w:after="0"/>
              <w:rPr>
                <w:sz w:val="20"/>
                <w:szCs w:val="20"/>
                <w:color w:val="auto"/>
              </w:rPr>
            </w:pPr>
            <w:r>
              <w:rPr>
                <w:rFonts w:ascii="Arial" w:cs="Arial" w:eastAsia="Arial" w:hAnsi="Arial"/>
                <w:sz w:val="18"/>
                <w:szCs w:val="18"/>
                <w:color w:val="auto"/>
                <w:w w:val="92"/>
              </w:rPr>
              <w:t>per ADS, the U.S. dollar equivalent of the closing price of our shares on</w:t>
            </w: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w w:val="94"/>
              </w:rPr>
              <w:t>Nasdaq Copenhagen of DKK</w:t>
            </w:r>
          </w:p>
        </w:tc>
        <w:tc>
          <w:tcPr>
            <w:tcW w:w="700" w:type="dxa"/>
            <w:vAlign w:val="bottom"/>
          </w:tcPr>
          <w:p>
            <w:pPr>
              <w:ind w:left="200"/>
              <w:spacing w:after="0"/>
              <w:rPr>
                <w:sz w:val="20"/>
                <w:szCs w:val="20"/>
                <w:color w:val="auto"/>
              </w:rPr>
            </w:pPr>
            <w:r>
              <w:rPr>
                <w:rFonts w:ascii="Arial" w:cs="Arial" w:eastAsia="Arial" w:hAnsi="Arial"/>
                <w:sz w:val="18"/>
                <w:szCs w:val="18"/>
                <w:color w:val="auto"/>
              </w:rPr>
              <w:t>on</w:t>
            </w:r>
          </w:p>
        </w:tc>
        <w:tc>
          <w:tcPr>
            <w:tcW w:w="3820" w:type="dxa"/>
            <w:vAlign w:val="bottom"/>
            <w:gridSpan w:val="4"/>
          </w:tcPr>
          <w:p>
            <w:pPr>
              <w:ind w:left="200"/>
              <w:spacing w:after="0"/>
              <w:rPr>
                <w:sz w:val="20"/>
                <w:szCs w:val="20"/>
                <w:color w:val="auto"/>
              </w:rPr>
            </w:pPr>
            <w:r>
              <w:rPr>
                <w:rFonts w:ascii="Arial" w:cs="Arial" w:eastAsia="Arial" w:hAnsi="Arial"/>
                <w:sz w:val="18"/>
                <w:szCs w:val="18"/>
                <w:color w:val="auto"/>
                <w:w w:val="95"/>
              </w:rPr>
              <w:t>, 2019, at the DKK/U.S. dollar exchange rate of</w:t>
            </w:r>
          </w:p>
        </w:tc>
        <w:tc>
          <w:tcPr>
            <w:tcW w:w="860" w:type="dxa"/>
            <w:vAlign w:val="bottom"/>
          </w:tcPr>
          <w:p>
            <w:pPr>
              <w:ind w:left="260"/>
              <w:spacing w:after="0"/>
              <w:rPr>
                <w:sz w:val="20"/>
                <w:szCs w:val="20"/>
                <w:color w:val="auto"/>
              </w:rPr>
            </w:pPr>
            <w:r>
              <w:rPr>
                <w:rFonts w:ascii="Arial" w:cs="Arial" w:eastAsia="Arial" w:hAnsi="Arial"/>
                <w:sz w:val="18"/>
                <w:szCs w:val="18"/>
                <w:color w:val="auto"/>
              </w:rPr>
              <w:t>as of</w:t>
            </w:r>
          </w:p>
        </w:tc>
        <w:tc>
          <w:tcPr>
            <w:tcW w:w="3020" w:type="dxa"/>
            <w:vAlign w:val="bottom"/>
            <w:gridSpan w:val="6"/>
          </w:tcPr>
          <w:p>
            <w:pPr>
              <w:ind w:left="260"/>
              <w:spacing w:after="0"/>
              <w:rPr>
                <w:sz w:val="20"/>
                <w:szCs w:val="20"/>
                <w:color w:val="auto"/>
              </w:rPr>
            </w:pPr>
            <w:r>
              <w:rPr>
                <w:rFonts w:ascii="Arial" w:cs="Arial" w:eastAsia="Arial" w:hAnsi="Arial"/>
                <w:sz w:val="18"/>
                <w:szCs w:val="18"/>
                <w:color w:val="auto"/>
                <w:w w:val="96"/>
              </w:rPr>
              <w:t>, 2019 and an ADS-to-share ratio of</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to 1,</w:t>
            </w:r>
          </w:p>
        </w:tc>
      </w:tr>
    </w:tbl>
    <w:p>
      <w:pPr>
        <w:spacing w:after="0"/>
        <w:rPr>
          <w:sz w:val="20"/>
          <w:szCs w:val="20"/>
          <w:color w:val="auto"/>
        </w:rPr>
      </w:pPr>
      <w:r>
        <w:rPr>
          <w:rFonts w:ascii="Arial" w:cs="Arial" w:eastAsia="Arial" w:hAnsi="Arial"/>
          <w:sz w:val="16"/>
          <w:szCs w:val="16"/>
          <w:color w:val="auto"/>
        </w:rPr>
        <w:t>would increase (decrease) our as adjusted net book value as of December 31, 2018, after giving effect to this offering (excluding the potential exercise by the</w:t>
      </w:r>
    </w:p>
    <w:p>
      <w:pPr>
        <w:spacing w:after="0" w:line="39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underwriters of their option to purchase additional ADSs) by approximately DKK per share, or $ per ADS, and would increase (decrease) dilution to investors in this offering by $ per ADS assuming that the number of ADSs offered by us, as set forth on the cover page of this prospectus, remains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same, after deducting the underwriting commission and estimated offering expenses payable by us. We may also increase or decrease the number of ADSs we</w:t>
      </w:r>
    </w:p>
    <w:p>
      <w:pPr>
        <w:spacing w:after="0" w:line="44" w:lineRule="exact"/>
        <w:rPr>
          <w:sz w:val="20"/>
          <w:szCs w:val="20"/>
          <w:color w:val="auto"/>
        </w:rPr>
      </w:pPr>
    </w:p>
    <w:p>
      <w:pPr>
        <w:ind w:right="340"/>
        <w:spacing w:after="0" w:line="840" w:lineRule="auto"/>
        <w:rPr>
          <w:sz w:val="20"/>
          <w:szCs w:val="20"/>
          <w:color w:val="auto"/>
        </w:rPr>
      </w:pPr>
      <w:r>
        <w:rPr>
          <w:rFonts w:ascii="Arial" w:cs="Arial" w:eastAsia="Arial" w:hAnsi="Arial"/>
          <w:sz w:val="16"/>
          <w:szCs w:val="16"/>
          <w:color w:val="auto"/>
        </w:rPr>
        <w:t>are offering. An increase (decrease) of in the number of ADSs we are offering would increase (decrease) our as adjusted net book value as of December 31, 2018 after giving effect to this offering (excluding the potential exercise by the underwriters of their option to purchase additional ADSs)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approximately DKK per share ($ ), or approximately $ per ADS, and would decrease (increase) dilution to investors in this offering by approximately $ per ADS, assuming the assumed initial public offering price per ADS remains the same, after deducting the underwriting commission and</w:t>
      </w:r>
    </w:p>
    <w:p>
      <w:pPr>
        <w:spacing w:after="0" w:line="1" w:lineRule="exact"/>
        <w:rPr>
          <w:sz w:val="20"/>
          <w:szCs w:val="20"/>
          <w:color w:val="auto"/>
        </w:rPr>
      </w:pPr>
    </w:p>
    <w:p>
      <w:pPr>
        <w:ind w:right="60"/>
        <w:spacing w:after="0" w:line="1403" w:lineRule="auto"/>
        <w:rPr>
          <w:sz w:val="20"/>
          <w:szCs w:val="20"/>
          <w:color w:val="auto"/>
        </w:rPr>
      </w:pPr>
      <w:r>
        <w:rPr>
          <w:rFonts w:ascii="Arial" w:cs="Arial" w:eastAsia="Arial" w:hAnsi="Arial"/>
          <w:sz w:val="16"/>
          <w:szCs w:val="16"/>
          <w:color w:val="auto"/>
        </w:rPr>
        <w:t>estimated offering expenses payable by us. The as adjusted information is illustrative only, and we will adjust this information based on the actual initial public offering price and other terms of this offering determined at pricing. If the underwriters fully exercise their option to purchase additional ADSs, the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book value after this offering would increase to approximately $ per ADS, and there would be an immediate dilution of approximately $ per ADS to new investors.</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equity 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304" w:lineRule="auto"/>
        <w:rPr>
          <w:sz w:val="20"/>
          <w:szCs w:val="20"/>
          <w:color w:val="auto"/>
        </w:rPr>
      </w:pPr>
      <w:r>
        <w:rPr>
          <w:rFonts w:ascii="Arial" w:cs="Arial" w:eastAsia="Arial" w:hAnsi="Arial"/>
          <w:sz w:val="15"/>
          <w:szCs w:val="15"/>
          <w:color w:val="auto"/>
        </w:rPr>
        <w:t>The following table shows, as of December 31, 2018, on an as adjusted basis, the number of ADSs purchased from us, the total consideration paid to us and the average price paid per share by existing shareholders and by new investors purchasing ADSs in this offering at an assumed initial public offering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of $</w:t>
            </w:r>
          </w:p>
        </w:tc>
        <w:tc>
          <w:tcPr>
            <w:tcW w:w="7420" w:type="dxa"/>
            <w:vAlign w:val="bottom"/>
            <w:gridSpan w:val="18"/>
          </w:tcPr>
          <w:p>
            <w:pPr>
              <w:ind w:left="180"/>
              <w:spacing w:after="0"/>
              <w:rPr>
                <w:sz w:val="20"/>
                <w:szCs w:val="20"/>
                <w:color w:val="auto"/>
              </w:rPr>
            </w:pPr>
            <w:r>
              <w:rPr>
                <w:rFonts w:ascii="Arial" w:cs="Arial" w:eastAsia="Arial" w:hAnsi="Arial"/>
                <w:sz w:val="18"/>
                <w:szCs w:val="18"/>
                <w:color w:val="auto"/>
                <w:w w:val="89"/>
              </w:rPr>
              <w:t>per ADS, the U.S. dollar equivalent of the closing price of our shares on Nasdaq Copenhagen of DKK</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on</w:t>
            </w:r>
          </w:p>
        </w:tc>
        <w:tc>
          <w:tcPr>
            <w:tcW w:w="2540" w:type="dxa"/>
            <w:vAlign w:val="bottom"/>
            <w:gridSpan w:val="5"/>
          </w:tcPr>
          <w:p>
            <w:pPr>
              <w:ind w:left="380"/>
              <w:spacing w:after="0"/>
              <w:rPr>
                <w:sz w:val="20"/>
                <w:szCs w:val="20"/>
                <w:color w:val="auto"/>
              </w:rPr>
            </w:pPr>
            <w:r>
              <w:rPr>
                <w:rFonts w:ascii="Arial" w:cs="Arial" w:eastAsia="Arial" w:hAnsi="Arial"/>
                <w:sz w:val="18"/>
                <w:szCs w:val="18"/>
                <w:color w:val="auto"/>
                <w:w w:val="90"/>
              </w:rPr>
              <w:t>, 2019, at the DKK/U.S. dollar</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exchange rate of</w:t>
            </w:r>
          </w:p>
        </w:tc>
        <w:tc>
          <w:tcPr>
            <w:tcW w:w="740" w:type="dxa"/>
            <w:vAlign w:val="bottom"/>
          </w:tcPr>
          <w:p>
            <w:pPr>
              <w:ind w:left="100"/>
              <w:spacing w:after="0"/>
              <w:rPr>
                <w:sz w:val="20"/>
                <w:szCs w:val="20"/>
                <w:color w:val="auto"/>
              </w:rPr>
            </w:pPr>
            <w:r>
              <w:rPr>
                <w:rFonts w:ascii="Arial" w:cs="Arial" w:eastAsia="Arial" w:hAnsi="Arial"/>
                <w:sz w:val="18"/>
                <w:szCs w:val="18"/>
                <w:color w:val="auto"/>
              </w:rPr>
              <w:t>as of</w:t>
            </w:r>
          </w:p>
        </w:tc>
        <w:tc>
          <w:tcPr>
            <w:tcW w:w="3580" w:type="dxa"/>
            <w:vAlign w:val="bottom"/>
            <w:gridSpan w:val="9"/>
          </w:tcPr>
          <w:p>
            <w:pPr>
              <w:ind w:left="220"/>
              <w:spacing w:after="0"/>
              <w:rPr>
                <w:sz w:val="20"/>
                <w:szCs w:val="20"/>
                <w:color w:val="auto"/>
              </w:rPr>
            </w:pPr>
            <w:r>
              <w:rPr>
                <w:rFonts w:ascii="Arial" w:cs="Arial" w:eastAsia="Arial" w:hAnsi="Arial"/>
                <w:sz w:val="18"/>
                <w:szCs w:val="18"/>
                <w:color w:val="auto"/>
                <w:w w:val="91"/>
              </w:rPr>
              <w:t>, 2019, multiplied by the ADS-to-share ratio of</w:t>
            </w:r>
          </w:p>
        </w:tc>
        <w:tc>
          <w:tcPr>
            <w:tcW w:w="260" w:type="dxa"/>
            <w:vAlign w:val="bottom"/>
          </w:tcPr>
          <w:p>
            <w:pPr>
              <w:spacing w:after="0"/>
              <w:rPr>
                <w:sz w:val="18"/>
                <w:szCs w:val="18"/>
                <w:color w:val="auto"/>
              </w:rPr>
            </w:pPr>
          </w:p>
        </w:tc>
        <w:tc>
          <w:tcPr>
            <w:tcW w:w="4840" w:type="dxa"/>
            <w:vAlign w:val="bottom"/>
            <w:gridSpan w:val="13"/>
          </w:tcPr>
          <w:p>
            <w:pPr>
              <w:ind w:left="20"/>
              <w:spacing w:after="0"/>
              <w:rPr>
                <w:sz w:val="20"/>
                <w:szCs w:val="20"/>
                <w:color w:val="auto"/>
              </w:rPr>
            </w:pPr>
            <w:r>
              <w:rPr>
                <w:rFonts w:ascii="Arial" w:cs="Arial" w:eastAsia="Arial" w:hAnsi="Arial"/>
                <w:sz w:val="18"/>
                <w:szCs w:val="18"/>
                <w:color w:val="auto"/>
                <w:w w:val="91"/>
              </w:rPr>
              <w:t>to 1, before deducting the underwriting commission and estimated</w:t>
            </w:r>
          </w:p>
        </w:tc>
        <w:tc>
          <w:tcPr>
            <w:tcW w:w="0" w:type="dxa"/>
            <w:vAlign w:val="bottom"/>
          </w:tcPr>
          <w:p>
            <w:pPr>
              <w:spacing w:after="0"/>
              <w:rPr>
                <w:sz w:val="1"/>
                <w:szCs w:val="1"/>
                <w:color w:val="auto"/>
              </w:rPr>
            </w:pPr>
          </w:p>
        </w:tc>
      </w:tr>
      <w:tr>
        <w:trPr>
          <w:trHeight w:val="222"/>
        </w:trPr>
        <w:tc>
          <w:tcPr>
            <w:tcW w:w="7240" w:type="dxa"/>
            <w:vAlign w:val="bottom"/>
            <w:gridSpan w:val="17"/>
          </w:tcPr>
          <w:p>
            <w:pPr>
              <w:spacing w:after="0"/>
              <w:rPr>
                <w:sz w:val="20"/>
                <w:szCs w:val="20"/>
                <w:color w:val="auto"/>
              </w:rPr>
            </w:pPr>
            <w:r>
              <w:rPr>
                <w:rFonts w:ascii="Arial" w:cs="Arial" w:eastAsia="Arial" w:hAnsi="Arial"/>
                <w:sz w:val="18"/>
                <w:szCs w:val="18"/>
                <w:color w:val="auto"/>
                <w:w w:val="87"/>
              </w:rPr>
              <w:t>offering expenses payable by us (in thousands, except share and per share amounts and percentages):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9"/>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4"/>
              </w:rPr>
              <w:t>Total Consideration</w:t>
            </w:r>
          </w:p>
        </w:tc>
        <w:tc>
          <w:tcPr>
            <w:tcW w:w="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24"/>
                <w:szCs w:val="24"/>
                <w:color w:val="auto"/>
              </w:rPr>
            </w:pPr>
          </w:p>
        </w:tc>
        <w:tc>
          <w:tcPr>
            <w:tcW w:w="1720" w:type="dxa"/>
            <w:vAlign w:val="bottom"/>
            <w:gridSpan w:val="3"/>
            <w:vMerge w:val="restart"/>
          </w:tcPr>
          <w:p>
            <w:pPr>
              <w:jc w:val="center"/>
              <w:ind w:right="96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412"/>
              <w:spacing w:after="0" w:line="169" w:lineRule="exact"/>
              <w:rPr>
                <w:sz w:val="20"/>
                <w:szCs w:val="20"/>
                <w:color w:val="auto"/>
              </w:rPr>
            </w:pPr>
            <w:r>
              <w:rPr>
                <w:rFonts w:ascii="Arial" w:cs="Arial" w:eastAsia="Arial" w:hAnsi="Arial"/>
                <w:sz w:val="12"/>
                <w:szCs w:val="12"/>
                <w:b w:val="1"/>
                <w:bCs w:val="1"/>
                <w:color w:val="auto"/>
              </w:rPr>
              <w:t>ADS Purchased</w:t>
            </w:r>
            <w:r>
              <w:rPr>
                <w:rFonts w:ascii="Arial" w:cs="Arial" w:eastAsia="Arial" w:hAnsi="Arial"/>
                <w:sz w:val="19"/>
                <w:szCs w:val="19"/>
                <w:b w:val="1"/>
                <w:bCs w:val="1"/>
                <w:color w:val="auto"/>
                <w:vertAlign w:val="superscript"/>
              </w:rPr>
              <w:t>(1)</w:t>
            </w:r>
          </w:p>
        </w:tc>
        <w:tc>
          <w:tcPr>
            <w:tcW w:w="1280" w:type="dxa"/>
            <w:vAlign w:val="bottom"/>
            <w:gridSpan w:val="3"/>
          </w:tcPr>
          <w:p>
            <w:pPr>
              <w:ind w:left="240"/>
              <w:spacing w:after="0"/>
              <w:rPr>
                <w:sz w:val="20"/>
                <w:szCs w:val="20"/>
                <w:color w:val="auto"/>
              </w:rPr>
            </w:pPr>
            <w:r>
              <w:rPr>
                <w:rFonts w:ascii="Arial" w:cs="Arial" w:eastAsia="Arial" w:hAnsi="Arial"/>
                <w:sz w:val="13"/>
                <w:szCs w:val="13"/>
                <w:b w:val="1"/>
                <w:bCs w:val="1"/>
                <w:color w:val="auto"/>
                <w:w w:val="89"/>
              </w:rPr>
              <w:t>Shares Purchased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restart"/>
          </w:tcPr>
          <w:p>
            <w:pPr>
              <w:jc w:val="center"/>
              <w:ind w:right="14"/>
              <w:spacing w:after="0" w:line="10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center"/>
              <w:ind w:right="29"/>
              <w:spacing w:after="0" w:line="109" w:lineRule="exact"/>
              <w:rPr>
                <w:sz w:val="20"/>
                <w:szCs w:val="20"/>
                <w:color w:val="auto"/>
              </w:rPr>
            </w:pPr>
            <w:r>
              <w:rPr>
                <w:rFonts w:ascii="Arial" w:cs="Arial" w:eastAsia="Arial" w:hAnsi="Arial"/>
                <w:sz w:val="12"/>
                <w:szCs w:val="12"/>
                <w:b w:val="1"/>
                <w:bCs w:val="1"/>
                <w:color w:val="auto"/>
              </w:rPr>
              <w:t>Price per</w:t>
            </w:r>
          </w:p>
        </w:tc>
        <w:tc>
          <w:tcPr>
            <w:tcW w:w="160" w:type="dxa"/>
            <w:vAlign w:val="bottom"/>
            <w:vMerge w:val="restart"/>
          </w:tcPr>
          <w:p>
            <w:pPr>
              <w:spacing w:after="0"/>
              <w:rPr>
                <w:sz w:val="2"/>
                <w:szCs w:val="2"/>
                <w:color w:val="auto"/>
              </w:rPr>
            </w:pPr>
          </w:p>
        </w:tc>
        <w:tc>
          <w:tcPr>
            <w:tcW w:w="1720" w:type="dxa"/>
            <w:vAlign w:val="bottom"/>
            <w:gridSpan w:val="3"/>
            <w:vMerge w:val="restart"/>
          </w:tcPr>
          <w:p>
            <w:pPr>
              <w:jc w:val="center"/>
              <w:ind w:right="960"/>
              <w:spacing w:after="0" w:line="109" w:lineRule="exact"/>
              <w:rPr>
                <w:sz w:val="20"/>
                <w:szCs w:val="20"/>
                <w:color w:val="auto"/>
              </w:rPr>
            </w:pPr>
            <w:r>
              <w:rPr>
                <w:rFonts w:ascii="Arial" w:cs="Arial" w:eastAsia="Arial" w:hAnsi="Arial"/>
                <w:sz w:val="12"/>
                <w:szCs w:val="12"/>
                <w:b w:val="1"/>
                <w:bCs w:val="1"/>
                <w:color w:val="auto"/>
              </w:rPr>
              <w:t>Price per</w:t>
            </w:r>
          </w:p>
        </w:tc>
        <w:tc>
          <w:tcPr>
            <w:tcW w:w="0" w:type="dxa"/>
            <w:vAlign w:val="bottom"/>
          </w:tcPr>
          <w:p>
            <w:pPr>
              <w:spacing w:after="0"/>
              <w:rPr>
                <w:sz w:val="1"/>
                <w:szCs w:val="1"/>
                <w:color w:val="auto"/>
              </w:rPr>
            </w:pPr>
          </w:p>
        </w:tc>
      </w:tr>
      <w:tr>
        <w:trPr>
          <w:trHeight w:val="62"/>
        </w:trPr>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Percentage</w:t>
            </w:r>
          </w:p>
        </w:tc>
        <w:tc>
          <w:tcPr>
            <w:tcW w:w="220" w:type="dxa"/>
            <w:vAlign w:val="bottom"/>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(in millions)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ADS</w:t>
            </w: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Existing shareholders</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100% $</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New investors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660" w:type="dxa"/>
            <w:vAlign w:val="bottom"/>
          </w:tcPr>
          <w:p>
            <w:pPr>
              <w:spacing w:after="0"/>
              <w:rPr>
                <w:sz w:val="18"/>
                <w:szCs w:val="18"/>
                <w:color w:val="auto"/>
              </w:rPr>
            </w:pPr>
          </w:p>
        </w:tc>
        <w:tc>
          <w:tcPr>
            <w:tcW w:w="920" w:type="dxa"/>
            <w:vAlign w:val="bottom"/>
            <w:gridSpan w:val="2"/>
          </w:tcPr>
          <w:p>
            <w:pPr>
              <w:jc w:val="right"/>
              <w:ind w:right="6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220"/>
          </w:cols>
          <w:pgMar w:left="320" w:top="131" w:right="359" w:bottom="1440" w:gutter="0" w:footer="0" w:header="0"/>
        </w:sectPr>
      </w:pPr>
    </w:p>
    <w:p>
      <w:pPr>
        <w:ind w:left="1140"/>
        <w:spacing w:after="0"/>
        <w:tabs>
          <w:tab w:leader="none" w:pos="166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1"/>
          <w:szCs w:val="11"/>
          <w:color w:val="auto"/>
        </w:rPr>
        <w:t>Each ADS represents</w:t>
      </w:r>
    </w:p>
    <w:p>
      <w:pPr>
        <w:spacing w:after="0" w:line="34"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subscribe.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of one share and as such any sale of ADSs will be reflected in the amount of the new shares which we will issue and for which the underwriters will</w:t>
      </w:r>
    </w:p>
    <w:p>
      <w:pPr>
        <w:spacing w:after="0" w:line="372" w:lineRule="exact"/>
        <w:rPr>
          <w:sz w:val="20"/>
          <w:szCs w:val="20"/>
          <w:color w:val="auto"/>
        </w:rPr>
      </w:pPr>
    </w:p>
    <w:p>
      <w:pPr>
        <w:sectPr>
          <w:pgSz w:w="11900" w:h="16838" w:orient="portrait"/>
          <w:cols w:equalWidth="0" w:num="2">
            <w:col w:w="2820" w:space="400"/>
            <w:col w:w="8000"/>
          </w:cols>
          <w:pgMar w:left="320" w:top="131" w:right="359" w:bottom="1440" w:gutter="0" w:footer="0" w:header="0"/>
          <w:type w:val="continuous"/>
        </w:sectPr>
      </w:pPr>
    </w:p>
    <w:p>
      <w:pPr>
        <w:spacing w:after="0" w:line="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$1.00 increase (decrease) in the assumed initial public offering price of $ per ADS, the U.S. dollar equivalent of the closing price of our shares on Nasdaq Copenhagen of DKK on , 2019, at DKK/U.S. dollar exchange rate of as of , 2019 and an ADS-to-share ratio of to 1, would increase (decrease) total consideration paid by new investors by , assuming that the number of ADSs offered by us, as set forth on the cover page of this prospectus, remains the same, after deducting the estimated underwriting commission and estimated offering expenses payable by us.</w:t>
      </w:r>
    </w:p>
    <w:p>
      <w:pPr>
        <w:spacing w:after="0" w:line="16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number of shares and ADSs outstanding after this offering is based on the number of shares outstanding as of December 31, 2018, and excludes up to shares that may be issued upon the exercise of warrants outstanding as of December 31, 2018, and assumes no exercise of the underwriters' option to purchase up to additional ADSs.</w:t>
      </w:r>
    </w:p>
    <w:p>
      <w:pPr>
        <w:sectPr>
          <w:pgSz w:w="11900" w:h="16838" w:orient="portrait"/>
          <w:cols w:equalWidth="0" w:num="1">
            <w:col w:w="11220"/>
          </w:cols>
          <w:pgMar w:left="320" w:top="131" w:right="359" w:bottom="1440" w:gutter="0" w:footer="0" w:header="0"/>
          <w:type w:val="continuous"/>
        </w:sectPr>
      </w:pP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the extent that warrants are exercised or we issue additional ADSs or shares, including shares underlying additional ADSs, in the future, there will be further dilution to investors participating in the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following tables present selected consolidated financial data of our business. We derived the selected consolidated income statement data for the years ended December 31, 2018 and 2017 and the selected consolidated balance sheet data as of December 31, 2018 and 2017 from our audited consolidated financial statements included elsewhere in this prospectus. We maintain our books and records and report our financial results in DKK, and prepare our audited consolidated financial statements in accordance with IFRS as issued by the IASB. You should read this data together with our consolidated financial statements and related notes included elsewhere in this prospectus and the information under the captions "Capitalization" and "Management's Discussion and Analysis of Financial Condition and Results of Operations." Our historical results are not necessarily indicative of our future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 Data</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80" w:type="dxa"/>
            <w:vAlign w:val="bottom"/>
            <w:gridSpan w:val="7"/>
          </w:tcPr>
          <w:p>
            <w:pPr>
              <w:ind w:left="3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558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(in thousands, except per share data)</w:t>
            </w:r>
          </w:p>
        </w:tc>
        <w:tc>
          <w:tcPr>
            <w:tcW w:w="10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center"/>
              <w:ind w:right="99"/>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4"/>
                <w:szCs w:val="14"/>
                <w:color w:val="auto"/>
              </w:rPr>
            </w:pPr>
          </w:p>
        </w:tc>
        <w:tc>
          <w:tcPr>
            <w:tcW w:w="2060" w:type="dxa"/>
            <w:vAlign w:val="bottom"/>
            <w:gridSpan w:val="3"/>
          </w:tcPr>
          <w:p>
            <w:pPr>
              <w:ind w:left="300"/>
              <w:spacing w:after="0"/>
              <w:rPr>
                <w:sz w:val="20"/>
                <w:szCs w:val="20"/>
                <w:color w:val="auto"/>
              </w:rPr>
            </w:pPr>
            <w:r>
              <w:rPr>
                <w:rFonts w:ascii="Arial" w:cs="Arial" w:eastAsia="Arial" w:hAnsi="Arial"/>
                <w:sz w:val="13"/>
                <w:szCs w:val="13"/>
                <w:b w:val="1"/>
                <w:bCs w:val="1"/>
                <w:color w:val="auto"/>
              </w:rPr>
              <w:t>DKK</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2,365,436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(874,278)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(146,987)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(1,021,265)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result</w:t>
            </w:r>
          </w:p>
        </w:tc>
        <w:tc>
          <w:tcPr>
            <w:tcW w:w="104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1,344,171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71,699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Financial expenses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(352,150)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before tax</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1,063,720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Corporate tax</w:t>
            </w:r>
          </w:p>
        </w:tc>
        <w:tc>
          <w:tcPr>
            <w:tcW w:w="104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result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1,103,551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ind w:left="20"/>
              <w:spacing w:after="0" w:line="277" w:lineRule="exact"/>
              <w:rPr>
                <w:sz w:val="20"/>
                <w:szCs w:val="20"/>
                <w:color w:val="auto"/>
              </w:rPr>
            </w:pPr>
            <w:r>
              <w:rPr>
                <w:rFonts w:ascii="Arial" w:cs="Arial" w:eastAsia="Arial" w:hAnsi="Arial"/>
                <w:sz w:val="18"/>
                <w:szCs w:val="18"/>
                <w:color w:val="auto"/>
              </w:rPr>
              <w:t>Basic net result per share</w:t>
            </w:r>
            <w:r>
              <w:rPr>
                <w:rFonts w:ascii="Arial" w:cs="Arial" w:eastAsia="Arial" w:hAnsi="Arial"/>
                <w:sz w:val="29"/>
                <w:szCs w:val="29"/>
                <w:color w:val="auto"/>
                <w:vertAlign w:val="superscript"/>
              </w:rPr>
              <w:t>(2)</w:t>
            </w: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18.14</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Diluted net result per share</w:t>
            </w:r>
            <w:r>
              <w:rPr>
                <w:rFonts w:ascii="Arial" w:cs="Arial" w:eastAsia="Arial" w:hAnsi="Arial"/>
                <w:sz w:val="29"/>
                <w:szCs w:val="29"/>
                <w:color w:val="auto"/>
                <w:vertAlign w:val="superscript"/>
              </w:rPr>
              <w:t>(2)</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17.77</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442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360" w:type="dxa"/>
            <w:vAlign w:val="bottom"/>
          </w:tcPr>
          <w:p>
            <w:pPr>
              <w:ind w:left="20"/>
              <w:spacing w:after="0"/>
              <w:rPr>
                <w:sz w:val="20"/>
                <w:szCs w:val="20"/>
                <w:color w:val="auto"/>
              </w:rPr>
            </w:pPr>
            <w:r>
              <w:rPr>
                <w:rFonts w:ascii="Arial" w:cs="Arial" w:eastAsia="Arial" w:hAnsi="Arial"/>
                <w:sz w:val="13"/>
                <w:szCs w:val="13"/>
                <w:color w:val="auto"/>
              </w:rPr>
              <w:t>(1)</w:t>
            </w: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w w:val="98"/>
              </w:rPr>
              <w:t>Translated solely for convenience into U.S. dollars at an assumed exchange rate of DKK</w:t>
            </w:r>
          </w:p>
        </w:tc>
        <w:tc>
          <w:tcPr>
            <w:tcW w:w="4420" w:type="dxa"/>
            <w:vAlign w:val="bottom"/>
            <w:gridSpan w:val="8"/>
          </w:tcPr>
          <w:p>
            <w:pPr>
              <w:ind w:left="220"/>
              <w:spacing w:after="0"/>
              <w:rPr>
                <w:sz w:val="20"/>
                <w:szCs w:val="20"/>
                <w:color w:val="auto"/>
              </w:rPr>
            </w:pPr>
            <w:r>
              <w:rPr>
                <w:rFonts w:ascii="Arial" w:cs="Arial" w:eastAsia="Arial" w:hAnsi="Arial"/>
                <w:sz w:val="13"/>
                <w:szCs w:val="13"/>
                <w:color w:val="auto"/>
                <w:w w:val="93"/>
              </w:rPr>
              <w:t>per $1.00, which was the rounded official exchange rate of such currencies as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220" w:type="dxa"/>
            <w:vAlign w:val="bottom"/>
            <w:gridSpan w:val="2"/>
          </w:tcPr>
          <w:p>
            <w:pPr>
              <w:ind w:left="200"/>
              <w:spacing w:after="0" w:line="147" w:lineRule="exact"/>
              <w:rPr>
                <w:sz w:val="20"/>
                <w:szCs w:val="20"/>
                <w:color w:val="auto"/>
              </w:rPr>
            </w:pPr>
            <w:r>
              <w:rPr>
                <w:rFonts w:ascii="Arial" w:cs="Arial" w:eastAsia="Arial" w:hAnsi="Arial"/>
                <w:sz w:val="13"/>
                <w:szCs w:val="13"/>
                <w:color w:val="auto"/>
              </w:rPr>
              <w:t>of December 31, 2018 as reported by Danmarks Nationalbank.</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680" w:right="60" w:hanging="549"/>
        <w:spacing w:after="0" w:line="255"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note 2.5 to our audited consolidated financial statements included elsewhere in this prospectus for further details regarding the calculation of basic and diluted net result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1120" w:type="dxa"/>
            <w:vAlign w:val="bottom"/>
          </w:tcPr>
          <w:p>
            <w:pPr>
              <w:spacing w:after="0"/>
              <w:rPr>
                <w:sz w:val="12"/>
                <w:szCs w:val="12"/>
                <w:color w:val="auto"/>
              </w:rPr>
            </w:pPr>
          </w:p>
        </w:tc>
        <w:tc>
          <w:tcPr>
            <w:tcW w:w="558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3"/>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9"/>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center"/>
              <w:ind w:right="23"/>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4"/>
                <w:szCs w:val="14"/>
                <w:color w:val="auto"/>
              </w:rPr>
            </w:pPr>
          </w:p>
        </w:tc>
        <w:tc>
          <w:tcPr>
            <w:tcW w:w="2180" w:type="dxa"/>
            <w:vAlign w:val="bottom"/>
            <w:gridSpan w:val="3"/>
          </w:tcPr>
          <w:p>
            <w:pPr>
              <w:ind w:left="300"/>
              <w:spacing w:after="0"/>
              <w:rPr>
                <w:sz w:val="20"/>
                <w:szCs w:val="20"/>
                <w:color w:val="auto"/>
              </w:rPr>
            </w:pPr>
            <w:r>
              <w:rPr>
                <w:rFonts w:ascii="Arial" w:cs="Arial" w:eastAsia="Arial" w:hAnsi="Arial"/>
                <w:sz w:val="13"/>
                <w:szCs w:val="13"/>
                <w:b w:val="1"/>
                <w:bCs w:val="1"/>
                <w:color w:val="auto"/>
              </w:rPr>
              <w:t>DKK</w:t>
            </w:r>
          </w:p>
        </w:tc>
      </w:tr>
      <w:tr>
        <w:trPr>
          <w:trHeight w:val="216"/>
        </w:trPr>
        <w:tc>
          <w:tcPr>
            <w:tcW w:w="1120" w:type="dxa"/>
            <w:vAlign w:val="bottom"/>
          </w:tcPr>
          <w:p>
            <w:pPr>
              <w:spacing w:after="0"/>
              <w:rPr>
                <w:sz w:val="18"/>
                <w:szCs w:val="18"/>
                <w:color w:val="auto"/>
              </w:rPr>
            </w:pPr>
          </w:p>
        </w:tc>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6,602,942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(1,854,726)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61,186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gridSpan w:val="3"/>
          </w:tcPr>
          <w:p>
            <w:pPr>
              <w:ind w:left="20"/>
              <w:spacing w:after="0"/>
              <w:rPr>
                <w:sz w:val="20"/>
                <w:szCs w:val="20"/>
                <w:color w:val="auto"/>
              </w:rPr>
            </w:pPr>
            <w:r>
              <w:rPr>
                <w:rFonts w:ascii="Arial" w:cs="Arial" w:eastAsia="Arial" w:hAnsi="Arial"/>
                <w:sz w:val="18"/>
                <w:szCs w:val="18"/>
                <w:color w:val="auto"/>
              </w:rPr>
              <w:t>Total shareholders' equity</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6,272,192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330,750</w:t>
            </w:r>
          </w:p>
        </w:tc>
        <w:tc>
          <w:tcPr>
            <w:tcW w:w="1140" w:type="dxa"/>
            <w:vAlign w:val="bottom"/>
          </w:tcPr>
          <w:p>
            <w:pPr>
              <w:spacing w:after="0"/>
              <w:rPr>
                <w:sz w:val="18"/>
                <w:szCs w:val="18"/>
                <w:color w:val="auto"/>
              </w:rPr>
            </w:pPr>
          </w:p>
        </w:tc>
      </w:tr>
      <w:tr>
        <w:trPr>
          <w:trHeight w:val="108"/>
        </w:trPr>
        <w:tc>
          <w:tcPr>
            <w:tcW w:w="11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4540" w:type="dxa"/>
            <w:vAlign w:val="bottom"/>
            <w:gridSpan w:val="9"/>
          </w:tcPr>
          <w:p>
            <w:pPr>
              <w:spacing w:after="0"/>
              <w:rPr>
                <w:sz w:val="9"/>
                <w:szCs w:val="9"/>
                <w:color w:val="auto"/>
              </w:rPr>
            </w:pPr>
          </w:p>
        </w:tc>
      </w:tr>
      <w:tr>
        <w:trPr>
          <w:trHeight w:val="334"/>
        </w:trPr>
        <w:tc>
          <w:tcPr>
            <w:tcW w:w="1480" w:type="dxa"/>
            <w:vAlign w:val="bottom"/>
            <w:gridSpan w:val="2"/>
          </w:tcPr>
          <w:p>
            <w:pPr>
              <w:ind w:left="1140"/>
              <w:spacing w:after="0"/>
              <w:rPr>
                <w:sz w:val="20"/>
                <w:szCs w:val="20"/>
                <w:color w:val="auto"/>
              </w:rPr>
            </w:pPr>
            <w:r>
              <w:rPr>
                <w:rFonts w:ascii="Arial" w:cs="Arial" w:eastAsia="Arial" w:hAnsi="Arial"/>
                <w:sz w:val="13"/>
                <w:szCs w:val="13"/>
                <w:color w:val="auto"/>
              </w:rPr>
              <w:t>(1)</w:t>
            </w: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w w:val="98"/>
              </w:rPr>
              <w:t>Translated solely for convenience into U.S. dollars at an assumed exchange rate of DKK</w:t>
            </w:r>
          </w:p>
        </w:tc>
        <w:tc>
          <w:tcPr>
            <w:tcW w:w="4540" w:type="dxa"/>
            <w:vAlign w:val="bottom"/>
            <w:gridSpan w:val="9"/>
          </w:tcPr>
          <w:p>
            <w:pPr>
              <w:ind w:left="220"/>
              <w:spacing w:after="0"/>
              <w:rPr>
                <w:sz w:val="20"/>
                <w:szCs w:val="20"/>
                <w:color w:val="auto"/>
              </w:rPr>
            </w:pPr>
            <w:r>
              <w:rPr>
                <w:rFonts w:ascii="Arial" w:cs="Arial" w:eastAsia="Arial" w:hAnsi="Arial"/>
                <w:sz w:val="13"/>
                <w:szCs w:val="13"/>
                <w:color w:val="auto"/>
                <w:w w:val="95"/>
              </w:rPr>
              <w:t>per $1.00, which was the rounded official exchange rate of such currencies as</w:t>
            </w:r>
          </w:p>
        </w:tc>
      </w:tr>
      <w:tr>
        <w:trPr>
          <w:trHeight w:val="172"/>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20" w:type="dxa"/>
            <w:vAlign w:val="bottom"/>
            <w:gridSpan w:val="2"/>
          </w:tcPr>
          <w:p>
            <w:pPr>
              <w:ind w:left="200"/>
              <w:spacing w:after="0"/>
              <w:rPr>
                <w:sz w:val="20"/>
                <w:szCs w:val="20"/>
                <w:color w:val="auto"/>
              </w:rPr>
            </w:pPr>
            <w:r>
              <w:rPr>
                <w:rFonts w:ascii="Arial" w:cs="Arial" w:eastAsia="Arial" w:hAnsi="Arial"/>
                <w:sz w:val="13"/>
                <w:szCs w:val="13"/>
                <w:color w:val="auto"/>
              </w:rPr>
              <w:t>of December 31, 2018 as reported on Danmarks Nationalbank.</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17"/>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gridSpan w:val="2"/>
          </w:tcPr>
          <w:p>
            <w:pPr>
              <w:jc w:val="right"/>
              <w:ind w:right="980"/>
              <w:spacing w:after="0"/>
              <w:rPr>
                <w:sz w:val="20"/>
                <w:szCs w:val="20"/>
                <w:color w:val="auto"/>
              </w:rPr>
            </w:pPr>
            <w:r>
              <w:rPr>
                <w:rFonts w:ascii="Arial" w:cs="Arial" w:eastAsia="Arial" w:hAnsi="Arial"/>
                <w:sz w:val="18"/>
                <w:szCs w:val="18"/>
                <w:color w:val="auto"/>
              </w:rPr>
              <w:t>75</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The following discussion is based on our financial information prepared in accordance with IFRS, as issued by the IASB, which might differ in material respects from accounting principles generally accepted in other jurisdictions, including accounting principles generally accepted in the United States.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MM indications, and ofatumumab, marketed as Arzerra for the treatment of certain CLL indications, in addition to a broad pipeline of differentiated product candidates. Our pipeline includes four proprietary product candidates in clinical development and approximately 20 proprietary and partnered pre-clinical programs, including three proprietary product candidates for which we intend to submit an IND to the FDA and/or a CTA to the EMA in 2019. In addition to our proprietary clinical product candidates and our partners' ongoing label expansion studies for daratumumab and ofatumumab, our partners have eight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8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to our partnered marketed products,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with an initial focus on achieving commercial launch readiness in Western Europe and Japan to support the potential launch of tisotumab vedotin for the treatment of cervical cancer in these jurisdictions, subject to obtaining regulatory approval and, where applicable, reimbursement approval.</w:t>
      </w:r>
    </w:p>
    <w:p>
      <w:pPr>
        <w:spacing w:after="0" w:line="169"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2017, we generated revenue of DKK 2.37 billion ($381.8 million) and recorded operating income of DKK 1.3 billion ($209.5 million) and net income of DKK 1.1 billion ($177.2 million). Our results of operations have been, and we expect them to continue to be, affected by our collaboration with Janssen for the development and commercialization of daratumumab. Since inception, we have funded our operating requirements primarily through proceeds from equity financings and milestone payments and royalties from our partners. We expect to continue to fund a significant portion of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development costs for our proprietary product candidates as well as our planned commercialization activities with funds received from royalties and milestone payments from our partners as well as the net proceeds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and Technology Licenses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enter into collaborations with biotechnology and pharmaceutical companies to advance the development and commercialization of our product candidates and to supplement our internal pipeline. We seek collaborations that will allow us to retain significant future participation in product sales through either profit-sharing or royalties paid on net sales. Below is an overview of some of our collaborations that have had a significant impact or that we expect may in the near term have a significant impact on our financial results. This is not a complete list, and we have several other collaborations or other agreements with third parties that could affect our results and financial condition. See "Business—Product and Technology Collaborations."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Janssen (Daratumumab/DARZALEX)</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August 2012, we entered into a global license, development, and commercialization agreement with Janssen for daratumumab (marketed as DARZALEX for the treatment of MM). Under this agreement, Janssen is fully responsible for developing and commercializing daratumumab and all costs associated therewith. We receive tiered royalty payments between 12% and 20% based on Janssen's annual net product sales.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patent (as defined in the agreement) covering daratumumab in such country. We are also eligible to receive certain additional payments in connection with development, regulatory and sales milestones.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of DARZALEX have grown since it received its first marketing approval in the United States in 2015. Based on annual net sales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$750.0 million in 2017, we moved to the royalty tier of 13% for the excess portion in the third quarter of 2017. The 20% royalty tier will be payable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net sales in excess of $3.0 billion in any calendar year. The total amount of potential milestone payments under the contract is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and to date, we have recorded approximately $571.0 million in milestone payments from Janssen and could be entitled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$429.0 million in further payments if certain additional milestones are met.</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See "Business—Product and Technology Collaborations—Collaborations for our Marketed Products—Janssen Daratumumab License and Development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Novartis (Ofatumumab)</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Ofatumumab is commercialized by Novartis under a co-development and collaboration agreement with us, which it acquired from GSK in 2015. Under the agreement with Novartis, we are entitled to royalties of 20% of worldwide net sales of ofatumumab for the treatment of cancer and low double-digit royalties of worldwide net sales for non-cancer treatments, as well as certain potential regulatory and sales milestones, of which only certain sales milestones remain. Novartis is fully responsible for all costs associated with developing and commercializing ofatumumab.</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"Business—Product and Technology Collaborations—Collaborations for our Marketed Products—Novartis Ofatumumab Collaboration."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Seattle Genetics (Tisotumab vedotin)</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October 2011, we entered into a license and collaboration agreement with Seattle Genetics. In August 2017, Seattle Genetics exercised an option it was granted pursuant to this agreement to co-develop and co-commercialize tisotumab vedotin with us. All costs and profits for tisotumab vedotin will be shared on a 50:50 basis.</w:t>
      </w:r>
    </w:p>
    <w:p>
      <w:pPr>
        <w:spacing w:after="0" w:line="19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cost-sharing arrangement with Seattle Genetics in respect of the co-development and co-commercialization of tisotumab vedotin is such that, from time to time, one partner may be required to bear certain costs in furtherance of the collaboration for which it would be entitled to seek reimbursement of 50% of the costs from the other partner. Such reimbursements may not be immediate or may be offset by other costs incurred or profits received by one or both partners. As a result, we may incur costs for which we are not ultimately responsible, and this may affect our working capital, liquidity and availability of resources for other projects. On the other hand, we may also be responsible for reimbursing Seattle Genetics in respect of the portion of its spending in furtherance of the collaboration for which we are responsible. In addition, we record all development expenses incurred by us in connection with this collaboration as research and development expenses, while reimbursements received from Seattle Genetics related to such development expenses are recorded in revenue as reimbursement income.</w:t>
      </w:r>
    </w:p>
    <w:p>
      <w:pPr>
        <w:spacing w:after="0" w:line="17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See "Business—Product and Technology Collaborations—Collaborations for our Proprietary Product Candidates—Seattle Genetics Tisotumab Vedotin Collaboration."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BioNTech (DuoBody-CD40x4-1BB and DuoBody-PD-L1x4-1BB)</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May 2015, we entered an agreement with BioNTech to jointly research, develop and commercialize bispecific antibody products using our DuoBody technology platform and antibodies. If BioNTech and us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pre-clinical development in connection with this agreement, DuoBody-CD40x4-1BB and DuoBody-PD-L1x4-1BB, and we expect to submit INDs and/or CTAs for these products in 2019.</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cost sharing arrangement with BioNTech is similar to the one with Seattle Genetics described above with respect to tisotumab vedotin.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"Business—Product and Technology Collaborations—Collaboration for our Proprietary Product Candidates—BioNTech DuoBody Collaboration."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In-Licensed Technology</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While not material in 2017, in the future, our results and financial condition could be affected by milestone payments and royalties related to technology we have licensed or acquired. This includes payments under our asset purchase agreement with IDD Biotech in connection with our development of HexaBody-DR5/DR5 and our ADC license agreement with Seattle Genetics in connection with our HuMax-AXL antibody.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and Related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revenues are currently comprised of royalties, milestone payments, deferred revenue and reimbursement income. Royalty income from licenses is based on third-party sales of licensed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Milestone payments are typically related to reaching particular stages in product development, regulatory approval or net sales. Deferred revenue reflects the part of revenue that has not been recognized as income immediately upon receipt of payment and which concerns agreements with multiple components that cannot be separated. Reimbursement income is mainly comprised of the reimbursement of certain research and development costs related to the development work under our collaboration agreements. In 2017, royalties, milestone payments, deferred revenue and reimbursement income represented approximately 45%, 48%, 4% and 3%, respectively, of our total revenues. At this time, all of our revenues come from payments made to us by our partners under our collaboration agreements. We do not earn any revenue from direct sales of our own products, and we will not earn such revenue unless and until we obtain regulatory approvals for any candidates in our proprietary pipeline and successfully commercialize such candidates. Our reported revenue is affected by the translation of royalties and other income denominated in foreign currencies—primarily U.S. dollars—into Danish kroner as our reporting currency.</w:t>
      </w:r>
    </w:p>
    <w:p>
      <w:pPr>
        <w:spacing w:after="0" w:line="162"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In 2017, DKK 2,214.0 million, or approximately 94% of our total revenues, related to our various collaborations with Janssen, of which DKK 2,122 million, or 96%, was related to royalties and milestone payments related to DARZALEX.</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addition to existing approvals of DARZALEX for the treatment of certain MM indications in the United States, the European Union, Japan and certain other countries, applications for label expansion in the United States and Japan and for initial approval in China are currently pending with applicable regulators. Clinical studies are ongoing to expand daratumumab to new indications of MM. In January 2019, Janssen initiated an sBLA submission to the FDA for daratumumab as a combination treatment for frontline MM based on the pivotal Phase III MAIA study and we expect Janssen to submit an MAA to the EMA based on this study in 2019. The FDA plans to review the sBLA submission under its RTOR Pilot Program. In addition, we expect Janssen to submit regulatory applications for daratumumab as a combination treatment for frontline MM based on the Phase III CASSIOPEIA study in 2019 and to release initial data for the Phase III COLUMBA study for the subQ formulation of daratumumab and the Phase II GRIFFIN study for daratumumab as a combination treatment for frontline MM.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 Our ability to generate revenue will significantly depend on the success of Janssen's continued ability to effectively maintain and grow sales of DARZALEX for its approved indications, expand its indications, and successfully compete with existing and additional investigational agents and technologies that are currently being marketed or studied for the same indications as DARZALEX.</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historical revenue also reflects milestone payments and royalties related to our collaboration with Novartis for ofatumumab, marketed as Arzerra for the treatment of certain indications of CLL, and milestone and other payments relating to our other collaborations. Due to the ongoing competition in the CLL treatment space and Novartis' ongoing transition of Arzerra to limited availability in most jurisdictions, we do not expect Arzerra net sales to increase in the near future. For these and other reasons, we believe that our future prospects for material revenues from ofatumumab depend on Novartis' ability to expand the labeled indications of use for ofatumumab and to successfully commercialize it for such indications. Novartis is currently investigating a subQ formulation of ofatumumab in two Phase III clinical studies, ASCLEPIOS I and II, in RMS. Novartis reported that it completed recruitment for these studies in May 2018 and expects to complete the studies during 2019. Subject to study completion and achievement of positive results, Novartis has indicated that it plans to evaluate the potential for a regulatory filing soon thereafter.</w:t>
      </w:r>
    </w:p>
    <w:p>
      <w:pPr>
        <w:spacing w:after="0" w:line="178"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 addition to the key studies ongoing for daratumumab and ofatumumab outlined above, we anticipate that our partners under our collaboration agreements will report results or preliminary data</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for a number of additional clinical studies in 2019. However, there can be no assurance that any of the studies conducted by Janssen or Novartis or by us or our other partners will be completed on the expected timeline or at all, or that the final results will be positive. Our ability to generate revenue from our partnered product candidates depends on our and our partners' ability to successfully complete clinical trials for our product candidates and receive regulatory approvals, which could impact the commercial potential of such products and our potential to receive milestone payments and royalties for these products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operating expenses currently consist of research and development expenses and general and administrative expenses. Research and development expenses represent the majority of our operating expenses.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research and development expenses include internal costs relating to our research and development departments as well as external costs relating to studies performed by external suppliers and partners. Internal research and development costs consist primarily of salaries and benefits for our research and development staff and related expenses, including expenses related to cash bonuses, warrant and restricted stock unit, or RSU, programs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property, and depreciation of capital assets used to develop our product candidates.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Major components of the external costs are fees and other costs paid to CROs in conjunction with pre-clinical studies and the performance of clinical trials, milestone payments for in-licensed technology, as well as fees paid to contract manufacturers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w:t>
      </w:r>
    </w:p>
    <w:p>
      <w:pPr>
        <w:spacing w:after="0" w:line="172"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"—Liquidity and Capital Resources" below.</w:t>
      </w:r>
    </w:p>
    <w:p>
      <w:pPr>
        <w:spacing w:after="0" w:line="16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general and administrative expenses consist primarily of wages and salaries for personnel other than research and development staff, including expenses related to cash bonus and warrant and RSU programs to such personnel. Also included are expenses related to depreciation and impairment of property, plant and equipment, to the extent such expenses are related to the administrative functions. As a result of becoming a U.S. public company listed on the Nasdaq Global Select Market, we will incur legal, accounting, and other expenses that we did not previously incur, resulting in increases in our general and administrative expenses in future periods.</w:t>
      </w:r>
    </w:p>
    <w:p>
      <w:pPr>
        <w:spacing w:after="0" w:line="201"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Overhead expenses have been allocated to research and development expenses or general and administrative expenses based on the number of employees and their relevant functions. The Dutch Research and Development Act, or WBSO, provides compensation for a part of research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development wages and other costs at our Utrecht facility through a reduction in payroll taxes in The Netherlands. WBSO grant amounts are offset against wages and salaries included in research and development costs.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ongoing research and development and, increasingly, pre-launch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building our commercial capabilities. Our proprietary product candidates will require significant further development, financial resources and personnel to pursue and obtain regulatory approval and develop into commercially viable products, if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 Items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Financial income includes interest on our marketable securities and other financial income, as well as realized and unrealized exchange rate and fair value hedge adjustments. Financial expenses include interest and other financial expenses, as well as realized and unrealized exchange rate and marketable securities adjustments. We record realized losses on marketable securities when a security is purchased at a price above par and held to maturity. We are compensated for these realized losses with above market interest rates.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Exchange rate adjustments recognized in financial income or expenses reflect adjustments to the value of assets and liabilities denominated in foreign currencies as a result of exchange rate movements. Transactions denominated in foreign currencies are translated into Danish kroner, our reporting currency, at the exchange rates in effect on the date of the transaction. Exchange rate gains and losses arising between the transaction date and the settlement date (or the balance sheet date for unsettled assets or liabilities) are recognized in the income statement as either financial income or expenses. See "—Quantitative and Qualitative Disclosures about Market Risk—Exchange Rate Risk" below.</w:t>
      </w:r>
    </w:p>
    <w:p>
      <w:pPr>
        <w:spacing w:after="0" w:line="16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corporate tax is comprised of current tax and the adjustment of deferred taxes during the period. In any given period, the adjustment to our deferred tax position, including the reversal of valuation allowances, may partially or wholly offset current tax expense.</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record a valuation allowance to reduce deferred tax assets to reflect the net amount that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As our profitability outlook has changed, we determined it was appropriate to reverse a portion of the valuation allowance in 2017, and we may reach a similar determination for 2018 based on the weight of available evidence at December 31, 2018.</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revenue by source for the year ended December 31, 2017.</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67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3"/>
                <w:szCs w:val="13"/>
                <w:b w:val="1"/>
                <w:bCs w:val="1"/>
                <w:color w:val="auto"/>
              </w:rPr>
              <w:t>(in millions of DKK)</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 by source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Royalties</w:t>
            </w:r>
          </w:p>
        </w:tc>
        <w:tc>
          <w:tcPr>
            <w:tcW w:w="960" w:type="dxa"/>
            <w:vAlign w:val="bottom"/>
          </w:tcPr>
          <w:p>
            <w:pPr>
              <w:jc w:val="right"/>
              <w:spacing w:after="0"/>
              <w:rPr>
                <w:sz w:val="20"/>
                <w:szCs w:val="20"/>
                <w:color w:val="auto"/>
              </w:rPr>
            </w:pPr>
            <w:r>
              <w:rPr>
                <w:rFonts w:ascii="Arial" w:cs="Arial" w:eastAsia="Arial" w:hAnsi="Arial"/>
                <w:sz w:val="18"/>
                <w:szCs w:val="18"/>
                <w:color w:val="auto"/>
              </w:rPr>
              <w:t>1,060.7</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2,365.4</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 by collaboration partner</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Janssen</w:t>
            </w:r>
          </w:p>
        </w:tc>
        <w:tc>
          <w:tcPr>
            <w:tcW w:w="960" w:type="dxa"/>
            <w:vAlign w:val="bottom"/>
          </w:tcPr>
          <w:p>
            <w:pPr>
              <w:jc w:val="right"/>
              <w:spacing w:after="0"/>
              <w:rPr>
                <w:sz w:val="20"/>
                <w:szCs w:val="20"/>
                <w:color w:val="auto"/>
              </w:rPr>
            </w:pPr>
            <w:r>
              <w:rPr>
                <w:rFonts w:ascii="Arial" w:cs="Arial" w:eastAsia="Arial" w:hAnsi="Arial"/>
                <w:sz w:val="18"/>
                <w:szCs w:val="18"/>
                <w:color w:val="auto"/>
              </w:rPr>
              <w:t>2,214.0</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Novartis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partners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2,365.4</w:t>
            </w:r>
          </w:p>
        </w:tc>
        <w:tc>
          <w:tcPr>
            <w:tcW w:w="1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Revenue for the year ended December 31, 2017 was DKK 2,365.4 million. Of this revenue, DKK 1,133.3 million, or 48%, was attributable to milestone payments; DKK 1,060.7 million, or 45%, to royalties, DKK 90.1 million, or 4%, to deferred revenue, and DKK 81.3 million, or 3%, to reimbursement income.</w:t>
      </w:r>
    </w:p>
    <w:p>
      <w:pPr>
        <w:spacing w:after="0" w:line="141"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Revenue in the year ended December 31, 2017 was mainly driven by DARZALEX royalties under our daratumumab collaboration with Janssen. During the third quarter of 2017, the royalty rate on net sales of DARZALEX moved into the next royalty tier, which is 13% on net sales exceeding $750.0 million in a calendar year. The prior royalty tier of 12% of net sales applies to the first $750.0 million of Janssen's net sales of DARZALEX in a calendar year. In 2017, net sales of DARZALEX by Janssen were $1,242.0 million, resulting in recognized royalties to us of DKK 1,013.2 million. In addition to royalties, we recorded $171.0 million in milestone payments from Janssen in 2017, including (i) $20.0 million milestone payment relating to progress in the ongoing Phase III ANDROMEDA (AMY3001) study of subQ daratumumab in combination with cyclophosphamide, bortezomib and dexamethasone, or CyBord, for the treatment of amyloidosis, (ii) $50.0 million sales volume milestone payment triggered by annual sales of DARZALEX reaching $1.0 billion in 2017,</w:t>
      </w:r>
    </w:p>
    <w:p>
      <w:pPr>
        <w:spacing w:after="0" w:line="5" w:lineRule="exact"/>
        <w:rPr>
          <w:sz w:val="20"/>
          <w:szCs w:val="20"/>
          <w:color w:val="auto"/>
        </w:rPr>
      </w:pPr>
    </w:p>
    <w:p>
      <w:pPr>
        <w:ind w:right="60" w:firstLine="8"/>
        <w:spacing w:after="0" w:line="281" w:lineRule="auto"/>
        <w:tabs>
          <w:tab w:leader="none" w:pos="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$25.0 million milestone payment in connection with the regulatory approval and first commercial sale of DARZALEX in Japan, (iv) $25.0 million milestone payment in connection with the FDA approval and first commercial sale of DARZALEX in combination with pomalidomide and dexamethasone, or Pom-d, for the treatment of patients with MM who have received at least two prior therapies, including lenalidomide and a proteasome inhibitor, or PI, and</w:t>
      </w:r>
    </w:p>
    <w:p>
      <w:pPr>
        <w:spacing w:after="0" w:line="1" w:lineRule="exact"/>
        <w:rPr>
          <w:rFonts w:ascii="Arial" w:cs="Arial" w:eastAsia="Arial" w:hAnsi="Arial"/>
          <w:sz w:val="16"/>
          <w:szCs w:val="16"/>
          <w:color w:val="auto"/>
        </w:rPr>
      </w:pPr>
    </w:p>
    <w:p>
      <w:pPr>
        <w:ind w:right="200" w:firstLine="8"/>
        <w:spacing w:after="0" w:line="323"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$48.0 million milestone payment in connection with the first commercial sales of DARZALEX in combination with lenalidomide and dexamethasone, or Rd, or bortezomib and dexamethasone, or Vd, for the treatment of MM patients who have received at least one prior line of therapy.</w:t>
      </w:r>
    </w:p>
    <w:p>
      <w:pPr>
        <w:spacing w:after="0" w:line="14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the year ended December 31, 2017, deferred revenue was related to our collaboration agreements and was recognized in the income statement on a straight-line basis over planned development periods.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recorded reimbursement income in 2017 of DKK 41.2 million and DKK 30.0 million in connection with our collaboration agreements with Seattle Genetics and BioNTech, respectively. In 2017, Seattle Genetics exercised its option to co-develop and co-commercialize tisotumab vedotin and pre-clinical projects under the BioNTech collaboration continued to advance.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Research and development expenses for the year ended December 31, 2017 were DKK 874.3 million and accounted for 86% of our total operating expenses for the year. Research and development expenses were driven by the clinical advancement of tisotumab vedotin, additional investment in our proprietary pipeline, and the increase in employees to support the expansion of our proprietary pipeline.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regarding our research and development spending for the fiscal year ended December 31, 2017.</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Year ended</w:t>
            </w:r>
          </w:p>
        </w:tc>
      </w:tr>
      <w:tr>
        <w:trPr>
          <w:trHeight w:val="161"/>
        </w:trPr>
        <w:tc>
          <w:tcPr>
            <w:tcW w:w="2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786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(in millions of DKK)</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r>
      <w:tr>
        <w:trPr>
          <w:trHeight w:val="250"/>
        </w:trPr>
        <w:tc>
          <w:tcPr>
            <w:tcW w:w="78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7"/>
                <w:szCs w:val="17"/>
                <w:color w:val="auto"/>
              </w:rPr>
              <w:t>Research</w:t>
            </w:r>
            <w:r>
              <w:rPr>
                <w:rFonts w:ascii="Arial" w:cs="Arial" w:eastAsia="Arial" w:hAnsi="Arial"/>
                <w:sz w:val="28"/>
                <w:szCs w:val="28"/>
                <w:color w:val="auto"/>
                <w:vertAlign w:val="superscript"/>
              </w:rPr>
              <w:t>(1)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w:t>
            </w:r>
          </w:p>
        </w:tc>
      </w:tr>
      <w:tr>
        <w:trPr>
          <w:trHeight w:val="257"/>
        </w:trPr>
        <w:tc>
          <w:tcPr>
            <w:tcW w:w="78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Development and contract manufacturing</w:t>
            </w:r>
            <w:r>
              <w:rPr>
                <w:rFonts w:ascii="Arial" w:cs="Arial" w:eastAsia="Arial" w:hAnsi="Arial"/>
                <w:sz w:val="29"/>
                <w:szCs w:val="29"/>
                <w:color w:val="auto"/>
                <w:vertAlign w:val="superscript"/>
              </w:rPr>
              <w:t>(2)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275.6</w:t>
            </w:r>
          </w:p>
        </w:tc>
      </w:tr>
      <w:tr>
        <w:trPr>
          <w:trHeight w:val="257"/>
        </w:trPr>
        <w:tc>
          <w:tcPr>
            <w:tcW w:w="78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Clinical</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w:t>
            </w:r>
          </w:p>
        </w:tc>
      </w:tr>
      <w:tr>
        <w:trPr>
          <w:trHeight w:val="256"/>
        </w:trPr>
        <w:tc>
          <w:tcPr>
            <w:tcW w:w="78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r>
      <w:tr>
        <w:trPr>
          <w:trHeight w:val="20"/>
        </w:trPr>
        <w:tc>
          <w:tcPr>
            <w:tcW w:w="2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research and development expenses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874.3</w:t>
            </w:r>
          </w:p>
        </w:tc>
      </w:tr>
      <w:tr>
        <w:trPr>
          <w:trHeight w:val="20"/>
        </w:trPr>
        <w:tc>
          <w:tcPr>
            <w:tcW w:w="2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right="140" w:hanging="549"/>
        <w:spacing w:after="0" w:line="237"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Research expenses include, among other things, personnel, occupancy and laboratory expenses, technology access fees associated with identification of new mAbs, expenses associated with development of new proprietary technologies and research activities associated with our product candidates, such as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studies, translational research, and IND enabling toxicology studies.</w:t>
      </w:r>
    </w:p>
    <w:p>
      <w:pPr>
        <w:spacing w:after="0" w:line="1" w:lineRule="exact"/>
        <w:rPr>
          <w:rFonts w:ascii="Arial" w:cs="Arial" w:eastAsia="Arial" w:hAnsi="Arial"/>
          <w:sz w:val="13"/>
          <w:szCs w:val="13"/>
          <w:color w:val="auto"/>
        </w:rPr>
      </w:pPr>
    </w:p>
    <w:p>
      <w:pPr>
        <w:ind w:left="1680" w:hanging="549"/>
        <w:spacing w:after="0" w:line="250" w:lineRule="auto"/>
        <w:tabs>
          <w:tab w:leader="none" w:pos="16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production of process validation batches to be used in potential future regulatory submissions, quality control and assurance activities, and storage and shipment of our product candidates.</w:t>
      </w:r>
    </w:p>
    <w:p>
      <w:pPr>
        <w:ind w:left="1680" w:right="380" w:hanging="549"/>
        <w:spacing w:after="0" w:line="227"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Clinical expenses include personnel, travel, occupancy costs, and external clinical trial costs including costs for clinical sites, CROs, contractors and regulatory activities associated with conducting human clinical trials.</w:t>
      </w:r>
    </w:p>
    <w:p>
      <w:pPr>
        <w:ind w:left="1680" w:hanging="549"/>
        <w:spacing w:after="0"/>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Other research and development expenses primarily include share-based compensation, depreciation and amortization expenses.</w:t>
      </w:r>
    </w:p>
    <w:p>
      <w:pPr>
        <w:spacing w:after="0" w:line="20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utilize our employee and infrastructure resources across multiple research and development projects. We track human resource efforts expended on many of our programs for purposes of billing our collaborators for time incurred at agreed upon rates and for resource planning. We do not account for actual costs on a project basis as it relates to our infrastructure, facility, employee and other indirect costs; however, we do separately track significant third-party costs including clinical trial costs, manufacturing costs and other contracted service costs on a project basis.</w:t>
      </w:r>
    </w:p>
    <w:p>
      <w:pPr>
        <w:spacing w:after="0" w:line="16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shows third-party costs incurred for research, contract manufacturing of our product candidates and clinical and regulatory services. The table also presents other costs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overhead consisting of third-party costs for our pre-clinical stage programs, personnel, facilities and other indirect costs not directly charged to development programs.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For the year</w:t>
            </w:r>
          </w:p>
        </w:tc>
      </w:tr>
      <w:tr>
        <w:trPr>
          <w:trHeight w:val="148"/>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ended</w:t>
            </w:r>
          </w:p>
        </w:tc>
      </w:tr>
      <w:tr>
        <w:trPr>
          <w:trHeight w:val="161"/>
        </w:trPr>
        <w:tc>
          <w:tcPr>
            <w:tcW w:w="67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3"/>
                <w:szCs w:val="13"/>
                <w:b w:val="1"/>
                <w:bCs w:val="1"/>
                <w:color w:val="auto"/>
              </w:rPr>
              <w:t>(in millions of DKK)</w:t>
            </w: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Tisotumab vedotin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Enapotamab vedotin</w:t>
            </w: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clinical stage programs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Total third-party costs for clinical stage programs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320.9</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Pre-clinical projects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182.1</w:t>
            </w:r>
          </w:p>
        </w:tc>
        <w:tc>
          <w:tcPr>
            <w:tcW w:w="16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costs and overhead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160" w:type="dxa"/>
            <w:vAlign w:val="bottom"/>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w:t>
            </w:r>
          </w:p>
        </w:tc>
        <w:tc>
          <w:tcPr>
            <w:tcW w:w="1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General and administrative expenses for the year ended December 31, 2017 were DKK 147.0 million, representing 14% of our total operating expenses. Of that amount, DKK 94.2 million, or 64%, is related to remuneration of employees and senior management involved in general and administrative activities. General and administrative expenses were primarily driven by higher share-based compensation expenses and an increase in administrative employees and other support functions due to the expansion of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Items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Financial income for the year ended December 31, 2017 was DKK 71.7 million, reflecting gains on fair value hedges of DKK 30.3 million and interest and other financial income of DKK 41.4 million from our investment in marketable securities.</w:t>
      </w:r>
    </w:p>
    <w:p>
      <w:pPr>
        <w:spacing w:after="0" w:line="186"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Financial expenses for the year ended December 31, 2017 were DKK 352.2 million, of which DKK 2.8 million related to interest, DKK 19.6 million related to realized and unrealized losses on marketable securities and DKK 329.7 million related to realized and unrealized exchange rate losses.</w:t>
      </w:r>
    </w:p>
    <w:p>
      <w:pPr>
        <w:spacing w:after="0" w:line="14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Realized and unrealized exchange rate losses were driven by foreign exchange movements which negatively impacted our U.S. dollar denominated portfolio and cash holdings. The U.S. dollar weakened significantly against the Danish krone during 2017, decreasing from 7.0528 at December 31, 2016 to 6.2067 at December 31, 2017, as reported by Danmarks Nationalbank.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financial items for the year ended December 31, 2017 were a net loss of DKK 280.5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Corporate tax for the year ended December 31, 2017 was a benefit of DKK 39.8 million. The corporate tax income in 2017 was due to the partial reversal of valuation allowances on deferred tax assets related to future taxable income, resulting in a discrete tax benefit of DKK 285.7 million in 2017, which more than offset current and deferred tax expense of DKK 245.9 million. The partial reversal was recorded because, based upon the weight of available evidence at December 31, 2017, we determined that it was more likely than not that a portion of our deferred tax assets would be realizable as a result of probable future taxable income in 2018 and 2019. A deferred tax asset of DKK 297.0 million has been recognized on the balance sheet. In 2017, a current tax benefit of DKK 71.9 million was also recorded directly in shareholders' equity which was related to excess tax benefits for share-based instruments.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1"/>
        <w:spacing w:after="0" w:line="285" w:lineRule="auto"/>
        <w:rPr>
          <w:sz w:val="20"/>
          <w:szCs w:val="20"/>
          <w:color w:val="auto"/>
        </w:rPr>
      </w:pPr>
      <w:r>
        <w:rPr>
          <w:rFonts w:ascii="Arial" w:cs="Arial" w:eastAsia="Arial" w:hAnsi="Arial"/>
          <w:sz w:val="16"/>
          <w:szCs w:val="16"/>
          <w:color w:val="auto"/>
        </w:rPr>
        <w:t>As of December 31, 2017, we had gross tax loss carry-forwards of DKK 4.4 billion for income tax purposes, of which DKK 3.3 billion consists of net operating losses at our company in Denmark and at our U.S. subsidiary that can be carried forward without limitation. The remaining portion of</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DKK 1.1 billion that is subject to expiration consists primarily of a capital loss at our U.S. subsidiary, with DKK 1.0 billion expiring in 2018. This amount relates to the capital loss on the sale of our former manufacturing facility in 2013 which is limited to a 5 year carry-forward period and can only be utilized to offset specific types of capital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December 31, 2017, we had cash and cash equivalents of DKK 1,347.5 million, as well as liquid investments in short-term government and other debt instruments of DKK 4,075.2 million in marketable securities. We require cash to meet our operating expenses and capital expenditures. We have funded our cash requirements since our inception, including through December 31, 2017, primarily with equity financing, upfront payments and royalty and milestone payments from our partners.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expect to continue to fund a significant portion of our development costs for our proprietary product candidates as well as our planned commercialization activities with funds received from royalties and milestone payments from our partners as well as the net proceeds of this offering. However, because our product candidates are in various stages of development and the outcome of these efforts is uncertain, we cannot estimate the actual amounts necessary to successfully complete the development and to obtain regulatory approval of, and ultimately commercialize, our product candidates.</w:t>
      </w:r>
    </w:p>
    <w:p>
      <w:pPr>
        <w:spacing w:after="0" w:line="16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expenditures on our current and future pre-clinical and clinical development programs are subject to numerous uncertainties in timing and cost to completion. In order to advance our product candidates toward commercialization, the product candidates are tested in numerous pre-clinical safety, toxicology and efficacy studies. We then conduct clinical trials for those product candidates that take several years or more to complete. The length of time varies substantially based upon the type, complexity, novelty and intended use of a product candidate. The cost of clinical trials may vary significantly over the life of a project as a result of a variety of factors, including: the number of patients required in our clinical trials; the length of time required to enroll trial participants; the number and location of sites included in the trials; the costs of producing supplies of the product candidates needed for clinical trials and regulatory submissions; the safety and efficacy profile of the product candidate; the use of CROs to assist with the management of the trials; and the costs and timing of, and the ability to secure, regulatory approvals.</w:t>
      </w:r>
    </w:p>
    <w:p>
      <w:pPr>
        <w:spacing w:after="0" w:line="17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expenses also fluctuate from period to period based on the degree of collaborative activities, timing of manufacturing campaigns, numbers of patients enrolled in our clinical trials and the outcome of each clinical trial event. As a result, we are unable to determine with any degree of certainty the anticipated completion dates, duration and completion costs of our research and development projects, or when and to what extent we will receive cash inflows from the commercialization and sale of any of our product candidates. We also cannot predict the actual amount or timing of future royalties and milestone payments to us, and these may differ from our estimates.</w:t>
      </w:r>
    </w:p>
    <w:p>
      <w:pPr>
        <w:spacing w:after="0" w:line="20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expect to make additional capital outlays and to increase operating expenditures over the next several years as we hire additional employees, support our pre-clinical development, manufacturing and clinical trial activities for tisotumab vedotin and our other proprietary product candidates, and expand internationally, as well as commercialize tisotumab vedotin, if we receive regulatory approval. As we increase our spending on research and development related to our product collaborations, we may be required to make certain capital outlays against which we expect to receive reimbursement income to the extent the outlay exceeds our share under the applicable collaboration agreement. We expect that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time-lag between the expenditure by us, on the one hand, and the reimbursement by our partner of its relevant share, on the other hand, will increase our working capital needs. To the extent our capital resources are insufficient to meet our future capital requirements, we will need to finance our operating requirements and cash needs through public or private equity offerings, debt financings, or additional corporate collaboration and licensing arrangements.</w:t>
      </w:r>
    </w:p>
    <w:p>
      <w:pPr>
        <w:sectPr>
          <w:pgSz w:w="11900" w:h="16838" w:orient="portrait"/>
          <w:cols w:equalWidth="0" w:num="1">
            <w:col w:w="11220"/>
          </w:cols>
          <w:pgMar w:left="320" w:top="131" w:right="35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regarding our cash flows for the year ended December 31, 2017.</w:t>
      </w:r>
    </w:p>
    <w:p>
      <w:pPr>
        <w:spacing w:after="0" w:line="200" w:lineRule="exact"/>
        <w:rPr>
          <w:sz w:val="20"/>
          <w:szCs w:val="20"/>
          <w:color w:val="auto"/>
        </w:rPr>
      </w:pPr>
    </w:p>
    <w:p>
      <w:pPr>
        <w:spacing w:after="0" w:line="368"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(in millions of DKK)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Cash inflow (outflow) from operating activities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Cash (outflow) from investing activities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Cash inflow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b w:val="1"/>
          <w:bCs w:val="1"/>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Year Ended</w:t>
      </w:r>
    </w:p>
    <w:p>
      <w:pPr>
        <w:spacing w:after="0" w:line="13" w:lineRule="exact"/>
        <w:rPr>
          <w:sz w:val="20"/>
          <w:szCs w:val="20"/>
          <w:color w:val="auto"/>
        </w:rPr>
      </w:pPr>
    </w:p>
    <w:p>
      <w:pPr>
        <w:jc w:val="center"/>
        <w:ind w:right="192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13335</wp:posOffset>
            </wp:positionV>
            <wp:extent cx="6083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0</wp:posOffset>
            </wp:positionV>
            <wp:extent cx="6083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jc w:val="right"/>
        <w:ind w:right="1820"/>
        <w:spacing w:after="0"/>
        <w:rPr>
          <w:sz w:val="20"/>
          <w:szCs w:val="20"/>
          <w:color w:val="auto"/>
        </w:rPr>
      </w:pPr>
      <w:r>
        <w:rPr>
          <w:rFonts w:ascii="Arial" w:cs="Arial" w:eastAsia="Arial" w:hAnsi="Arial"/>
          <w:sz w:val="18"/>
          <w:szCs w:val="18"/>
          <w:color w:val="auto"/>
        </w:rPr>
        <w:t>1,589.0</w:t>
      </w:r>
    </w:p>
    <w:p>
      <w:pPr>
        <w:spacing w:after="0" w:line="8"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(667.6)</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214.9</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1,136.3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-115570</wp:posOffset>
            </wp:positionV>
            <wp:extent cx="608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29210</wp:posOffset>
            </wp:positionV>
            <wp:extent cx="6083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46355</wp:posOffset>
            </wp:positionV>
            <wp:extent cx="608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820" w:space="700"/>
            <w:col w:w="2700"/>
          </w:cols>
          <w:pgMar w:left="320" w:top="131" w:right="359" w:bottom="1440" w:gutter="0" w:footer="0" w:header="0"/>
          <w:type w:val="continuous"/>
        </w:sectPr>
      </w:pPr>
    </w:p>
    <w:p>
      <w:pPr>
        <w:spacing w:after="0" w:line="72"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Cash inflow from operating activities for the year ended December 31, 2017 was DKK 1,589.0 million and is primarily related to our operating result, working capital fluctuations, and changes in non-cash expenses all of which may be highly variable period to period. The inflow was primarily related to operating income and positive working capital adjustments driven by the timing of milestone payments.</w:t>
      </w:r>
    </w:p>
    <w:p>
      <w:pPr>
        <w:spacing w:after="0" w:line="1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Cash outflow from investing activities for the year ended December 31, 2017 was DKK 667.6 million. This outflow primarily reflects differences between the proceeds received from sale and maturity of our investments and the amounts invested. In 2017, purchases of marketable securities exceeded sales and maturities, which resulted in significant growth in marketable securities.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inflow from financing activities for the year ended December 31, 2017 was DKK 214.9 million. This inflow is primarily related to the proceeds from the exercise of warrants. During 2017, proceeds from the exercise of warrants were DKK 214.9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cash at year end December 31, 2017 was DKK 1,347.5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operating lease obligations as of December 31, 2017.</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More than</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3 years but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Less than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less than</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More than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460" w:type="dxa"/>
            <w:vAlign w:val="bottom"/>
          </w:tcPr>
          <w:p>
            <w:pPr>
              <w:ind w:left="20"/>
              <w:spacing w:after="0"/>
              <w:rPr>
                <w:sz w:val="20"/>
                <w:szCs w:val="20"/>
                <w:color w:val="auto"/>
              </w:rPr>
            </w:pPr>
            <w:r>
              <w:rPr>
                <w:rFonts w:ascii="Arial" w:cs="Arial" w:eastAsia="Arial" w:hAnsi="Arial"/>
                <w:sz w:val="13"/>
                <w:szCs w:val="13"/>
                <w:b w:val="1"/>
                <w:bCs w:val="1"/>
                <w:color w:val="auto"/>
              </w:rPr>
              <w:t>(in millions of DKK)</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1 to 3 years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5 years</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189.5</w:t>
            </w:r>
          </w:p>
        </w:tc>
      </w:tr>
      <w:tr>
        <w:trPr>
          <w:trHeight w:val="20"/>
        </w:trPr>
        <w:tc>
          <w:tcPr>
            <w:tcW w:w="4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Our operating lease obligations in the table above relate to operating leases for office space, which are non-cancelable for various periods up to 2025. In addition to our operating leases, we have also entered into a number of agreements primarily related to research and development activities. These short term contractual obligations amounted to DKK 356.0 million as of December 31, 2017, all of which is due in less than one year.</w:t>
      </w:r>
    </w:p>
    <w:p>
      <w:pPr>
        <w:spacing w:after="0" w:line="160"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We also have certain contingent commitments under our manufacturing, license and collaboration agreements that may become due for future payments. These contingent commitments amount up to approximately $315.0 million in potential future development, regulatory and commercial milestone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payments to third parties under license and collaboration agreements for our pre-clinical and clinical-stage development programs. These milestone payments generally become due and payable only upon the achievement of certain development, clinical, regulatory or commercial milestones. The events triggering such payments or obligations have not yet occurred.</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Increases or decreases in the exchange rate of foreign currencies against DKK can affect our results and cash position negatively or positively.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Most of our financial transactions are made in Danish kroner, U.S. dollars and Euros. As our reporting currency is Danish kroner, we experience exchange rate risk with respect to our holdings and transactions denominated in currencies other than Danish kroner. Our U.S. dollar currency exposure is partly related to cash deposits, marketable securities, royalties and milestone payments and receivables related to our collaborations with Janssen and Novartis.</w:t>
      </w:r>
    </w:p>
    <w:p>
      <w:pPr>
        <w:spacing w:after="0" w:line="14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royalties and milestone payments are largely paid in U.S. dollars and Euros. We entered into derivative contracts during the fourth quarter of 2016 to hedge a portion of the associated currency exposure of royalty payments from net sales of DARZALEX by Janssen. The total notional amount of foreign exchange forward contracts that matured in 2017 was $27.0 million and we recognized a gain of DKK 18.0 million in the income statement as part of financial income related to these contracts. As of December 31, 2017, one forward exchange contract remained outstanding with a notional amount of $15.0 million and a fair value of DKK 12.2 million. While we may enter into derivative contracts in the future, we do not generally hedge our currency exposure on our royalties and milestone payments or other income and expense items in the ordinary course.</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Due to long-standing policy of Danmarks Nationalbank with respect to the €/DKK exchange rate, we believe that there are currently no material transaction exposure or exchange rate risks regarding transactions in Euros. Since the introduction of the Euro in 1999, Denmark has committed to maintaining a central rate of 7.46 DKK to 1 €. This rate may fluctuate within a +/– 2.25% band. Although there has been some pressure on the DKK, we do not expect the €/DKK exchange rate to move outside of the current limits. However, should Denmark's policy towards the Euro change, the DKK values of our Euro-denominated assets and costs could be materially different compared to what is calculated and reported under the existing Danish policy towards the €/DKK exchange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Our exposure to interest rate risks is primarily related to marketable securities, as we currently do not have significant interest-bearing debts. To control and minimize interest rate risk, we maintain an investment portfolio in a variety of securities with a relatively short effective duration. The portfolio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had a weighted average effective duration of approximately 1.6 years, with no securities that had an effective duration of more than 8 years, which means that a change in the interest rates of one percentage point will cause the fair value of the securities to change by approximately 1.6%.</w:t>
      </w:r>
    </w:p>
    <w:p>
      <w:pPr>
        <w:spacing w:after="0" w:line="141" w:lineRule="exact"/>
        <w:rPr>
          <w:sz w:val="20"/>
          <w:szCs w:val="20"/>
          <w:color w:val="auto"/>
        </w:rPr>
      </w:pPr>
    </w:p>
    <w:p>
      <w:pPr>
        <w:ind w:right="400" w:firstLine="351"/>
        <w:spacing w:after="0" w:line="331" w:lineRule="auto"/>
        <w:rPr>
          <w:sz w:val="20"/>
          <w:szCs w:val="20"/>
          <w:color w:val="auto"/>
        </w:rPr>
      </w:pPr>
      <w:r>
        <w:rPr>
          <w:rFonts w:ascii="Arial" w:cs="Arial" w:eastAsia="Arial" w:hAnsi="Arial"/>
          <w:sz w:val="16"/>
          <w:szCs w:val="16"/>
          <w:color w:val="auto"/>
        </w:rPr>
        <w:t>Due to the short-term nature of the current investments and to the extent that we are able to hold the investments to maturity, we consider our current exposure to changes in fair value due to interest rate changes to be insignificant compared to the fair value of the portfolio.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exposed to credit risks in respect of our marketable securities and bank deposits. To manage and reduce credit risks on our marketable securities, only securities from investment grade issuers are eligible for our portfolios (</w:t>
      </w:r>
      <w:r>
        <w:rPr>
          <w:rFonts w:ascii="Arial" w:cs="Arial" w:eastAsia="Arial" w:hAnsi="Arial"/>
          <w:sz w:val="16"/>
          <w:szCs w:val="16"/>
          <w:i w:val="1"/>
          <w:iCs w:val="1"/>
          <w:color w:val="auto"/>
        </w:rPr>
        <w:t>i.e.</w:t>
      </w:r>
      <w:r>
        <w:rPr>
          <w:rFonts w:ascii="Arial" w:cs="Arial" w:eastAsia="Arial" w:hAnsi="Arial"/>
          <w:sz w:val="16"/>
          <w:szCs w:val="16"/>
          <w:color w:val="auto"/>
        </w:rPr>
        <w:t>, A-1 or A- or higher in the short-term and long-term, respectively, by Standard &amp; Poor's). As of December 31, 2017, 91% of our marketable securities had a triple A-rating. To reduce the credit risks on our bank deposits, we only invest cash deposits with highly rated financial institutions (</w:t>
      </w:r>
      <w:r>
        <w:rPr>
          <w:rFonts w:ascii="Arial" w:cs="Arial" w:eastAsia="Arial" w:hAnsi="Arial"/>
          <w:sz w:val="16"/>
          <w:szCs w:val="16"/>
          <w:i w:val="1"/>
          <w:iCs w:val="1"/>
          <w:color w:val="auto"/>
        </w:rPr>
        <w:t>i.e.</w:t>
      </w:r>
      <w:r>
        <w:rPr>
          <w:rFonts w:ascii="Arial" w:cs="Arial" w:eastAsia="Arial" w:hAnsi="Arial"/>
          <w:sz w:val="16"/>
          <w:szCs w:val="16"/>
          <w:color w:val="auto"/>
        </w:rPr>
        <w:t>, A-1 or higher short-term rating by Standard &amp; Poor's).</w:t>
      </w:r>
    </w:p>
    <w:p>
      <w:pPr>
        <w:spacing w:after="0" w:line="16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are also exposed to the credit risk of our partners. As of December 31, 2017, 88% of our receivables were related to our collaboration agreements with our partners. If any of our partners become unable to meet their obligations under one or more of our collaboration agreements, this may negatively impact our ability to receive income to which we are entitled.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consolidated financial statements have been prepared in accordance with IFRS, as issued by the IASB. A description of our significant accounting policies is provided in Note 1.1 to our audited consolidated financial statements as of, and for the year ended, December 31, 2017 included elsewhere in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New and Revised Standards and Interpretations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IASB has issued new standards and revisions to existing standards and new interpretations, the majority of which are effective for accounting periods beginning on January 1, 2018 or later. The implementation of these new or revised standards and interpretations have not resulted in any significant impact on our net result for the year ended December 31, 2017 or our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and Interpretations Not Yet in Effect</w:t>
      </w:r>
    </w:p>
    <w:p>
      <w:pPr>
        <w:spacing w:after="0" w:line="225"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At the date of the approval of the consolidated financial statements, the following new and revised standards and interpretations have been issued and are not yet effective. Therefore, they have not been adopted in these consolidated financial statements for the year ended December 31, 2017, included elsewhere in this prospectus: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IFRS 9 "Financial Instruments", effective for annual periods beginning on or after January 1, 2018. IFRS 9 Financial Instruments is part of the IASB's project to replace IAS 39 Financial Instruments: Recognition and Measurement, and the new standard will change the classification, presentation and measurement of financial instruments and hedging requirements. We have assessed the impact of the standard, and it will not have any material impact on the consolidated financial statements. We will adopt IFRS 9 on the effective date.</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IFRS 15 "Revenue from Contracts with Customers", or IFRS 15, effective for annual periods beginning on or after January 1, 2018. Under the new standard, entities will apply a five-step model to determine when, how and at what amount revenue is to be recognized depending on whether certain criteria are met. IASB issued Clarifications to </w:t>
      </w:r>
      <w:r>
        <w:rPr>
          <w:rFonts w:ascii="Arial" w:cs="Arial" w:eastAsia="Arial" w:hAnsi="Arial"/>
          <w:sz w:val="18"/>
          <w:szCs w:val="18"/>
          <w:i w:val="1"/>
          <w:iCs w:val="1"/>
          <w:color w:val="auto"/>
        </w:rPr>
        <w:t>"Amendments to IFRS 15—Clarifications to IFRS 15 Revenue from Contracts with Customers"</w:t>
      </w:r>
      <w:r>
        <w:rPr>
          <w:rFonts w:ascii="Arial" w:cs="Arial" w:eastAsia="Arial" w:hAnsi="Arial"/>
          <w:sz w:val="18"/>
          <w:szCs w:val="18"/>
          <w:color w:val="auto"/>
        </w:rPr>
        <w:t>, with an effective date of January 1, 2018. The clarifications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address how to identify the performance obligations in a contract, how to determine whether a party involved in a transaction is the principal or the agent, how to determine whether a license provides the customer with a right to access or a right to use the entity's intellectual property, and added practical expedients to the transition requirements of IFRS 15. We will adopt IFRS 15 on the effective date utilizing the modified retrospective method. We have performed an analysis of the adoption of IFRS 15 and determined the adoption will have the following impact to our revenue recognition for our collaboration agreements:</w:t>
      </w:r>
    </w:p>
    <w:p>
      <w:pPr>
        <w:spacing w:after="0" w:line="180" w:lineRule="exact"/>
        <w:rPr>
          <w:sz w:val="20"/>
          <w:szCs w:val="20"/>
          <w:color w:val="auto"/>
        </w:rPr>
      </w:pPr>
    </w:p>
    <w:p>
      <w:pPr>
        <w:ind w:left="1080" w:right="100" w:hanging="532"/>
        <w:spacing w:after="0" w:line="290"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revenue recognition for licenses of functional intellectual property resulted in a timing difference of revenue recognition between current accounting standards and IFRS 15. For certain of our agreements, the value associated with the licenses and certain other deliverables had been assessed as one unit of accounting and recognized over a period of time pursuant to revenue recognition guidance in effect at time of such agreements. Under IFRS 15, the licenses of functional intellectual property were determined to be distinct from other deliverables and the customers obtained the right to use the functional intellectual property on the effective date of the agreements when control transferred. This timing difference of revenue recognition will result in the deferred revenue balance of DKK 150.6 million as of December 31, 2017 being reclassified to accumulated deficit in the first quarter of 2018 as a transition adjustment.</w:t>
      </w:r>
    </w:p>
    <w:p>
      <w:pPr>
        <w:spacing w:after="0" w:line="198"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milestone payments, under current accounting standards, we recognize such payments as revenue in the period that the payment-triggering event occurred or is achieved. IFRS 15 may require us to recognize such payments as revenue before the payment-triggering event is completely achieved, subject to management's assessment of whether it is highly probable that the triggering event will be achieved and that a significant reversal in the amount of cumulative revenue recognized will not occur.</w:t>
      </w:r>
    </w:p>
    <w:p>
      <w:pPr>
        <w:spacing w:after="0" w:line="179" w:lineRule="exact"/>
        <w:rPr>
          <w:rFonts w:ascii="Arial" w:cs="Arial" w:eastAsia="Arial" w:hAnsi="Arial"/>
          <w:sz w:val="16"/>
          <w:szCs w:val="16"/>
          <w:color w:val="auto"/>
        </w:rPr>
      </w:pPr>
    </w:p>
    <w:p>
      <w:pPr>
        <w:ind w:left="1080" w:right="54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Sales-based royalties and commercial sales-based milestone payments will be recognized in the period to which the sales relate based on estimates provided by collaborations partners which is consistent with our current accounting policies.</w:t>
      </w:r>
    </w:p>
    <w:p>
      <w:pPr>
        <w:spacing w:after="0" w:line="14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IFRS 16 "Leases", or IFRS 16, effective for annual periods beginning on or after January 1, 2019. The standard requires that all leases be recognized in the balance sheet with a corresponding lease liability, except for short term assets and minor assets. Leased assets are amortized over the lease term, and payments are allocated between installments on the lease obligation and interest expense, classified as financial items. We are currently evaluating the guidance to determine the potential impact on the consolidated financial statements and thus far have identified that the most significant impact will be the recognition of new assets and liabilities for our non-cancellable operating leases of office and research facilities. However, we have not yet determined to what extent these commitments will result in the recognition of an asset and a liability for future payments and how this will affect our profit and classification of cash flows. We plan to adopt IFRS 16 on the effective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Estimates, Assumptions and Uncertainties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 the preparation of the consolidated financial statements, we make a number of accounting estimates which form the basis for the presentation, recognition and measurement of our assets and liabilities.</w:t>
      </w:r>
    </w:p>
    <w:p>
      <w:pPr>
        <w:spacing w:after="0" w:line="186"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used estimates are based on assumptions assessed to be reasonable by management. However, estimates are inherently uncertain and unpredictable. The assumptions can be incomplete or inaccurate and unexpected events or circumstances might occur. Furthermore, we are subject to risks and uncertainties that might result in deviations in actual results compared to estimates.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connection with the preparation of the consolidated financial statements, we have made a number of estimates and assumptions concerning carrying amounts.</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Revenue recognition is one of the most significant accounting estimates and assessments applied by us in our consolidated financial statements. Royalty income from licenses is recognized in accordance with contract terms when third-party results are available and are deemed to be reliable. Recognition is based on estimates made before amounts are collected using preliminary sales data received from the third party. Milestone payments are recognized immediately if a separate earnings process relative to the milestone payment has been completed and achieved. With respect to deferred revenue, upfront payments deemed attributable to subsequent research and development work are initially deferred and recognized as revenue over the planned development period based on development plans at the time we enter into the relevant agreement. We reassess the allocation period when the planned development period changes significantly.</w:t>
      </w:r>
    </w:p>
    <w:p>
      <w:pPr>
        <w:spacing w:after="0" w:line="20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Evaluating the criteria for revenue recognition with respect to our research and development, license and collaboration agreements requires managements' judgment to ensure that all criteria have been fulfilled prior to recognizing any amount of revenue. In particular, such judgments are made with respect to determination of the nature of transactions, whether simultaneous transactions shall be considered as one or more revenue-generating transactions, allocation of the contractual price (upfront and milestone payments and obtained share premium to the market value on shares subscribed in connection with a collaboration agreement) to several elements included in an agreement, and the determination of whether the significant risks and rewards have been transferred to the buyers.</w:t>
      </w:r>
    </w:p>
    <w:p>
      <w:pPr>
        <w:spacing w:after="0" w:line="198"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We recognize deferred tax assets only to the extent that it is probable that future taxable profit will be available against which the deferred tax assets can be utilized. Such assessment is required on a jurisdiction by jurisdiction basis. Changes in future taxable income impact the utilization of deferred tax assets, recognized as well as unrecognized deferred tax assets. The recognition of deferred tax assets requires judgment and estimation by us and involves estimates based on certain assumptions in relation to future taxable income.</w:t>
      </w:r>
    </w:p>
    <w:p>
      <w:pPr>
        <w:spacing w:after="0" w:line="169" w:lineRule="exact"/>
        <w:rPr>
          <w:sz w:val="20"/>
          <w:szCs w:val="20"/>
          <w:color w:val="auto"/>
        </w:rPr>
      </w:pPr>
    </w:p>
    <w:p>
      <w:pPr>
        <w:ind w:right="160" w:firstLine="351"/>
        <w:spacing w:after="0" w:line="331" w:lineRule="auto"/>
        <w:rPr>
          <w:sz w:val="20"/>
          <w:szCs w:val="20"/>
          <w:color w:val="auto"/>
        </w:rPr>
      </w:pPr>
      <w:r>
        <w:rPr>
          <w:rFonts w:ascii="Arial" w:cs="Arial" w:eastAsia="Arial" w:hAnsi="Arial"/>
          <w:sz w:val="16"/>
          <w:szCs w:val="16"/>
          <w:color w:val="auto"/>
        </w:rPr>
        <w:t>Please refer to the notes to our audited consolidated financial statements included elsewhere in this prospectus for further description of other significant accounting estimates and assumptions used with respect to share-based compensation and research and development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 advantage of specified reduced reporting and other burdens that are otherwise applicable generally to public companies. These provisions include:</w:t>
      </w:r>
    </w:p>
    <w:p>
      <w:pPr>
        <w:spacing w:after="0" w:line="207" w:lineRule="exact"/>
        <w:rPr>
          <w:sz w:val="20"/>
          <w:szCs w:val="20"/>
          <w:color w:val="auto"/>
        </w:rPr>
      </w:pPr>
    </w:p>
    <w:p>
      <w:pPr>
        <w:ind w:left="1080" w:right="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to include only two years of audited financial statements and only two years of related Management's Discussion and Analysis of Financial Condition and Results of Operations disclosure; and</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choose to take advantage of some but not all of these reduced burdens, and therefore the information that we provide holders of shares and ADSs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currently prepare our consolidated financial statements in accordance with IFRS as issued by the IASB, so we are unable to make use of the extended transition period. However, in the event that we convert to accounting principles generally accepted in the United States (which we do not currently intend to do) while we remain an emerging growth company, we have irrevocably elected to opt out of such extended transition period.</w:t>
      </w:r>
    </w:p>
    <w:p>
      <w:pPr>
        <w:spacing w:after="0" w:line="17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will cease to be an emerging growth company upon the earliest of the following:</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revenues were at least $1.07 billion;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securities over a three-year period; and</w:t>
      </w:r>
    </w:p>
    <w:p>
      <w:pPr>
        <w:spacing w:after="0" w:line="238" w:lineRule="exact"/>
        <w:rPr>
          <w:rFonts w:ascii="Arial" w:cs="Arial" w:eastAsia="Arial" w:hAnsi="Arial"/>
          <w:sz w:val="18"/>
          <w:szCs w:val="18"/>
          <w:color w:val="auto"/>
        </w:rPr>
      </w:pPr>
    </w:p>
    <w:p>
      <w:pPr>
        <w:jc w:val="both"/>
        <w:ind w:left="1080" w:right="18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last day of the fiscal year during which we meet the following conditions: (i) the worldwide market value of our common equity securities held by non-affiliates as of our most recently completed second fiscal quarter is at least $700 million, (ii) we have been subject to U.S. public company reporting requirements for at least 12 months and (iii) we have filed at least one annual report as a U.S. public company.</w:t>
      </w:r>
    </w:p>
    <w:p>
      <w:pPr>
        <w:spacing w:after="0" w:line="160"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69" w:lineRule="exact"/>
        <w:rPr>
          <w:sz w:val="20"/>
          <w:szCs w:val="20"/>
          <w:color w:val="auto"/>
        </w:rPr>
      </w:pPr>
    </w:p>
    <w:p>
      <w:pPr>
        <w:ind w:left="1080" w:right="2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86" w:lineRule="exact"/>
        <w:rPr>
          <w:sz w:val="20"/>
          <w:szCs w:val="20"/>
          <w:color w:val="auto"/>
        </w:rPr>
      </w:pPr>
    </w:p>
    <w:p>
      <w:pPr>
        <w:ind w:right="80" w:firstLine="351"/>
        <w:spacing w:after="0" w:line="369" w:lineRule="auto"/>
        <w:rPr>
          <w:sz w:val="20"/>
          <w:szCs w:val="20"/>
          <w:color w:val="auto"/>
        </w:rPr>
      </w:pPr>
      <w:r>
        <w:rPr>
          <w:rFonts w:ascii="Arial" w:cs="Arial" w:eastAsia="Arial" w:hAnsi="Arial"/>
          <w:sz w:val="15"/>
          <w:szCs w:val="15"/>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1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a public company listed on the Nasdaq Global Select Market, the Sarbanes-Oxley Act will require, among other things, that we assess the effectiveness of our internal control over financial reporting at the end of each fiscal year. We anticipate being required to issue management's assessment of internal control over financial reporting pursuant to Section 404(a) of the Sarbanes-Oxley Act for the first time in connection with issuing our consolidated financial statements as of and for the year ending December 31, 2020.</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connection with our financial statement preparation process for the year ended December 31, 2017, we have not identified material weaknesses in the design and operating effectiveness of our internal controls over financial reporting.</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however, discover future deficiencies in our internal controls over financial reporting, including those identified through testing conducted by us pursuant to Section 404(a) of the Sarbanes-Oxley Act or subsequent testing by our independent registered public accounting firm. Such deficiencies may be deemed to be significant deficiencies or material weaknesses and may require changes to our consolidated financial statements or identify other areas for further attention or improvement.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Today, we have a well-diversified portfolio of products, product candidates and technologies. Our portfolio includes two marketed partnered products, daratumumab, marketed as DARZALEX for the treatment of certain indications of multiple myeloma, or MM, and ofatumumab, marketed as Arzerra for the treatment of certain indications of chronic lymphocytic leukemia, or CLL, in addition to a broad pipeline of differentiated product candidates. Our pipeline includes four proprietary product candidates in clinical development and approximately 20 proprietary and partnered pre-clinical programs, including three proprietary product candidates for which we intend to submit an IND to the FDA and/or a CTA to the EMA in 2019. In addition to our proprietary clinical product candidates and our partners' ongoing label expansion studies for daratumumab and ofatumumab, our partners have eight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chart summarizes the disease indications and most advanced development status of our marketed products, each of the proprietary product candidates in our clinical pipeline and the most advanced product candidates in our pre-clinical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123190</wp:posOffset>
            </wp:positionV>
            <wp:extent cx="5563235" cy="3625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323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489065" cy="3215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8906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right="360" w:hanging="532"/>
        <w:spacing w:after="0" w:line="256" w:lineRule="auto"/>
        <w:tabs>
          <w:tab w:leader="none" w:pos="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Pursuant to our development, manufacturing and commercialization agreement with Janssen, we receive tiered royalty payments of 12% to 20% based on Janssen's annual net product sales of daratumumab. See "—Our Products and Product Candidates—Daratumumab (DARZALEX)—Collaboration with Janssen" for more information about our agreement with Janssen.</w:t>
      </w:r>
    </w:p>
    <w:p>
      <w:pPr>
        <w:spacing w:after="0" w:line="1" w:lineRule="exact"/>
        <w:rPr>
          <w:rFonts w:ascii="Arial" w:cs="Arial" w:eastAsia="Arial" w:hAnsi="Arial"/>
          <w:sz w:val="12"/>
          <w:szCs w:val="12"/>
          <w:color w:val="auto"/>
        </w:rPr>
      </w:pPr>
    </w:p>
    <w:p>
      <w:pPr>
        <w:ind w:left="540" w:right="60" w:hanging="532"/>
        <w:spacing w:after="0" w:line="231"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DARZALEX has received marketing approval in combination with certain treatment regimens for frontline and relapsed/refractory, or R/R, MM, and as a monotherapy for heavily pre-treated MM, in a number of countries, including the United States and the European Union. See "—Our Products and Product Candidates—Daratumumab (DARZALEX)—Daratumumab for the Treatment of Multiple Myeloma—Existing Marketing Approvals and Pending Regulatory Applications" for more information about existing marketing approvals for DARZALEX.</w:t>
      </w:r>
    </w:p>
    <w:p>
      <w:pPr>
        <w:ind w:left="540" w:hanging="532"/>
        <w:spacing w:after="0" w:line="231"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addition to existing approvals for frontline MM in certain jurisdictions, Janssen is conducting studies of daratumumab for additional frontline MM indications, which differ from existing frontline approvals based on the combination treatment regimen, transplant-eligibility of patients and/or jurisdiction(s) of the study. See "—Our Products and Product Candidates—Daratumumab (DARZALEX)—Daratumumab for the Treatment of Multiple Myeloma—Key Ongoing Trials for Additional MM Indications" for more information about these ongoing trials.</w:t>
      </w:r>
    </w:p>
    <w:p>
      <w:pPr>
        <w:ind w:left="540" w:right="460" w:hanging="532"/>
        <w:spacing w:after="0" w:line="227"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 addition to certain clinical studies specifically assessing the safety and efficacy of a subQ formulation of daratumumab for the treatment of certain MM indications, a subQ formulation of daratumumab is being used in a number of other studies of daratumumab for the treatment of frontline MM, R/R MM and other disease indications.</w:t>
      </w:r>
    </w:p>
    <w:p>
      <w:pPr>
        <w:ind w:left="540" w:right="40" w:hanging="532"/>
        <w:spacing w:after="0" w:line="246" w:lineRule="auto"/>
        <w:tabs>
          <w:tab w:leader="none" w:pos="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Pursuant to our agreement with Novartis, we are entitled to royalties of 20% of worldwide net sales of ofatumumab for the treatment of cancer, and low double-digit royalties of worldwide net sales of ofatumumab for non-cancer treatments. See "—Our Products and Product Candidates—Ofatumumab—Collaboration with Novartis" for more information about our agreement with Novartis.</w:t>
      </w:r>
    </w:p>
    <w:p>
      <w:pPr>
        <w:ind w:left="540" w:right="160" w:hanging="532"/>
        <w:spacing w:after="0" w:line="232"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Ofatumumab, marketed as Arzerra, has been approved for certain CLL indications in the United States, the European Union and a number of other countries. Due to significant competition in the CLL treatment space and low and decreasing global demand for Arzerra, on January 22, 2018, Novartis announced that it intends to transition Arzerra in non-U.S. markets from commercial availability to limited availability through managed access programs or alternative solutions for approved CLL indications where applicable and allowed by local regulators, but will continue to market Arzerra for approved CLL indications in the United States and Japan.</w:t>
      </w:r>
    </w:p>
    <w:p>
      <w:pPr>
        <w:spacing w:after="0" w:line="2" w:lineRule="exact"/>
        <w:rPr>
          <w:rFonts w:ascii="Arial" w:cs="Arial" w:eastAsia="Arial" w:hAnsi="Arial"/>
          <w:sz w:val="13"/>
          <w:szCs w:val="13"/>
          <w:color w:val="auto"/>
        </w:rPr>
      </w:pPr>
    </w:p>
    <w:p>
      <w:pPr>
        <w:ind w:left="540" w:hanging="532"/>
        <w:spacing w:after="0"/>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Solid tumors include head and neck cancer, squamous non-small-cell lung cancer, or NSCLC, pancreatic adenocarcinoma and colorectal cancer.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 and Proposed Label Expansion</w:t>
      </w:r>
    </w:p>
    <w:p>
      <w:pPr>
        <w:spacing w:after="0" w:line="225"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Our lead product, daratumumab, marketed as DARZALEX for the treatment of certain multiple myeloma indications, is a human IgG1k monoclonal antibody, or mAb, that binds with high affinity to the CD38 molecule, which is highly expressed on the surface of MM cells. When first approved by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FDA in 2015, it was the first human CD38-targeting mAb to reach the market and the first mAb to receive FDA approval to treat multiple myeloma. DARZALEX is commercialized by Janssen, under an exclusive development, manufacturing and commercialization agreement we entered into in 2012. Pursuant to this agreement, we receive tiered royalty payments of 12% to 20% based on Janssen's annual net product sales and are eligible for certain additional payments in connection with development, regulatory and sales milestones. Janssen is fully responsible for developing and commercializing daratumumab and all costs associated therewith. Janssen has obtained regulatory approvals for DARZALEX for certain multiple myeloma indications in a number of countries, including the United States, the European Union and Japan. In addition, applications for label expansion in the United States and Japan and for initial approval in China are currently pending with applicable regulators. Following the U.S. commercial launch of DARZALEX in 2015, DARZALEX achieved blockbuster sales status with annual net sales of $1.2 billion in 2017. We recorded $171.0 million in milestone payments for daratumumab and DKK 1,013.2 million ($150.4 million) in royalties related to DARZALEX sales in 2017.</w:t>
      </w:r>
    </w:p>
    <w:p>
      <w:pPr>
        <w:spacing w:after="0" w:line="173"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chart below illustrates daratumumab's significant impact and versatility as a combination treatment for certain indications of frontline multiple myeloma and relapsed/refractory multiple myeloma in four pivotal Phase III studies. Each study was a head-to-head study comparing daratumumab, or D, in combination with a standard MM treatment regimen versus the standard treatment alone.</w:t>
      </w:r>
    </w:p>
    <w:p>
      <w:pPr>
        <w:spacing w:after="0" w:line="207"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frontline treatment of transplant-ineligible MM patients, the ALCYONE and MAIA studies compared daratumumab in combination with</w:t>
      </w:r>
    </w:p>
    <w:p>
      <w:pPr>
        <w:spacing w:after="0" w:line="38" w:lineRule="exact"/>
        <w:rPr>
          <w:rFonts w:ascii="Arial" w:cs="Arial" w:eastAsia="Arial" w:hAnsi="Arial"/>
          <w:sz w:val="16"/>
          <w:szCs w:val="16"/>
          <w:color w:val="auto"/>
        </w:rPr>
      </w:pPr>
    </w:p>
    <w:p>
      <w:pPr>
        <w:ind w:left="1080"/>
        <w:spacing w:after="0" w:line="290" w:lineRule="auto"/>
        <w:rPr>
          <w:rFonts w:ascii="Arial" w:cs="Arial" w:eastAsia="Arial" w:hAnsi="Arial"/>
          <w:sz w:val="16"/>
          <w:szCs w:val="16"/>
          <w:color w:val="auto"/>
        </w:rPr>
      </w:pPr>
      <w:r>
        <w:rPr>
          <w:rFonts w:ascii="Arial" w:cs="Arial" w:eastAsia="Arial" w:hAnsi="Arial"/>
          <w:sz w:val="16"/>
          <w:szCs w:val="16"/>
          <w:color w:val="auto"/>
        </w:rPr>
        <w:t>(i) bortezomib, melphalan and prednisone, or VMP, versus VMP alone in the ALCYONE study and (ii) lenalidomide and dexamethasone, or Rd, versus Rd alone in the MAIA study. The ALCYONE study supported the U.S. and EU regulatory approvals of DARZALEX in combination with VMP for frontline treatment of transplant-ineligible MM patients. In January 2019, Janssen initiated a supplemental Biologics License Application, or sBLA, submission to the FDA for DARZALEX in combination with Rd for frontline treatment of transplant-ineligible MM patients based on the MAIA study, which the FDA plans to review under its Real-Time Oncology Review, or RTOR, Pilot Program. In addition, we expect Janssen to submit a marketing authorization application, or MAA, to the EMA based on the MAIA study in 2019.</w:t>
      </w:r>
    </w:p>
    <w:p>
      <w:pPr>
        <w:spacing w:after="0" w:line="198"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relapsed/refractory setting, the POLLUX and CASTOR studies compared daratumumab in combination with (i) Rd, versus Rd alone in the POLLUX study and (ii) bortezomib and dexamethasone, or Vd, versus Vd alone in the CASTOR study. The POLLUX and CASTOR studies supported the U.S., EU and Japanese regulatory approvals of DARZALEX in combination with Rd and Vd, respectively, for the treatment of relapsed/refractory MM.</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Data for each of these studies was presented at the American Society for Hematology's Annual Meeting, or ASH, in December 2018. Safety data and other details regarding each of these studies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outlined in "—Our Products and Product Candidates—Daratumumab (DARZALEX)—Daratumumab for the Treatment of Multiple Myeloma"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6489065" cy="2494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8906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CR + sCR in daratumumab arm versus control arm. CR = complete response; sCR = stringent complete response.</w:t>
      </w:r>
    </w:p>
    <w:p>
      <w:pPr>
        <w:ind w:left="540" w:right="60" w:hanging="532"/>
        <w:spacing w:after="0" w:line="196"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MRD = minimal residual disease, which refers to the persistence of small numbers of myeloma cells that remain after therapy and contribute to relapse and disease progression; MRD negativity is defined as the absence of aberrant clonal plasma cells on bone marrow aspirate, ruled out by an assay with a minimum sensitivity of one in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nucleated cells or higher; MRD-neg rate refers to the proportion of patients with negative MRD test results, tested at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sensitivity, or one in 10</w:t>
      </w:r>
      <w:r>
        <w:rPr>
          <w:rFonts w:ascii="Arial" w:cs="Arial" w:eastAsia="Arial" w:hAnsi="Arial"/>
          <w:sz w:val="22"/>
          <w:szCs w:val="22"/>
          <w:color w:val="auto"/>
          <w:vertAlign w:val="superscript"/>
        </w:rPr>
        <w:t>5</w:t>
      </w:r>
      <w:r>
        <w:rPr>
          <w:rFonts w:ascii="Arial" w:cs="Arial" w:eastAsia="Arial" w:hAnsi="Arial"/>
          <w:sz w:val="13"/>
          <w:szCs w:val="13"/>
          <w:color w:val="auto"/>
        </w:rPr>
        <w:t xml:space="preserve"> cells, from the time of suspected CR or sCR, in the case of the MAIA, POLLUX and CASTOR studies and confirmed CR/sCR in the case of the ALCYONE study, and tested periodically for a certain period after dosing. See study descriptions below for more details about MRD assessments in these studies.</w:t>
      </w:r>
    </w:p>
    <w:p>
      <w:pPr>
        <w:spacing w:after="0" w:line="3" w:lineRule="exact"/>
        <w:rPr>
          <w:rFonts w:ascii="Arial" w:cs="Arial" w:eastAsia="Arial" w:hAnsi="Arial"/>
          <w:sz w:val="13"/>
          <w:szCs w:val="13"/>
          <w:color w:val="auto"/>
        </w:rPr>
      </w:pPr>
    </w:p>
    <w:p>
      <w:pPr>
        <w:ind w:left="540" w:hanging="532"/>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Risk reduction in disease progression or death versus control arm. PFS = progression free survival</w:t>
      </w:r>
    </w:p>
    <w:p>
      <w:pPr>
        <w:spacing w:after="0" w:line="20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Beyond the current labeled indications, Janssen is conducting a comprehensive clinical development program for daratumumab. This program includes multiple Phase III studies for the treatment of smoldering MM, or SMM, frontline MM, and relapsed/refractory, or R/R, MM, as well as key clinical studies for a subcutaneous, or subQ, formulation. In October 2018, we reported that Janssen's pivotal Phase III MAIA study of daratumumab in combination with Rd for frontline treatment of transplant-ineligible MM patients reached its primary endpoint of improving progression free survival, or PFS, at a pre-specified interim analysis, with a 44% reduction in the risk of progression or death in patients treated with daratumumab in combination with Rd compared to treatment with Rd alone and with a safety profile consistent with known safety profiles for daratumumab and Rd. In October 2018, we also reported topline results that the first part of Janssen's pivotal Phase III CASSIOPEIA study of daratumumab in combination with bortezomib, thalidomide and dexamethasone, or VTd, for frontline treatment of transplant-eligible MM patients met the primary endpoint of number of patients that achieved a stringent complete response, or sCR. Topline results for the first part of the CASSIOPEIA study showed that 28.9% of patients treated with daratumumab in combination with VTd achieved sCR, compared to 20.3% of patients who received VTd alone, with an odds ratio of 1.60 and with a safety profile consistent with known safety profiles for daratumumab and VTd. We expect Janssen to submit regulatory applications based on the CASSIOPEIA study in 2019 and to release initial data for the Phase III COLUMBA study for the subQ formulation of daratumumab and the Phase II GRIFFIN study for daratumumab in combination with bortezomib, lenalidomide and dexamethasone, or VRd, for frontline treatment of transplant-eligible MM patients. In addition to the ongoing studies of daratumumab for the treatment of MM, Janssen is conducting a number of studies to assess the use of daratumumab in the treatment of other malignant and pre-malignant diseases in which CD38 is expressed, including amyloidosis, acute lymphocytic leukemia and NKT-cell lymphoma.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Ofatumumab is a human IgG1k mAb that targets an epitope on the CD20 molecule, which is found on the surface of B-cells, the type of cell which is believed to trigger the inflammatory process that leads to multiple sclerosis, or MS. Novartis is currently investigating a subQ formulation of ofatumumab for the treatment of relapsing MS, or RMS, in the Phase III ASCLEPIOS I and II clinical studies with over 1,800 patients in total, and has reported that it expects to complete these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could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observed in the study, with no new or unexpected safety findings. Ofatumumab has already been approved for the treatment of certain CLL indications in the United States and certain other countries and is currently commercialized by Novartis for such CLL indications under the name Arzerra. Due to significant competition in the CLL treatment space and low and decreasing global demand for Arzerra, Novartis announced in January 2018 that it intends to transition Arzerra from commercial availability to limited availability in non-U.S. markets through managed access programs or alternative solutions for approved CLL indications where applicable and allowed by local regulations, but will continue to market Arzerra for approved CLL indications in the United States and Japan. Pursuant to our agreement with Novartis, we are entitled to royalties of 20% of worldwide net sales of ofatumumab for the treatment of cancer, and low double-digit royalties of worldwide net sales of ofatumumab for non-cancer treatments. Novartis is fully responsible for all costs associated with developing and commercializing ofatumumab.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Product Candidates</w:t>
      </w:r>
    </w:p>
    <w:p>
      <w:pPr>
        <w:spacing w:after="0" w:line="225"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We also have a strong pipeline of novel antibody-based product candidates for the treatment of solid tumors and hematological cancers, which are designed to address unmet medical needs and improve treatment outcomes for cancer patients. Our goal in building our pipeline is to retain at least 50% of product rights in selected programs for indications and in geographic areas where we believe we will be able to maximize their value; we consider such products to be "our own" proprietary products. We currently have four proprietary product candidates in clinical development:</w:t>
      </w:r>
    </w:p>
    <w:p>
      <w:pPr>
        <w:spacing w:after="0" w:line="180" w:lineRule="exact"/>
        <w:rPr>
          <w:sz w:val="20"/>
          <w:szCs w:val="20"/>
          <w:color w:val="auto"/>
        </w:rPr>
      </w:pPr>
    </w:p>
    <w:p>
      <w:pPr>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Tisotumab vedotin: </w:t>
      </w:r>
      <w:r>
        <w:rPr>
          <w:rFonts w:ascii="Arial" w:cs="Arial" w:eastAsia="Arial" w:hAnsi="Arial"/>
          <w:sz w:val="16"/>
          <w:szCs w:val="16"/>
          <w:color w:val="auto"/>
        </w:rPr>
        <w:t>an antibody-drug conjugate, or ADC, created to target tissue factor, or TF, a protein involved in tumor signaling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angiogenesis. Tisotumab vedotin is in clinical development for the treatment of cervical cancer and other solid tumors, including head and neck cancer, squamous non-small-cell lung cancer, or NSCLC, pancreatic adenocarcinoma and colorectal cancer. In October 2018, we released data from a 55-patient expansion cohort of the innovaTV 201 Phase I/II trial, which indicated that treatment with tisotumab vedotin resulted in encouraging activity in patients with relapsed, recurrent and/or metastatic cervical cancer. The data showed a combined confirmed and unconfirmed overall response rate, or ORR, of 31%, including confirmed partial response, or PR, in 11 patients and unconfirmed PR in five patients. Median duration of response, or DoR, was 4.9 months and median PFS was 4.1 months. We are also evaluating tisotumab vedotin in four additional clinical studies, including the potentially registrational innovaTV 204 Phase II trial for the treatment of patients with recurrent or metastatic cervical cancer, Phase II trials for the treatment of patients with ovarian cancer and solid tumors and a Phase I/II combination trial for the treatment of patients with cervical cancer. We expect to complete enrollment for the innovaTV 204 study in 2019. We are developing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tisotumab vedotin in collaboration with Seattle Genetics under an agreement in which the companies share all future costs and profits for the product on a 50:50 basis.</w:t>
      </w:r>
    </w:p>
    <w:p>
      <w:pPr>
        <w:spacing w:after="0" w:line="199" w:lineRule="exact"/>
        <w:rPr>
          <w:sz w:val="20"/>
          <w:szCs w:val="20"/>
          <w:color w:val="auto"/>
        </w:rPr>
      </w:pPr>
    </w:p>
    <w:p>
      <w:pPr>
        <w:ind w:left="1080" w:right="20" w:hanging="532"/>
        <w:spacing w:after="0" w:line="288"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Enapotamab vedotin (HuMax-AXL-ADC): </w:t>
      </w:r>
      <w:r>
        <w:rPr>
          <w:rFonts w:ascii="Arial" w:cs="Arial" w:eastAsia="Arial" w:hAnsi="Arial"/>
          <w:sz w:val="16"/>
          <w:szCs w:val="16"/>
          <w:color w:val="auto"/>
        </w:rPr>
        <w:t>an ADC created to target AXL, a unique tyrosine kinase receptor that is implicated in tumor cell</w:t>
      </w:r>
      <w:r>
        <w:rPr>
          <w:rFonts w:ascii="Arial" w:cs="Arial" w:eastAsia="Arial" w:hAnsi="Arial"/>
          <w:sz w:val="16"/>
          <w:szCs w:val="16"/>
          <w:i w:val="1"/>
          <w:iCs w:val="1"/>
          <w:color w:val="auto"/>
        </w:rPr>
        <w:t xml:space="preserve"> </w:t>
      </w:r>
      <w:r>
        <w:rPr>
          <w:rFonts w:ascii="Arial" w:cs="Arial" w:eastAsia="Arial" w:hAnsi="Arial"/>
          <w:sz w:val="16"/>
          <w:szCs w:val="16"/>
          <w:color w:val="auto"/>
        </w:rPr>
        <w:t>proliferation, migration and invasion.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or EMT-like features. In May 2018, we launched the NSCLC, melanoma and sarcoma expansion cohorts of our ongoing Phase I/II clinical trial of enapotamab vedotin for the treatment of multiple types of solid tumors. In September 2018, based on encouraging signs of early activity, we expanded one of the lung cancer cohorts, and announced our plans to include additional cohorts in the study. We expect to report initial efficacy analysis from the expansion cohort phase of this study in 2019. We have full development and commercialization rights for enapotamab vedotin.</w:t>
      </w:r>
    </w:p>
    <w:p>
      <w:pPr>
        <w:spacing w:after="0" w:line="199" w:lineRule="exact"/>
        <w:rPr>
          <w:rFonts w:ascii="Arial" w:cs="Arial" w:eastAsia="Arial" w:hAnsi="Arial"/>
          <w:sz w:val="16"/>
          <w:szCs w:val="16"/>
          <w:color w:val="auto"/>
        </w:rPr>
      </w:pPr>
    </w:p>
    <w:p>
      <w:pPr>
        <w:ind w:left="1080" w:right="200" w:hanging="532"/>
        <w:spacing w:after="0" w:line="25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HexaBody-DR5/DR5: </w:t>
      </w:r>
      <w:r>
        <w:rPr>
          <w:rFonts w:ascii="Arial" w:cs="Arial" w:eastAsia="Arial" w:hAnsi="Arial"/>
          <w:sz w:val="18"/>
          <w:szCs w:val="18"/>
          <w:color w:val="auto"/>
        </w:rPr>
        <w:t>an antibody therapeutic candidate created with our proprietary HexaBody technology that is composed of two non-competing HexaBody antibody molecules that are designed to target two distinct epitopes on death receptor 5, or DR5, a cell surface receptor that mediates a process called programmed cell death. In May 2018, we dosed the first patient in our Phase I/II clinical trial of HexaBody-DR5/DR5 for the treatment of solid tumors. We expect to report initial clinical data from this study in 2019. We have full development and commercialization rights for HexaBody-DR5/DR5.</w:t>
      </w:r>
    </w:p>
    <w:p>
      <w:pPr>
        <w:spacing w:after="0" w:line="214" w:lineRule="exact"/>
        <w:rPr>
          <w:rFonts w:ascii="Arial" w:cs="Arial" w:eastAsia="Arial" w:hAnsi="Arial"/>
          <w:sz w:val="18"/>
          <w:szCs w:val="18"/>
          <w:color w:val="auto"/>
        </w:rPr>
      </w:pPr>
    </w:p>
    <w:p>
      <w:pPr>
        <w:ind w:left="1080" w:right="100" w:hanging="532"/>
        <w:spacing w:after="0" w:line="25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DuoBody-CD3xCD20: </w:t>
      </w:r>
      <w:r>
        <w:rPr>
          <w:rFonts w:ascii="Arial" w:cs="Arial" w:eastAsia="Arial" w:hAnsi="Arial"/>
          <w:sz w:val="18"/>
          <w:szCs w:val="18"/>
          <w:color w:val="auto"/>
        </w:rPr>
        <w:t>a bispecific antibody created using our proprietary DuoBody technology that is designed to target CD3,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on all T-cell subtypes and CD20, a well-validated therapeutic target expressed in a majority of B-cell malignancies. In July 2018, we dosed the first patient in our Phase I/II clinical trial of a subQ formulation of DuoBody-CD3xCD20 for the treatment of B-cell malignancies. We expect to report initial clinical data from this study in 2019. We have full development and commercialization rights for DuoBody-CD3xCD20.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Partnered Product Candidates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addition to our proprietary product candidates and our two partnered marketed products in ongoing label expansion studies, our partners have eight additional product candidates in clinical development through collaboration agreements with us. These include several antibodies being developed by Janssen using our proprietary DuoBody technology, which are being tested to treat NSCLC, R/R acute myeloid leukemia and certain MM indications. Additional products are being developed in partnership with Roche through a sublicense with Horizon Pharma, BMS, ADC Therapeutics, Lundbeck and Amgen. Other than daratumumab and ofatumumab, our most advanced partnered clinical product candidate is teprotumumab, which is currently in Phase III clinical development by Horizon Pharma for the treatment of Graves' orbitopathy.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 Platforms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our proprietary and partnered products and product candidates, our portfolio includes four proprietary antibody technology platforms, which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 We currently have four commercial partners for the DuoBody technology, Janssen, BioNTech, Novo Nordisk and Gilead Sciences and we actively seek partners interested in developing potential antibody therapeutics using our technologies.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Purpose and Vision</w:t>
      </w:r>
    </w:p>
    <w:p>
      <w:pPr>
        <w:spacing w:after="0" w:line="231"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Our core purpose is to improve the lives of patients by creating and developing innovative antibody products. Our vision is to transform cancer treatment by launching our own proprietary product by 2025 and advancing our pipeline of differentiated and well-tolerated antibodies.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strengths that will enable us to achieve our vision and fulfill our core purpose include:</w:t>
      </w:r>
    </w:p>
    <w:p>
      <w:pPr>
        <w:spacing w:after="0" w:line="239" w:lineRule="exact"/>
        <w:rPr>
          <w:sz w:val="20"/>
          <w:szCs w:val="20"/>
          <w:color w:val="auto"/>
        </w:rPr>
      </w:pPr>
    </w:p>
    <w:p>
      <w:pPr>
        <w:ind w:left="1080" w:right="800" w:hanging="532"/>
        <w:spacing w:after="0" w:line="285"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DARZALEX, a blockbuster antibody in multiple myeloma, with opportunity for significant upside through potential label expansion. </w:t>
      </w:r>
      <w:r>
        <w:rPr>
          <w:rFonts w:ascii="Arial" w:cs="Arial" w:eastAsia="Arial" w:hAnsi="Arial"/>
          <w:sz w:val="16"/>
          <w:szCs w:val="16"/>
          <w:color w:val="auto"/>
        </w:rPr>
        <w:t>DARZALEX is a proven commercial success in its approved MM indications, achieving blockbuster status in 2017 with</w:t>
      </w:r>
    </w:p>
    <w:p>
      <w:pPr>
        <w:spacing w:after="0" w:line="1" w:lineRule="exact"/>
        <w:rPr>
          <w:rFonts w:ascii="Arial" w:cs="Arial" w:eastAsia="Arial" w:hAnsi="Arial"/>
          <w:sz w:val="16"/>
          <w:szCs w:val="16"/>
          <w:color w:val="auto"/>
        </w:rPr>
      </w:pPr>
    </w:p>
    <w:p>
      <w:pPr>
        <w:ind w:left="1080"/>
        <w:spacing w:after="0" w:line="253" w:lineRule="auto"/>
        <w:rPr>
          <w:rFonts w:ascii="Arial" w:cs="Arial" w:eastAsia="Arial" w:hAnsi="Arial"/>
          <w:sz w:val="16"/>
          <w:szCs w:val="16"/>
          <w:color w:val="auto"/>
        </w:rPr>
      </w:pPr>
      <w:r>
        <w:rPr>
          <w:rFonts w:ascii="Arial" w:cs="Arial" w:eastAsia="Arial" w:hAnsi="Arial"/>
          <w:sz w:val="18"/>
          <w:szCs w:val="18"/>
          <w:color w:val="auto"/>
        </w:rPr>
        <w:t>$1.2 billion of net sales by Janssen, resulting in royalties to us of DKK 1,013.2 million ($150.4 million). In addition to daratumumab's approved indications, Janssen is currently investigating daratumumab for additional indications in MM and beyond, including key studies in frontline MM and a subQ formulation of daratumumab. If successful, these proposed label expansions could result in milestone payments and additional royalties to us.</w:t>
      </w:r>
    </w:p>
    <w:p>
      <w:pPr>
        <w:spacing w:after="0" w:line="227"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Royalty potential from ongoing pivotal Phase III trials of ofatumumab in MS. </w:t>
      </w:r>
      <w:r>
        <w:rPr>
          <w:rFonts w:ascii="Arial" w:cs="Arial" w:eastAsia="Arial" w:hAnsi="Arial"/>
          <w:sz w:val="16"/>
          <w:szCs w:val="16"/>
          <w:color w:val="auto"/>
        </w:rPr>
        <w:t>Ofatumumab, previously approved for certain CLL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indications, is in pivotal Phase III testing by Novartis for the treatment of RMS, with the Phase III ASCLEPIOS I and II studies expected to be completed in 2019. Subject to successful completion of these studies and Novartis' ability to obtain approval for and successfully commercialize ofatumumab for the treatment of RMS, we may receive a meaningful royalty stream. We believe that ofatumumab may potentially offer a number of competitive advantages in the MS treatment market compared to other B-cell therapies, including more convenient and less disruptive dosing options through a low-dose subQ formulation.</w:t>
      </w:r>
    </w:p>
    <w:p>
      <w:pPr>
        <w:spacing w:after="0" w:line="187" w:lineRule="exact"/>
        <w:rPr>
          <w:rFonts w:ascii="Arial" w:cs="Arial" w:eastAsia="Arial" w:hAnsi="Arial"/>
          <w:sz w:val="16"/>
          <w:szCs w:val="16"/>
          <w:color w:val="auto"/>
        </w:rPr>
      </w:pPr>
    </w:p>
    <w:p>
      <w:pPr>
        <w:ind w:left="1080" w:right="20" w:hanging="532"/>
        <w:spacing w:after="0" w:line="254"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and differentiated proprietary pipeline. </w:t>
      </w:r>
      <w:r>
        <w:rPr>
          <w:rFonts w:ascii="Arial" w:cs="Arial" w:eastAsia="Arial" w:hAnsi="Arial"/>
          <w:sz w:val="18"/>
          <w:szCs w:val="18"/>
          <w:color w:val="auto"/>
        </w:rPr>
        <w:t>We believe that our clinical and pre-clinical pipeline of proprietary product candidates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well to achieve our vision. Our four product candidates at various stages of clinical development offer multiple opportunities to transform cancer treatment by launching our own proprietary product by 2025. In addition, we have multiple differentiated antibody product candidates in pre-clinical development that we believe may have the potential to transform cancer treatment, including three product candidates for which we expect to submit INDs and/or CTAs in 2019.</w:t>
      </w:r>
    </w:p>
    <w:p>
      <w:pPr>
        <w:spacing w:after="0" w:line="214"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product generation capabilities. </w:t>
      </w:r>
      <w:r>
        <w:rPr>
          <w:rFonts w:ascii="Arial" w:cs="Arial" w:eastAsia="Arial" w:hAnsi="Arial"/>
          <w:sz w:val="18"/>
          <w:szCs w:val="18"/>
          <w:color w:val="auto"/>
        </w:rPr>
        <w:t>Our research and development team has a proven track record of creating and developing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and progressing them through clinical development. We created daratumumab and ofatumumab and conducted early clinical studies before partnering with Janssen and GSK, respectively, to continue late-stage development and commercialization. In addition, since 1999, we or our partners have submitted 31 INDs or CTAs for product candidates created by us or using our proprietary technologies, 17 of which are currently in development by us or our partners.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306"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Novel proprietary, next-generation antibody technologies. </w:t>
      </w:r>
      <w:r>
        <w:rPr>
          <w:rFonts w:ascii="Arial" w:cs="Arial" w:eastAsia="Arial" w:hAnsi="Arial"/>
          <w:sz w:val="16"/>
          <w:szCs w:val="16"/>
          <w:color w:val="auto"/>
        </w:rPr>
        <w:t>Our proprietary antibody technology platforms provide the foundation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 resource for the development of new product candidates, an income stream from technology licensing and an opportunity to contribute to the development of new antibody therapies through our licensing partners.</w:t>
      </w:r>
    </w:p>
    <w:p>
      <w:pPr>
        <w:spacing w:after="0" w:line="187" w:lineRule="exact"/>
        <w:rPr>
          <w:rFonts w:ascii="Arial" w:cs="Arial" w:eastAsia="Arial" w:hAnsi="Arial"/>
          <w:sz w:val="16"/>
          <w:szCs w:val="16"/>
          <w:color w:val="auto"/>
        </w:rPr>
      </w:pPr>
    </w:p>
    <w:p>
      <w:pPr>
        <w:ind w:left="1080" w:right="80" w:hanging="532"/>
        <w:spacing w:after="0" w:line="29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alliances. </w:t>
      </w:r>
      <w:r>
        <w:rPr>
          <w:rFonts w:ascii="Arial" w:cs="Arial" w:eastAsia="Arial" w:hAnsi="Arial"/>
          <w:sz w:val="16"/>
          <w:szCs w:val="16"/>
          <w:color w:val="auto"/>
        </w:rPr>
        <w:t>We have an active portfolio of strategic collaborations with a large number of pharmaceutical and biotechnology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including clinical and pre-clinical product candidates currently being developed by our partners, as well as a number of technology collaborations. In the past, these collaborations have provided us with a capital-efficient model to finance development costs and advance our product candidates through clinical development while also funding the further growth of our pipeline through milestone payments and royalties. Today, we focus on strategic alliances that build our network in the biotechnology space and give us access to complementary novel technologies or products that move us closer to achieving our vision and fulfilling our core purpose.</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team. </w:t>
      </w:r>
      <w:r>
        <w:rPr>
          <w:rFonts w:ascii="Arial" w:cs="Arial" w:eastAsia="Arial" w:hAnsi="Arial"/>
          <w:sz w:val="18"/>
          <w:szCs w:val="18"/>
          <w:color w:val="auto"/>
        </w:rPr>
        <w:t>We have a world-class team of highly skilled and educated scientific, development and other industry professionals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experience in the pharmaceutical and biotechnology fields. Our employees are our most important asset and we strive to attract and retain the most qualified people to fulfill our core purpose. We are currently recruiting a team of seasoned professionals to build and expand our commercialization capabilities.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239" w:lineRule="exact"/>
        <w:rPr>
          <w:sz w:val="20"/>
          <w:szCs w:val="20"/>
          <w:color w:val="auto"/>
        </w:rPr>
      </w:pPr>
    </w:p>
    <w:p>
      <w:pPr>
        <w:ind w:left="1080" w:right="160" w:hanging="532"/>
        <w:spacing w:after="0" w:line="28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with Janssen to advance daratumumab. </w:t>
      </w:r>
      <w:r>
        <w:rPr>
          <w:rFonts w:ascii="Arial" w:cs="Arial" w:eastAsia="Arial" w:hAnsi="Arial"/>
          <w:sz w:val="16"/>
          <w:szCs w:val="16"/>
          <w:color w:val="auto"/>
        </w:rPr>
        <w:t>Janssen is seeking to extend the commercial reach of daratumumab through label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expansion. In January 2019, Janssen initiated an sBLA submission to the FDA for daratumumab as a combination treatment for frontline MM based on positive topline results from the pivotal Phase III MAIA study and we expect Janssen to submit an MAA to the EMA based on this study in 2019. The FDA plans to review this sBLA under its RTOR Pilot Program. In addition, we expect Janssen to submit regulatory applications for daratumumab as a combination treatment for frontline MM based on the pivotal Phase III CASSIOPEIA study in 2019 and to release initial data for the Phase III COLUMBA study for the subQ formulation of daratumumab and the Phase II GRIFFIN study of daratumumab as a combination treatment for frontline MM. We will continue to contribute to the development strategy for daratumumab through a joint development and steering committee with Janssen.</w:t>
      </w:r>
    </w:p>
    <w:p>
      <w:pPr>
        <w:spacing w:after="0" w:line="204"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with Novartis to advance ofatumumab. </w:t>
      </w:r>
      <w:r>
        <w:rPr>
          <w:rFonts w:ascii="Arial" w:cs="Arial" w:eastAsia="Arial" w:hAnsi="Arial"/>
          <w:sz w:val="16"/>
          <w:szCs w:val="16"/>
          <w:color w:val="auto"/>
        </w:rPr>
        <w:t>Novartis is investigating the use of ofatumumab for the treatment of RMS in the Phase III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ASCLEPIOS I and II studies, which are expected to be completed in 2019. Subject to study completion and achievement of positive results, Novartis has indicated that it plans to evaluate the potential for a regulatory filing soon thereafter.</w:t>
      </w:r>
    </w:p>
    <w:p>
      <w:pPr>
        <w:spacing w:after="0" w:line="17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Actively advance and expand our proprietary product pipeline. </w:t>
      </w:r>
      <w:r>
        <w:rPr>
          <w:rFonts w:ascii="Arial" w:cs="Arial" w:eastAsia="Arial" w:hAnsi="Arial"/>
          <w:sz w:val="16"/>
          <w:szCs w:val="16"/>
          <w:color w:val="auto"/>
        </w:rPr>
        <w:t>We are actively advancing our promising proprietary product candidates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development and seek to expand our proprietary product pipeline by developing new products in-house and by partnering selectively. We anticipate several key clinical milestones for our proprietary product candidates in 2019 that, if met, will continue to advance our pipeline and validate our technology platforms, including: (i) completion of enrollment in a potentially registrational Phase II study of tisotumab vedotin in recurrent and metastatic cervical cancer; (ii) reporting initial results from our ongoing Phase I/II studies for enapotamab vedotin for the treatment of solid tumors, HexaBody-DR5/DR5 for the treatment of solid tumors and DuoBody-CD3xCD20 for the treatment of B-cell malignancies; and (iii) submission of INDs and/or CTAs for our proprietary DuoHexaBody-CD37, DuoBody-CD40x4-1BB and DuoBody-PD-L1x4-1BB pre-clinical product candidates.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product portfolio with strategic collaborations. </w:t>
      </w:r>
      <w:r>
        <w:rPr>
          <w:rFonts w:ascii="Arial" w:cs="Arial" w:eastAsia="Arial" w:hAnsi="Arial"/>
          <w:sz w:val="18"/>
          <w:szCs w:val="18"/>
          <w:color w:val="auto"/>
        </w:rPr>
        <w:t>We enter into strategic product and technology alliances to build our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biotechnology space and to strengthen our portfolio with complementary novel technologies or products. Key partnerships include our DuoBody collaborations with Janssen, BioNTech, Novo Nordisk and Gilead Sciences, our product collaboration with Seattle Genetics for tisotumab vedotin and our strategic collaboration with Immatics to discover and develop potential next-generation bispecific cancer immunotherapies. Our partners are also developing a number of product candidates in our pipeline, including eight product candidates currently in clinical development, in addition to ongoing label expansion studies for daratumumab and ofatumumab by Janssen and Novartis, respectively.</w:t>
      </w:r>
    </w:p>
    <w:p>
      <w:pPr>
        <w:spacing w:after="0" w:line="227"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proprietary technology platforms. </w:t>
      </w:r>
      <w:r>
        <w:rPr>
          <w:rFonts w:ascii="Arial" w:cs="Arial" w:eastAsia="Arial" w:hAnsi="Arial"/>
          <w:sz w:val="18"/>
          <w:szCs w:val="18"/>
          <w:color w:val="auto"/>
        </w:rPr>
        <w:t>Our leading proprietary antibody technology platforms play a key role in building our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pipeline, enhancing our partnerships and generating revenue. Multiple new product candidates are currently being developed by us and our partners using our technology platforms, including three proprietary product candidates created with our DuoBody and DuoHexaBody technologies for which we plan to submit INDs and/or CTAs in 2019. We actively seek partners interested in developing potential antibody therapeutics using our technologies.</w:t>
      </w:r>
    </w:p>
    <w:p>
      <w:pPr>
        <w:spacing w:after="0" w:line="214"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our translational research capabilities. </w:t>
      </w:r>
      <w:r>
        <w:rPr>
          <w:rFonts w:ascii="Arial" w:cs="Arial" w:eastAsia="Arial" w:hAnsi="Arial"/>
          <w:sz w:val="18"/>
          <w:szCs w:val="18"/>
          <w:color w:val="auto"/>
        </w:rPr>
        <w:t>Leveraging our expertise in antibody technologies and product development, we are expanding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translational research capabilities with the goal of building a library of antibody therapeutics that can be tailored to patients. Our translational research capabilities will be designed to profile and catalog patient tumor and immune genotype/phenotype and match our antibody therapies with appropriate patient populations. In addition, we intend to expand our data science capabilities with the aim to probe our clinical and translational data.</w:t>
      </w:r>
    </w:p>
    <w:p>
      <w:pPr>
        <w:spacing w:after="0" w:line="214"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our commercial capabilities to market select products. </w:t>
      </w:r>
      <w:r>
        <w:rPr>
          <w:rFonts w:ascii="Arial" w:cs="Arial" w:eastAsia="Arial" w:hAnsi="Arial"/>
          <w:sz w:val="18"/>
          <w:szCs w:val="18"/>
          <w:color w:val="auto"/>
        </w:rPr>
        <w:t>We are currently in the early stages of building and expanding our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Our initial focus will be on achieving commercial launch readiness in Western Europe and Japan to support the potential launch of tisotumab vedotin for the treatment of cervical cancer, subject to obtaining regulatory approval and, where applicable, reimbursement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Antibodies for the Treatment of Cancer and Other Diseases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Antibodies, also known as immunoglobulins, or IgGs, are Y-shaped proteins which play a pivotal role in our immunity against pathogens. As we develop immunity, our bodies, mainly through plasma cells, generate antibodies that specifically bind to particular structures called antigens present on these pathogens.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 Once bound, the antibodies attract other parts of the immune system to eliminate the pathogen.</w:t>
      </w:r>
    </w:p>
    <w:p>
      <w:pPr>
        <w:spacing w:after="0" w:line="16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Certain antigens can also be identified on diseased human cells, allowing antibodies to be used to treat diseases, such as cancer or inflammation. 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or binding cancer cells and immune cells simultaneously. Advances in understanding the immune system's role in treating cancer have established immunotherapy, or the practice of harnessing immune system functions to combat malignant cell growth, an important treatment approach. As a drug class, antibodies have transformed oncology treatment and include some of the best-selling therapies on the biopharmaceutical market. Although initial, or frontline, treatment for newly diagnosed cancer patients traditionally was limited to one or a combination of chemotherapy, radiation therapy or surgery, with more targeted therapies approved for second- or third-line treatment, antibody therapies are increasingly being approved for frontline treatment of certain cancers, often in combination with other therapies.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Different types of antibodies include:</w:t>
      </w:r>
    </w:p>
    <w:p>
      <w:pPr>
        <w:spacing w:after="0" w:line="239" w:lineRule="exact"/>
        <w:rPr>
          <w:sz w:val="20"/>
          <w:szCs w:val="20"/>
          <w:color w:val="auto"/>
        </w:rPr>
      </w:pPr>
    </w:p>
    <w:p>
      <w:pPr>
        <w:ind w:left="1080" w:right="40" w:hanging="532"/>
        <w:spacing w:after="0" w:line="29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Monoclonal Antibodies, or mAbs</w:t>
      </w:r>
      <w:r>
        <w:rPr>
          <w:rFonts w:ascii="Arial" w:cs="Arial" w:eastAsia="Arial" w:hAnsi="Arial"/>
          <w:sz w:val="16"/>
          <w:szCs w:val="16"/>
          <w:color w:val="auto"/>
        </w:rPr>
        <w:t>—laboratory-made antibodies typically derived from immune cells of mammals that have been immunized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 desired antigen and have identical specificity with respect to the target molecule and are produced from a single antibody-producing cell; mAbs may be: (a) </w:t>
      </w:r>
      <w:r>
        <w:rPr>
          <w:rFonts w:ascii="Arial" w:cs="Arial" w:eastAsia="Arial" w:hAnsi="Arial"/>
          <w:sz w:val="16"/>
          <w:szCs w:val="16"/>
          <w:i w:val="1"/>
          <w:iCs w:val="1"/>
          <w:color w:val="auto"/>
        </w:rPr>
        <w:t>Human mAbs, or HuMabs</w:t>
      </w:r>
      <w:r>
        <w:rPr>
          <w:rFonts w:ascii="Arial" w:cs="Arial" w:eastAsia="Arial" w:hAnsi="Arial"/>
          <w:sz w:val="16"/>
          <w:szCs w:val="16"/>
          <w:color w:val="auto"/>
        </w:rPr>
        <w:t xml:space="preserve">—mAbs that are either naturally obtained, recombinantly expressed, or collected from transgenic mice, in which the immune repertoire has been replaced by human genes; or (b) </w:t>
      </w:r>
      <w:r>
        <w:rPr>
          <w:rFonts w:ascii="Arial" w:cs="Arial" w:eastAsia="Arial" w:hAnsi="Arial"/>
          <w:sz w:val="16"/>
          <w:szCs w:val="16"/>
          <w:i w:val="1"/>
          <w:iCs w:val="1"/>
          <w:color w:val="auto"/>
        </w:rPr>
        <w:t>Humanized/Chimeric mAbs</w:t>
      </w:r>
      <w:r>
        <w:rPr>
          <w:rFonts w:ascii="Arial" w:cs="Arial" w:eastAsia="Arial" w:hAnsi="Arial"/>
          <w:sz w:val="16"/>
          <w:szCs w:val="16"/>
          <w:color w:val="auto"/>
        </w:rPr>
        <w:t>—antibodies with both mouse and human antibody proteins that are humanized (i.e., engineered to replace mouse components with more human components) to reduce the immune system response against antibodies identified as foreign (i.e., from a different species) in nature;</w:t>
      </w:r>
    </w:p>
    <w:p>
      <w:pPr>
        <w:spacing w:after="0" w:line="200"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Bispecific Antibodies</w:t>
      </w:r>
      <w:r>
        <w:rPr>
          <w:rFonts w:ascii="Arial" w:cs="Arial" w:eastAsia="Arial" w:hAnsi="Arial"/>
          <w:sz w:val="18"/>
          <w:szCs w:val="18"/>
          <w:color w:val="auto"/>
        </w:rPr>
        <w:t>—comprised of two different mAb constructs, which allows the antibody to bind to two specific therapeutic targets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time (or two different epitopes on the same target);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Enhanced Antibodies</w:t>
      </w:r>
      <w:r>
        <w:rPr>
          <w:rFonts w:ascii="Arial" w:cs="Arial" w:eastAsia="Arial" w:hAnsi="Arial"/>
          <w:sz w:val="18"/>
          <w:szCs w:val="18"/>
          <w:color w:val="auto"/>
        </w:rPr>
        <w:t>—engineered therapeutic antibodies with enhanced immune effector functions; and</w:t>
      </w:r>
    </w:p>
    <w:p>
      <w:pPr>
        <w:spacing w:after="0" w:line="238" w:lineRule="exact"/>
        <w:rPr>
          <w:rFonts w:ascii="Arial" w:cs="Arial" w:eastAsia="Arial" w:hAnsi="Arial"/>
          <w:sz w:val="18"/>
          <w:szCs w:val="18"/>
          <w:color w:val="auto"/>
        </w:rPr>
      </w:pPr>
    </w:p>
    <w:p>
      <w:pPr>
        <w:ind w:left="1080" w:right="660" w:hanging="532"/>
        <w:spacing w:after="0" w:line="33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Antibody-Drug Conjugates, or ADCs</w:t>
      </w:r>
      <w:r>
        <w:rPr>
          <w:rFonts w:ascii="Arial" w:cs="Arial" w:eastAsia="Arial" w:hAnsi="Arial"/>
          <w:sz w:val="16"/>
          <w:szCs w:val="16"/>
          <w:color w:val="auto"/>
        </w:rPr>
        <w:t>—mAbs that are joined to a chemotherapy drug, a radioactive particle or cancer cell killing agent,</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optionally via a linker, in which the mAb is used as a targeting device to deliver these substances directly to the cancer cell.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Product Candidates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proprietary and partnered product pipeline includes two marketed products, daratumumab, marketed as DARZALEX for the treatment of certain MM indications, and ofatumumab, marketed as Arzerra for the treatment of certain CLL indications, four proprietary product candidates in clinical development (tisotumab vedotin, enapotamab vedotin, HexaBody-DR5/DR5 and DuoBody-CD3xCD20) and approximately 20 proprietary and partnered pre-clinical programs, including three proprietary product candidates for which we intend to submit an IND and/or a CTA in 2019. In addition to our proprietary clinical product candidates and our partners' ongoing label expansion studies for daratumumab and ofatumumab, our partners have eight additional product candidates in clinical development through collaboration agreements with us. An overview of the development status of each of our products is provided in the following sections.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Daratumumab (DARZALEX)</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Daratumumab, marketed as DARZALEX for the treatment of certain MM indications, is the first human CD38 mAb to reach the market and the first mAb to receive FDA approval for the treatment of MM. In 2005, we selected daratumumab as a new product candidate based on pre-clinical studies demonstrating its ability to bind to and to kill MM tumor cells. Daratumumab is a human IgG1k mAb that binds with high affinity to the CD38 molecule. It triggers a person's own immune system to attack cancer cells, resulting in rapid tumor cell death through multiple immune-mediated mechanisms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331" w:lineRule="auto"/>
        <w:rPr>
          <w:sz w:val="20"/>
          <w:szCs w:val="20"/>
          <w:color w:val="auto"/>
        </w:rPr>
      </w:pPr>
      <w:r>
        <w:rPr>
          <w:rFonts w:ascii="Arial" w:cs="Arial" w:eastAsia="Arial" w:hAnsi="Arial"/>
          <w:sz w:val="16"/>
          <w:szCs w:val="16"/>
          <w:color w:val="auto"/>
        </w:rPr>
        <w:t>action and through immunomodulatory effects, in addition to direct tumor cell death via apoptosis, or programmed cell death. From 2005 to 2012, we developed daratumumab in-house, commencing our first Phase I/II study for daratumumab in relapsed/refractory, or R/R, MM in December 2007.</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2012, we entered into a worldwide license and development agreement for daratumumab with Janssen, granting Janssen exclusive rights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 manufacture and commercialize daratumumab. Although Janssen is fully responsible for developing and commercializing daratumumab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and all costs associated therewith, we participate in the development strategy for daratumumab through regular meetings of the joint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steering committee. Pursuant to this agreement, we receive tiered royalty payments of 12% to 20% based on Janssen's annual net product sales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eligible for certain additional payments in connection with development, regulatory and sales milestones. Janssen has obtained regulatory approvals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DARZALEX for certain MM indications in a number of countries, including the United States, the European Union and Japan. In addition, applications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label expansion in the United States and Japan and for initial approval in China are currently pending with applicable regulators. Following the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launch of DARZALEX in the United States in 2015, DARZALEX achieved blockbuster status with annual net sales of $1.2 billion in 2017.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$171.0 million in milestone payments for daratumumab and DKK 1,013.2 million ($150.4 million) in royalty payments related to DARZALEX sales in 2017.</w:t>
      </w:r>
    </w:p>
    <w:p>
      <w:pPr>
        <w:spacing w:after="0" w:line="242" w:lineRule="exact"/>
        <w:rPr>
          <w:sz w:val="20"/>
          <w:szCs w:val="20"/>
          <w:color w:val="auto"/>
        </w:rPr>
      </w:pPr>
    </w:p>
    <w:p>
      <w:pPr>
        <w:jc w:val="both"/>
        <w:ind w:right="140" w:firstLine="351"/>
        <w:spacing w:after="0" w:line="303" w:lineRule="auto"/>
        <w:rPr>
          <w:sz w:val="20"/>
          <w:szCs w:val="20"/>
          <w:color w:val="auto"/>
        </w:rPr>
      </w:pPr>
      <w:r>
        <w:rPr>
          <w:rFonts w:ascii="Arial" w:cs="Arial" w:eastAsia="Arial" w:hAnsi="Arial"/>
          <w:sz w:val="15"/>
          <w:szCs w:val="15"/>
          <w:color w:val="auto"/>
        </w:rPr>
        <w:t>Beyond the current labeled indications, Janssen is conducting a comprehensive clinical development program for daratumumab. This program includes multiple Phase III studies in SMM, frontline MM, and R/R MM, as well as key clinical studies for a subQ formulation. In October 2018, we reported that the pivotal Phase III MAIA study of daratumumab in combination with lenalidomide and dexamethasone, or Rd, for frontline treatment of transplant-ineligible</w:t>
      </w:r>
    </w:p>
    <w:p>
      <w:pPr>
        <w:spacing w:after="0" w:line="1" w:lineRule="exact"/>
        <w:rPr>
          <w:sz w:val="20"/>
          <w:szCs w:val="20"/>
          <w:color w:val="auto"/>
        </w:rPr>
      </w:pPr>
    </w:p>
    <w:p>
      <w:pPr>
        <w:ind w:right="60" w:firstLine="8"/>
        <w:spacing w:after="0" w:line="288" w:lineRule="auto"/>
        <w:tabs>
          <w:tab w:leader="none" w:pos="356"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patients had met its primary endpoint at a pre-specified interim analysis. In January 2019, Janssen initiated an sBLA submission to the FDA based on the MAIA study, which the FDA plans to review under its RTOR Pilot Program, and we expect Janssen to submit an MAA to the EMA based on this study in 2019. In October 2018, we also reported topline results that the first part of Janssen's pivotal Phase III CASSIOPEIA study of daratumumab in combination with bortezomib, thalidomide and dexamethasone, or VTd, for frontline treatment of transplant-eligible MM patients met its primary endpoint. We expect Janssen to submit regulatory applications based on the CASSIOPEIA study in 2019 and to release initial data for the Phase III COLUMBA study for the subQ formulation of daratumumab and the Phase II GRIFFIN study for daratumumab in combination with bortezomib, lenalidomide and dexamethasone, or VRd, for frontline treatment of transplant-eligible MM patients.</w:t>
      </w:r>
    </w:p>
    <w:p>
      <w:pPr>
        <w:spacing w:after="0" w:line="17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the ongoing studies of daratumumab for the treatment of MM, Janssen is conducting a number of studies to assess the use of daratumumab for the treatment of other malignant and pre-malignant diseases in which CD38 is expressed, including amyloidosis, acute lymphocytic leukemia and NKT-cell lymphoma.</w:t>
      </w:r>
    </w:p>
    <w:p>
      <w:pPr>
        <w:spacing w:after="0" w:line="19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Unless otherwise indicated, data for all daratumumab clinical studies presented are based on reports we have received from Janssen, reports Janssen has published or presented regarding these studies or information published on clinicaltrials.gov. In addition, our expectations regarding timelines for clinical trial progression or regulatory developments for daratumumab are generally based on information we have received from Janssen through our collaboration.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Daratumumab for the Treatment of Multiple Myeloma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Myeloma</w:t>
      </w:r>
    </w:p>
    <w:p>
      <w:pPr>
        <w:spacing w:after="0" w:line="225"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Multiple myeloma, or MM, is an incurable blood cancer that starts in the bone marrow and is characterized by an excess proliferation of plasma cells. Plasma cells are a type of white blood cell responsible for producing antibodies, or immunoglobulins, which are critical for maintaining the body's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immune system. Through a complex, multi-step process, healthy plasma cells transform into malignant myeloma cells. Myeloma cells produce abnormal antibodies, called monoclonal immunoglobulin, monoclonal protein, M-spike, or paraprotein. These abnormal antibodies offer no benefit to the body, and as the number of abnormal antibodies increases, it crowds out normally functioning immunoglobulins, which ultimately causes MM symptoms. While some patients with MM have no symptoms at all, others are diagnosed due to symptoms, which can include bone problems, low blood counts, calcium elevation, nervous system symptoms, kidney problems or infections. MM symptoms are often identified by the acronym CRAB, which refers to high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xml:space="preserve">alcium, </w:t>
      </w:r>
      <w:r>
        <w:rPr>
          <w:rFonts w:ascii="Arial" w:cs="Arial" w:eastAsia="Arial" w:hAnsi="Arial"/>
          <w:sz w:val="16"/>
          <w:szCs w:val="16"/>
          <w:b w:val="1"/>
          <w:bCs w:val="1"/>
          <w:u w:val="single" w:color="auto"/>
          <w:color w:val="auto"/>
        </w:rPr>
        <w:t>R</w:t>
      </w:r>
      <w:r>
        <w:rPr>
          <w:rFonts w:ascii="Arial" w:cs="Arial" w:eastAsia="Arial" w:hAnsi="Arial"/>
          <w:sz w:val="16"/>
          <w:szCs w:val="16"/>
          <w:color w:val="auto"/>
        </w:rPr>
        <w:t xml:space="preserve">enal dysfunction,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nemia, and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one lytic lesions.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5-year survival rate for MM patients is estimated at 50.7% in the United States, based on 2008-2014 data from the National Cancer Institute Surveillance, Epidemiology, and End Results, or SEER. SEER estimated that 124,733 people were living with MM in the United States in 2015. The World Health Organization, or WHO, estimated that approximately 26,000 people in the United States and 160,000 people worldwide would be newly diagnosed with MM in 2018 and approximately 13,650 people in the United States and 106,000 people globally would die from the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Daratumumab and the Treatment of Multiple Myeloma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Treatment of MM depends on the type or stage of development of MM:</w:t>
      </w:r>
    </w:p>
    <w:p>
      <w:pPr>
        <w:spacing w:after="0" w:line="239" w:lineRule="exact"/>
        <w:rPr>
          <w:sz w:val="20"/>
          <w:szCs w:val="20"/>
          <w:color w:val="auto"/>
        </w:rPr>
      </w:pPr>
    </w:p>
    <w:p>
      <w:pPr>
        <w:ind w:left="1080" w:right="20" w:hanging="532"/>
        <w:spacing w:after="0" w:line="285"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Smoldering Multiple Myeloma. </w:t>
      </w:r>
      <w:r>
        <w:rPr>
          <w:rFonts w:ascii="Arial" w:cs="Arial" w:eastAsia="Arial" w:hAnsi="Arial"/>
          <w:sz w:val="16"/>
          <w:szCs w:val="16"/>
          <w:color w:val="auto"/>
        </w:rPr>
        <w:t>Smoldering MM, or SMM, is an early or asymptomatic myeloma that is not causing any symptoms. People</w:t>
      </w:r>
      <w:r>
        <w:rPr>
          <w:rFonts w:ascii="Arial" w:cs="Arial" w:eastAsia="Arial" w:hAnsi="Arial"/>
          <w:sz w:val="16"/>
          <w:szCs w:val="16"/>
          <w:i w:val="1"/>
          <w:iCs w:val="1"/>
          <w:color w:val="auto"/>
        </w:rPr>
        <w:t xml:space="preserve"> </w:t>
      </w:r>
      <w:r>
        <w:rPr>
          <w:rFonts w:ascii="Arial" w:cs="Arial" w:eastAsia="Arial" w:hAnsi="Arial"/>
          <w:sz w:val="16"/>
          <w:szCs w:val="16"/>
          <w:color w:val="auto"/>
        </w:rPr>
        <w:t>with SMM have some signs of MM, such as a large amount of plasma cells in the bone marrow, high levels of monoclonal immunoglobulin in the blood or high levels of light chains in the urine, but they have do not exhibit CRAB symptoms. SMM can take anywhere from many months to years to become active, or symptomatic, MM. For some people, SMM may progress very slowly and never become active MM. Others, however, have high risk features that increase the likelihood of SMM progressing to active MM. Currently, there are no approved therapies for SMM, and guidelines recommend close monitoring of SMM patients and initiating treatment only upon progression to MM. However, studies are being undertaken to assess whether therapeutic intervention at the SMM stage, especially in patients at higher risk of progression to active MM, may yield clinical benefit and prevent the development of MM-associated complications. A 2014 study set out a new standard—the SLiM CRAB criteria—for SMM patients who are so likely to progress from SMM to active MM that early treatment for such patients might be considered. The SLiM CRAB criteria are assessed based on the patient's clonal plasma cells in the bone marrow, light chains and focal lesions shown on MRI. Janssen is currently assessing daratumumab for the treatment of high risk SMM in the Phase III AQUILA study for a subQ formulation of daratumumab and the Phase II CENTAURUS study of daratumumab as a monotherapy. Initial results for the CENTAURUS study were reported in December 2018.</w:t>
      </w:r>
    </w:p>
    <w:p>
      <w:pPr>
        <w:spacing w:after="0" w:line="210"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Active (Symptomatic) Multiple Myeloma. </w:t>
      </w:r>
      <w:r>
        <w:rPr>
          <w:rFonts w:ascii="Arial" w:cs="Arial" w:eastAsia="Arial" w:hAnsi="Arial"/>
          <w:sz w:val="16"/>
          <w:szCs w:val="16"/>
          <w:color w:val="auto"/>
        </w:rPr>
        <w:t>Typically, patients are considered to transition from SMM to active MM when they have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CRAB symptoms. Standard treatment for active MM is largely dependent on the patient's fitness and underlying health status. For those in good health and younger than 70 to 75 years, the preferred frontline treatment for newly diagnosed patients with MM comprises a triplet novel agent regimen, typically including an immunomodulatory agent (such as thalidomide or lenalidomide) and a proteasome inhibitor, or PI, (such as bortezomib) in combination with glucocorticoids, followed by stem cell transplants to replace diseased bone marrow with healthy bone marrow, followed by maintenance therapy with low-dose immunomodulatory agents or PI. Stem cell transplants may be autologous, or ASCT, in which a patient's own stem cells are removed from his or her bone marrow or peripheral blood then replaced after chemotherapy or radiation treatment, or allogenic, in which the patient receives blood-forming stem cells from a donor, typically a family member. However,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many MM patients are determined not to be suitable candidates for stem cell transplants for various reasons, including weakness and age, although others are able to undergo multiple transplants. For those unable to undergo a stem cell transplant, standard therapies commonly consist of a multi-drug regimen combining different mechanisms of action, including DARZALEX in jurisdictions where it has been approved. Patients with MM also receive supportive treatments, such as transfusions to treat low blood cell counts, antibiotics and sometimes IV immunoglobulin for infections. After successful stem cell transplants, immunomodulatory agents and PIs are used to control the relapse of symptoms. DARZALEX has been approved in the United States and in the European Union as a frontline treatment for active MM in combination with other therapies for the treatment of patients who are ineligible for ASCT. In January 2019, Janssen initiated an sBLA submission to the FDA for daratumumab in combination with Rd as a frontline treatment of transplant-ineligible patients with MM based on the MAIA study, which the FDA plans to review under its RTOR Pilot Program. We expect Janssen to submit an MAA to the EMA based on the MAIA study in 2019. In addition, we expect Janssen to submit regulatory applications for daratumumab in combination with VTd for frontline treatment of transplant-eligible patients with MM based on the CASSIOPEIA study in 2019.</w:t>
      </w:r>
    </w:p>
    <w:p>
      <w:pPr>
        <w:spacing w:after="0" w:line="194" w:lineRule="exact"/>
        <w:rPr>
          <w:sz w:val="20"/>
          <w:szCs w:val="20"/>
          <w:color w:val="auto"/>
        </w:rPr>
      </w:pPr>
    </w:p>
    <w:p>
      <w:pPr>
        <w:ind w:left="1080" w:right="20" w:hanging="532"/>
        <w:spacing w:after="0" w:line="28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Relapsed/Refractory, or R/R, Multiple Myeloma. </w:t>
      </w:r>
      <w:r>
        <w:rPr>
          <w:rFonts w:ascii="Arial" w:cs="Arial" w:eastAsia="Arial" w:hAnsi="Arial"/>
          <w:sz w:val="16"/>
          <w:szCs w:val="16"/>
          <w:color w:val="auto"/>
        </w:rPr>
        <w:t>Despite the recent progress in treatment of MM and overall survival rates, MM remains an</w:t>
      </w:r>
      <w:r>
        <w:rPr>
          <w:rFonts w:ascii="Arial" w:cs="Arial" w:eastAsia="Arial" w:hAnsi="Arial"/>
          <w:sz w:val="16"/>
          <w:szCs w:val="16"/>
          <w:i w:val="1"/>
          <w:iCs w:val="1"/>
          <w:color w:val="auto"/>
        </w:rPr>
        <w:t xml:space="preserve"> </w:t>
      </w:r>
      <w:r>
        <w:rPr>
          <w:rFonts w:ascii="Arial" w:cs="Arial" w:eastAsia="Arial" w:hAnsi="Arial"/>
          <w:sz w:val="16"/>
          <w:szCs w:val="16"/>
          <w:color w:val="auto"/>
        </w:rPr>
        <w:t>incurable disease and the majority of patients will relapse and will require additional treatment. Relapsed MM is defined as a recurrence of MM after prior response to treatment. Refractory MM is defined as MM which fails to respond or progresses while the patient is on therapy. The goal of treatment for R/R MM patients is to relieve symptoms and/or prevent the development of symptoms. Treatment at this stage may range from monotherapy to intensive combination regimens, which may include one or more immunomodulatory agents, PIs or novel agents, including DARZALEX for certain lines of treatment in approved jurisdictions. Selection of treatment depends on the patient's gene expression profile, prior therapy and response, as well as personal characteristics of the patient, including age, strength and family considerations. DARZALEX has been approved as a monotherapy in the United States and the European Union as a treatment for R/R MM, in most cases subject to the patient being double-refractory to a PI and an immunomodulatory agent. It has also been approved in the United States and the European Union in combination with certain other therapies after one or two prior lines of treatment and in Japan for the treatment of adults with R/R MM in combination with certain other treatments.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Marketing Approvals and Pending Regulatory Applications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To date, Janssen has obtained regulatory approvals for DARZALEX in the jurisdictions set forth in the table below, as well as in certain other countries. In addition, a number of applications for marketing approval of DARZALEX for certain frontline and R/R MM indications are currently pending with applicable regulators. In January 2019, Janssen initiated an sBLA submission to the FDA for DARZALEX as a frontline treatment for transplant-ineligible MM patients in combination with lenalidomide and dexamethasone, or Rd, based on the pivotal Phase III MAIA study. The FDA plans to review the sBLA under its RTOR Pilot Program. In August 2018, Janssen announced that it had submitted applications to the FDA and the EMA for approval of a split dosing regimen of DARZALEX for approved indications of MM. The split dosing regimen would provide a more flexible dosing option for MM patients by allowing healthcare professionals the option to split the first infusion of DARZALEX over two consecutive days. The split dosing regimen received marketing approval in the European Union in December 2018. Janssen has also advised us that it submitted an application to the Chinese regulatory authorities in September 2018 for approval of DARZALEX as monotherapy for the treatment of adult patients with R/R MM whose prior therapy included a PI and an immunomodulatory agent and who have demonstrated disease progression on the last therapy and that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submitted an application to the Japanese Ministry of Health, Labor and Welfare in December 2018 for approval of DARZALEX in combination with VMP for the treatment of adult patients with newly diagnosed MM who are ineligible for ASCT. DARZALEX has also been given Orphan Drug Designation, or ODD, in the United States and the European Union for the treatment of MM and certain other indications. See "—Government Regulation" below for a description of ODD.</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b w:val="1"/>
                <w:bCs w:val="1"/>
                <w:color w:val="auto"/>
                <w:w w:val="94"/>
              </w:rPr>
              <w:t>Key Underlying</w:t>
            </w:r>
          </w:p>
        </w:tc>
      </w:t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Jurisdiction</w:t>
            </w:r>
          </w:p>
        </w:tc>
        <w:tc>
          <w:tcPr>
            <w:tcW w:w="1160" w:type="dxa"/>
            <w:vAlign w:val="bottom"/>
          </w:tcPr>
          <w:p>
            <w:pPr>
              <w:spacing w:after="0"/>
              <w:rPr>
                <w:sz w:val="14"/>
                <w:szCs w:val="14"/>
                <w:color w:val="auto"/>
              </w:rPr>
            </w:pPr>
          </w:p>
        </w:tc>
        <w:tc>
          <w:tcPr>
            <w:tcW w:w="6020" w:type="dxa"/>
            <w:vAlign w:val="bottom"/>
            <w:tcBorders>
              <w:bottom w:val="single" w:sz="8" w:color="auto"/>
            </w:tcBorders>
          </w:tcPr>
          <w:p>
            <w:pPr>
              <w:ind w:left="2740"/>
              <w:spacing w:after="0"/>
              <w:rPr>
                <w:sz w:val="20"/>
                <w:szCs w:val="20"/>
                <w:color w:val="auto"/>
              </w:rPr>
            </w:pPr>
            <w:r>
              <w:rPr>
                <w:rFonts w:ascii="Arial" w:cs="Arial" w:eastAsia="Arial" w:hAnsi="Arial"/>
                <w:sz w:val="13"/>
                <w:szCs w:val="13"/>
                <w:b w:val="1"/>
                <w:bCs w:val="1"/>
                <w:color w:val="auto"/>
              </w:rPr>
              <w:t>Approval</w:t>
            </w: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Clinical Trial(s)</w:t>
            </w:r>
          </w:p>
        </w:tc>
      </w:tr>
      <w:tr>
        <w:trPr>
          <w:trHeight w:val="222"/>
        </w:trPr>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United States</w:t>
            </w:r>
          </w:p>
        </w:tc>
        <w:tc>
          <w:tcPr>
            <w:tcW w:w="6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45"/>
        </w:trPr>
        <w:tc>
          <w:tcPr>
            <w:tcW w:w="1880" w:type="dxa"/>
            <w:vAlign w:val="bottom"/>
            <w:gridSpan w:val="2"/>
          </w:tcPr>
          <w:p>
            <w:pPr>
              <w:ind w:left="20"/>
              <w:spacing w:after="0"/>
              <w:rPr>
                <w:sz w:val="20"/>
                <w:szCs w:val="20"/>
                <w:color w:val="auto"/>
              </w:rPr>
            </w:pPr>
            <w:r>
              <w:rPr>
                <w:rFonts w:ascii="Arial" w:cs="Arial" w:eastAsia="Arial" w:hAnsi="Arial"/>
                <w:sz w:val="18"/>
                <w:szCs w:val="18"/>
                <w:i w:val="1"/>
                <w:iCs w:val="1"/>
                <w:color w:val="auto"/>
              </w:rPr>
              <w:t>Relapsed/Refractory</w:t>
            </w:r>
          </w:p>
        </w:tc>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1880" w:type="dxa"/>
            <w:vAlign w:val="bottom"/>
            <w:gridSpan w:val="2"/>
          </w:tcPr>
          <w:p>
            <w:pPr>
              <w:ind w:left="180"/>
              <w:spacing w:after="0"/>
              <w:rPr>
                <w:sz w:val="20"/>
                <w:szCs w:val="20"/>
                <w:color w:val="auto"/>
              </w:rPr>
            </w:pPr>
            <w:r>
              <w:rPr>
                <w:rFonts w:ascii="Arial" w:cs="Arial" w:eastAsia="Arial" w:hAnsi="Arial"/>
                <w:sz w:val="18"/>
                <w:szCs w:val="18"/>
                <w:color w:val="auto"/>
              </w:rPr>
              <w:t>November 2015</w:t>
            </w:r>
          </w:p>
        </w:tc>
        <w:tc>
          <w:tcPr>
            <w:tcW w:w="6020" w:type="dxa"/>
            <w:vAlign w:val="bottom"/>
          </w:tcPr>
          <w:p>
            <w:pPr>
              <w:spacing w:after="0"/>
              <w:rPr>
                <w:sz w:val="20"/>
                <w:szCs w:val="20"/>
                <w:color w:val="auto"/>
              </w:rPr>
            </w:pPr>
            <w:r>
              <w:rPr>
                <w:rFonts w:ascii="Arial" w:cs="Arial" w:eastAsia="Arial" w:hAnsi="Arial"/>
                <w:sz w:val="18"/>
                <w:szCs w:val="18"/>
                <w:color w:val="auto"/>
                <w:w w:val="95"/>
              </w:rPr>
              <w:t>FDA approval of DARZALEX as a monotherapy for patients with MM who have</w:t>
            </w:r>
          </w:p>
        </w:tc>
        <w:tc>
          <w:tcPr>
            <w:tcW w:w="1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SIRIUS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received at least three prior lines of therapy, including a PI and 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immunomodulatory agent, or who are double refractory to a PI and 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82"/>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immunomodulatory agent</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76" w:lineRule="exact"/>
        <w:rPr>
          <w:sz w:val="20"/>
          <w:szCs w:val="20"/>
          <w:color w:val="auto"/>
        </w:rPr>
      </w:pPr>
    </w:p>
    <w:p>
      <w:pPr>
        <w:sectPr>
          <w:pgSz w:w="11900" w:h="16838" w:orient="portrait"/>
          <w:cols w:equalWidth="0" w:num="1">
            <w:col w:w="11040"/>
          </w:cols>
          <w:pgMar w:left="320" w:top="131" w:right="539" w:bottom="1440" w:gutter="0" w:footer="0" w:header="0"/>
        </w:sectPr>
      </w:pPr>
    </w:p>
    <w:tbl>
      <w:tblPr>
        <w:tblLayout w:type="fixed"/>
        <w:tblInd w:w="1140" w:type="dxa"/>
        <w:tblCellMar>
          <w:top w:w="0" w:type="dxa"/>
          <w:left w:w="0" w:type="dxa"/>
          <w:bottom w:w="0" w:type="dxa"/>
          <w:right w:w="0" w:type="dxa"/>
        </w:tblCellMar>
      </w:tblPr>
      <w:tr>
        <w:trPr>
          <w:trHeight w:val="216"/>
        </w:trPr>
        <w:tc>
          <w:tcPr>
            <w:tcW w:w="1580" w:type="dxa"/>
            <w:vAlign w:val="bottom"/>
          </w:tcPr>
          <w:p>
            <w:pPr>
              <w:ind w:left="160"/>
              <w:spacing w:after="0"/>
              <w:rPr>
                <w:sz w:val="20"/>
                <w:szCs w:val="20"/>
                <w:color w:val="auto"/>
              </w:rPr>
            </w:pPr>
            <w:r>
              <w:rPr>
                <w:rFonts w:ascii="Arial" w:cs="Arial" w:eastAsia="Arial" w:hAnsi="Arial"/>
                <w:sz w:val="18"/>
                <w:szCs w:val="18"/>
                <w:color w:val="auto"/>
              </w:rPr>
              <w:t>November 2016</w:t>
            </w:r>
          </w:p>
        </w:tc>
        <w:tc>
          <w:tcPr>
            <w:tcW w:w="6220" w:type="dxa"/>
            <w:vAlign w:val="bottom"/>
          </w:tcPr>
          <w:p>
            <w:pPr>
              <w:ind w:left="280"/>
              <w:spacing w:after="0"/>
              <w:rPr>
                <w:sz w:val="20"/>
                <w:szCs w:val="20"/>
                <w:color w:val="auto"/>
              </w:rPr>
            </w:pPr>
            <w:r>
              <w:rPr>
                <w:rFonts w:ascii="Arial" w:cs="Arial" w:eastAsia="Arial" w:hAnsi="Arial"/>
                <w:sz w:val="18"/>
                <w:szCs w:val="18"/>
                <w:color w:val="auto"/>
              </w:rPr>
              <w:t>FDA approval of DARZALEX in combination with Rd or bortezomib and</w:t>
            </w:r>
          </w:p>
        </w:tc>
      </w:tr>
      <w:tr>
        <w:trPr>
          <w:trHeight w:val="217"/>
        </w:trPr>
        <w:tc>
          <w:tcPr>
            <w:tcW w:w="158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w w:val="89"/>
              </w:rPr>
              <w:t>dexamethasone, or Vd, for the treatment of patients with MM who have received at</w:t>
            </w:r>
          </w:p>
        </w:tc>
      </w:tr>
      <w:tr>
        <w:trPr>
          <w:trHeight w:val="382"/>
        </w:trPr>
        <w:tc>
          <w:tcPr>
            <w:tcW w:w="1580" w:type="dxa"/>
            <w:vAlign w:val="bottom"/>
          </w:tcPr>
          <w:p>
            <w:pPr>
              <w:spacing w:after="0"/>
              <w:rPr>
                <w:sz w:val="24"/>
                <w:szCs w:val="24"/>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least one prior therapy</w:t>
            </w:r>
            <w:r>
              <w:rPr>
                <w:rFonts w:ascii="Arial" w:cs="Arial" w:eastAsia="Arial" w:hAnsi="Arial"/>
                <w:sz w:val="29"/>
                <w:szCs w:val="29"/>
                <w:color w:val="auto"/>
                <w:vertAlign w:val="superscript"/>
              </w:rPr>
              <w:t>(2)</w:t>
            </w:r>
          </w:p>
        </w:tc>
      </w:tr>
      <w:tr>
        <w:trPr>
          <w:trHeight w:val="292"/>
        </w:trPr>
        <w:tc>
          <w:tcPr>
            <w:tcW w:w="1580" w:type="dxa"/>
            <w:vAlign w:val="bottom"/>
          </w:tcPr>
          <w:p>
            <w:pPr>
              <w:ind w:left="160"/>
              <w:spacing w:after="0"/>
              <w:rPr>
                <w:sz w:val="20"/>
                <w:szCs w:val="20"/>
                <w:color w:val="auto"/>
              </w:rPr>
            </w:pPr>
            <w:r>
              <w:rPr>
                <w:rFonts w:ascii="Arial" w:cs="Arial" w:eastAsia="Arial" w:hAnsi="Arial"/>
                <w:sz w:val="18"/>
                <w:szCs w:val="18"/>
                <w:color w:val="auto"/>
              </w:rPr>
              <w:t>June 2017</w:t>
            </w:r>
          </w:p>
        </w:tc>
        <w:tc>
          <w:tcPr>
            <w:tcW w:w="6220" w:type="dxa"/>
            <w:vAlign w:val="bottom"/>
          </w:tcPr>
          <w:p>
            <w:pPr>
              <w:ind w:left="280"/>
              <w:spacing w:after="0"/>
              <w:rPr>
                <w:sz w:val="20"/>
                <w:szCs w:val="20"/>
                <w:color w:val="auto"/>
              </w:rPr>
            </w:pPr>
            <w:r>
              <w:rPr>
                <w:rFonts w:ascii="Arial" w:cs="Arial" w:eastAsia="Arial" w:hAnsi="Arial"/>
                <w:sz w:val="18"/>
                <w:szCs w:val="18"/>
                <w:color w:val="auto"/>
              </w:rPr>
              <w:t>FDA approval of DARZALEX in combination with pomalidomide and</w:t>
            </w:r>
          </w:p>
        </w:tc>
      </w:tr>
      <w:tr>
        <w:trPr>
          <w:trHeight w:val="216"/>
        </w:trPr>
        <w:tc>
          <w:tcPr>
            <w:tcW w:w="158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w w:val="88"/>
              </w:rPr>
              <w:t>dexamethasone, or Pom-d, for the treatment of patients with MM who have received</w:t>
            </w:r>
          </w:p>
        </w:tc>
      </w:tr>
      <w:tr>
        <w:trPr>
          <w:trHeight w:val="222"/>
        </w:trPr>
        <w:tc>
          <w:tcPr>
            <w:tcW w:w="1580" w:type="dxa"/>
            <w:vAlign w:val="bottom"/>
          </w:tcPr>
          <w:p>
            <w:pPr>
              <w:spacing w:after="0"/>
              <w:rPr>
                <w:sz w:val="19"/>
                <w:szCs w:val="19"/>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at least two prior therapies, including lenalidomide and a PI</w:t>
            </w:r>
          </w:p>
        </w:tc>
      </w:tr>
      <w:tr>
        <w:trPr>
          <w:trHeight w:val="459"/>
        </w:trPr>
        <w:tc>
          <w:tcPr>
            <w:tcW w:w="1580" w:type="dxa"/>
            <w:vAlign w:val="bottom"/>
          </w:tcPr>
          <w:p>
            <w:pPr>
              <w:spacing w:after="0"/>
              <w:rPr>
                <w:sz w:val="20"/>
                <w:szCs w:val="20"/>
                <w:color w:val="auto"/>
              </w:rPr>
            </w:pPr>
            <w:r>
              <w:rPr>
                <w:rFonts w:ascii="Arial" w:cs="Arial" w:eastAsia="Arial" w:hAnsi="Arial"/>
                <w:sz w:val="18"/>
                <w:szCs w:val="18"/>
                <w:i w:val="1"/>
                <w:iCs w:val="1"/>
                <w:color w:val="auto"/>
              </w:rPr>
              <w:t>Frontline</w:t>
            </w:r>
          </w:p>
        </w:tc>
        <w:tc>
          <w:tcPr>
            <w:tcW w:w="6220" w:type="dxa"/>
            <w:vAlign w:val="bottom"/>
          </w:tcPr>
          <w:p>
            <w:pPr>
              <w:spacing w:after="0"/>
              <w:rPr>
                <w:sz w:val="24"/>
                <w:szCs w:val="24"/>
                <w:color w:val="auto"/>
              </w:rPr>
            </w:pPr>
          </w:p>
        </w:tc>
      </w:tr>
      <w:tr>
        <w:trPr>
          <w:trHeight w:val="412"/>
        </w:trPr>
        <w:tc>
          <w:tcPr>
            <w:tcW w:w="1580" w:type="dxa"/>
            <w:vAlign w:val="bottom"/>
          </w:tcPr>
          <w:p>
            <w:pPr>
              <w:ind w:left="160"/>
              <w:spacing w:after="0"/>
              <w:rPr>
                <w:sz w:val="20"/>
                <w:szCs w:val="20"/>
                <w:color w:val="auto"/>
              </w:rPr>
            </w:pPr>
            <w:r>
              <w:rPr>
                <w:rFonts w:ascii="Arial" w:cs="Arial" w:eastAsia="Arial" w:hAnsi="Arial"/>
                <w:sz w:val="18"/>
                <w:szCs w:val="18"/>
                <w:color w:val="auto"/>
              </w:rPr>
              <w:t>May 2018</w:t>
            </w:r>
          </w:p>
        </w:tc>
        <w:tc>
          <w:tcPr>
            <w:tcW w:w="6220" w:type="dxa"/>
            <w:vAlign w:val="bottom"/>
          </w:tcPr>
          <w:p>
            <w:pPr>
              <w:ind w:left="280"/>
              <w:spacing w:after="0"/>
              <w:rPr>
                <w:sz w:val="20"/>
                <w:szCs w:val="20"/>
                <w:color w:val="auto"/>
              </w:rPr>
            </w:pPr>
            <w:r>
              <w:rPr>
                <w:rFonts w:ascii="Arial" w:cs="Arial" w:eastAsia="Arial" w:hAnsi="Arial"/>
                <w:sz w:val="18"/>
                <w:szCs w:val="18"/>
                <w:color w:val="auto"/>
              </w:rPr>
              <w:t>FDA approval of DARZALEX in combination with VMP for the treatment of</w:t>
            </w:r>
          </w:p>
        </w:tc>
      </w:tr>
      <w:tr>
        <w:trPr>
          <w:trHeight w:val="222"/>
        </w:trPr>
        <w:tc>
          <w:tcPr>
            <w:tcW w:w="1580" w:type="dxa"/>
            <w:vAlign w:val="bottom"/>
          </w:tcPr>
          <w:p>
            <w:pPr>
              <w:spacing w:after="0"/>
              <w:rPr>
                <w:sz w:val="19"/>
                <w:szCs w:val="19"/>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patients with newly diagnosed MM who are ineligible for ASCT</w:t>
            </w:r>
          </w:p>
        </w:tc>
      </w:tr>
    </w:tbl>
    <w:p>
      <w:pPr>
        <w:spacing w:after="0" w:line="23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European Union</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Relapsed/Refractory</w:t>
      </w:r>
    </w:p>
    <w:p>
      <w:pPr>
        <w:spacing w:after="0" w:line="212" w:lineRule="exact"/>
        <w:rPr>
          <w:sz w:val="20"/>
          <w:szCs w:val="20"/>
          <w:color w:val="auto"/>
        </w:rPr>
      </w:pPr>
    </w:p>
    <w:p>
      <w:pPr>
        <w:jc w:val="both"/>
        <w:ind w:left="3000" w:right="120" w:hanging="1700"/>
        <w:spacing w:after="0" w:line="306" w:lineRule="auto"/>
        <w:tabs>
          <w:tab w:leader="none" w:pos="2980" w:val="left"/>
        </w:tabs>
        <w:rPr>
          <w:sz w:val="20"/>
          <w:szCs w:val="20"/>
          <w:color w:val="auto"/>
        </w:rPr>
      </w:pPr>
      <w:r>
        <w:rPr>
          <w:rFonts w:ascii="Arial" w:cs="Arial" w:eastAsia="Arial" w:hAnsi="Arial"/>
          <w:sz w:val="18"/>
          <w:szCs w:val="18"/>
          <w:color w:val="auto"/>
        </w:rPr>
        <w:t>April 2016</w:t>
      </w:r>
      <w:r>
        <w:rPr>
          <w:sz w:val="20"/>
          <w:szCs w:val="20"/>
          <w:color w:val="auto"/>
        </w:rPr>
        <w:tab/>
      </w:r>
      <w:r>
        <w:rPr>
          <w:rFonts w:ascii="Arial" w:cs="Arial" w:eastAsia="Arial" w:hAnsi="Arial"/>
          <w:sz w:val="16"/>
          <w:szCs w:val="16"/>
          <w:color w:val="auto"/>
        </w:rPr>
        <w:t>EU approval of DARZALEX as a monotherapy for the treatment of adult patients with R/R MM, whose prior therapy included a PI and an immunomodulatory agent and who have demonstrated disease progression on the last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EQUULEUS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ALCYONE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SIRIUS</w:t>
      </w:r>
    </w:p>
    <w:p>
      <w:pPr>
        <w:spacing w:after="0" w:line="630" w:lineRule="exact"/>
        <w:rPr>
          <w:sz w:val="20"/>
          <w:szCs w:val="20"/>
          <w:color w:val="auto"/>
        </w:rPr>
      </w:pPr>
    </w:p>
    <w:p>
      <w:pPr>
        <w:sectPr>
          <w:pgSz w:w="11900" w:h="16838" w:orient="portrait"/>
          <w:cols w:equalWidth="0" w:num="2">
            <w:col w:w="8940" w:space="240"/>
            <w:col w:w="1860"/>
          </w:cols>
          <w:pgMar w:left="320" w:top="131" w:right="539" w:bottom="1440" w:gutter="0" w:footer="0" w:header="0"/>
          <w:type w:val="continuous"/>
        </w:sectPr>
      </w:pPr>
    </w:p>
    <w:p>
      <w:pPr>
        <w:ind w:left="1300"/>
        <w:spacing w:after="0"/>
        <w:tabs>
          <w:tab w:leader="none" w:pos="2980" w:val="left"/>
        </w:tabs>
        <w:rPr>
          <w:sz w:val="20"/>
          <w:szCs w:val="20"/>
          <w:color w:val="auto"/>
        </w:rPr>
      </w:pPr>
      <w:r>
        <w:rPr>
          <w:rFonts w:ascii="Arial" w:cs="Arial" w:eastAsia="Arial" w:hAnsi="Arial"/>
          <w:sz w:val="18"/>
          <w:szCs w:val="18"/>
          <w:color w:val="auto"/>
        </w:rPr>
        <w:t>February 2017</w:t>
      </w:r>
      <w:r>
        <w:rPr>
          <w:sz w:val="20"/>
          <w:szCs w:val="20"/>
          <w:color w:val="auto"/>
        </w:rPr>
        <w:tab/>
      </w:r>
      <w:r>
        <w:rPr>
          <w:rFonts w:ascii="Arial" w:cs="Arial" w:eastAsia="Arial" w:hAnsi="Arial"/>
          <w:sz w:val="16"/>
          <w:szCs w:val="16"/>
          <w:color w:val="auto"/>
        </w:rPr>
        <w:t>EU approval of DARZALEX in combination with Rd or Vd for the treatment of</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adult patients with MM who have received at least one prior therapy</w:t>
      </w: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Frontline</w:t>
      </w:r>
    </w:p>
    <w:p>
      <w:pPr>
        <w:spacing w:after="0" w:line="212"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July 2018</w:t>
      </w:r>
      <w:r>
        <w:rPr>
          <w:sz w:val="20"/>
          <w:szCs w:val="20"/>
          <w:color w:val="auto"/>
        </w:rPr>
        <w:tab/>
      </w:r>
      <w:r>
        <w:rPr>
          <w:rFonts w:ascii="Arial" w:cs="Arial" w:eastAsia="Arial" w:hAnsi="Arial"/>
          <w:sz w:val="16"/>
          <w:szCs w:val="16"/>
          <w:color w:val="auto"/>
        </w:rPr>
        <w:t>EU approval of DARZALEX in combination with VMP for the treatment of adult</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patients with newly diagnosed MM who are ineligible for ASCT</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Split Dosing Regimen</w:t>
      </w:r>
    </w:p>
    <w:p>
      <w:pPr>
        <w:spacing w:after="0" w:line="212"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December 2018</w:t>
      </w:r>
      <w:r>
        <w:rPr>
          <w:sz w:val="20"/>
          <w:szCs w:val="20"/>
          <w:color w:val="auto"/>
        </w:rPr>
        <w:tab/>
      </w:r>
      <w:r>
        <w:rPr>
          <w:rFonts w:ascii="Arial" w:cs="Arial" w:eastAsia="Arial" w:hAnsi="Arial"/>
          <w:sz w:val="16"/>
          <w:szCs w:val="16"/>
          <w:color w:val="auto"/>
        </w:rPr>
        <w:t>EU approval of DARZALEX split dosing regimen</w:t>
      </w:r>
    </w:p>
    <w:p>
      <w:pPr>
        <w:spacing w:after="0" w:line="26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Japan</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Relapsed/Refractory</w:t>
      </w:r>
    </w:p>
    <w:p>
      <w:pPr>
        <w:spacing w:after="0" w:line="212" w:lineRule="exact"/>
        <w:rPr>
          <w:sz w:val="20"/>
          <w:szCs w:val="20"/>
          <w:color w:val="auto"/>
        </w:rPr>
      </w:pPr>
    </w:p>
    <w:p>
      <w:pPr>
        <w:ind w:left="3000" w:right="360" w:hanging="1700"/>
        <w:spacing w:after="0" w:line="331" w:lineRule="auto"/>
        <w:tabs>
          <w:tab w:leader="none" w:pos="2980" w:val="left"/>
        </w:tabs>
        <w:rPr>
          <w:sz w:val="20"/>
          <w:szCs w:val="20"/>
          <w:color w:val="auto"/>
        </w:rPr>
      </w:pPr>
      <w:r>
        <w:rPr>
          <w:rFonts w:ascii="Arial" w:cs="Arial" w:eastAsia="Arial" w:hAnsi="Arial"/>
          <w:sz w:val="18"/>
          <w:szCs w:val="18"/>
          <w:color w:val="auto"/>
        </w:rPr>
        <w:t>September 2017</w:t>
      </w:r>
      <w:r>
        <w:rPr>
          <w:sz w:val="20"/>
          <w:szCs w:val="20"/>
          <w:color w:val="auto"/>
        </w:rPr>
        <w:tab/>
      </w:r>
      <w:r>
        <w:rPr>
          <w:rFonts w:ascii="Arial" w:cs="Arial" w:eastAsia="Arial" w:hAnsi="Arial"/>
          <w:sz w:val="16"/>
          <w:szCs w:val="16"/>
          <w:color w:val="auto"/>
        </w:rPr>
        <w:t>Japanese Ministry of Health, Labor and Welfare approval of DARZALEX in combination with Rd or Vd for the treatment of adults with R/R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34290</wp:posOffset>
            </wp:positionV>
            <wp:extent cx="1499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ALCYONE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EQUULEUS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CASTOR;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POLLUX</w:t>
      </w:r>
    </w:p>
    <w:p>
      <w:pPr>
        <w:spacing w:after="0" w:line="264" w:lineRule="exact"/>
        <w:rPr>
          <w:sz w:val="20"/>
          <w:szCs w:val="20"/>
          <w:color w:val="auto"/>
        </w:rPr>
      </w:pPr>
    </w:p>
    <w:p>
      <w:pPr>
        <w:sectPr>
          <w:pgSz w:w="11900" w:h="16838" w:orient="portrait"/>
          <w:cols w:equalWidth="0" w:num="2">
            <w:col w:w="8740" w:space="440"/>
            <w:col w:w="1860"/>
          </w:cols>
          <w:pgMar w:left="320" w:top="131" w:right="539" w:bottom="1440" w:gutter="0" w:footer="0" w:header="0"/>
          <w:type w:val="continuous"/>
        </w:sectPr>
      </w:pPr>
    </w:p>
    <w:p>
      <w:pPr>
        <w:spacing w:after="0" w:line="60" w:lineRule="exact"/>
        <w:rPr>
          <w:sz w:val="20"/>
          <w:szCs w:val="20"/>
          <w:color w:val="auto"/>
        </w:rPr>
      </w:pPr>
    </w:p>
    <w:p>
      <w:pPr>
        <w:ind w:left="1680" w:right="120" w:hanging="549"/>
        <w:spacing w:after="0" w:line="274"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Fast Track Designation, or FTD, and Break through Designation, or BTD, granted by the FDA for this indication in April and May 2013, respectively. See "—Government Regulation" below for a description of FTD and BTD.</w:t>
      </w:r>
    </w:p>
    <w:p>
      <w:pPr>
        <w:sectPr>
          <w:pgSz w:w="11900" w:h="16838" w:orient="portrait"/>
          <w:cols w:equalWidth="0" w:num="1">
            <w:col w:w="11040"/>
          </w:cols>
          <w:pgMar w:left="320" w:top="131" w:right="539" w:bottom="1440" w:gutter="0" w:footer="0" w:header="0"/>
          <w:type w:val="continuous"/>
        </w:sectPr>
      </w:pP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49"/>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BTD granted by the FDA for these indications in July 2016. See "—Government Regulation" below for a description of BTD.</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existing approvals of DARZALEX were based on five key clinical studies conducted by Janssen, each of which is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SIRIUS (MMY2002)</w:t>
      </w:r>
    </w:p>
    <w:p>
      <w:pPr>
        <w:spacing w:after="0" w:line="258"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5"/>
          <w:szCs w:val="15"/>
          <w:color w:val="auto"/>
        </w:rPr>
        <w:t>124-patient, randomized, open-label, multicenter, Phase II trial investigating the efficacy and safety of daratumumab in subjects</w:t>
      </w:r>
    </w:p>
    <w:p>
      <w:pPr>
        <w:spacing w:after="0" w:line="15" w:lineRule="exact"/>
        <w:rPr>
          <w:sz w:val="20"/>
          <w:szCs w:val="20"/>
          <w:color w:val="auto"/>
        </w:rPr>
      </w:pPr>
    </w:p>
    <w:p>
      <w:pPr>
        <w:ind w:left="2160" w:right="40"/>
        <w:spacing w:after="0" w:line="315" w:lineRule="auto"/>
        <w:rPr>
          <w:sz w:val="20"/>
          <w:szCs w:val="20"/>
          <w:color w:val="auto"/>
        </w:rPr>
      </w:pPr>
      <w:r>
        <w:rPr>
          <w:rFonts w:ascii="Arial" w:cs="Arial" w:eastAsia="Arial" w:hAnsi="Arial"/>
          <w:sz w:val="15"/>
          <w:szCs w:val="15"/>
          <w:color w:val="auto"/>
        </w:rPr>
        <w:t>with MM who had received at least three prior lines of therapy, including a PI and immunomodulatory agent, or were double refractory to a PI and an immunomodulatory agent. Patients were randomized to receive intravenous, or IV, daratumumab 8 mg/kg or 16 mg/kg in part 1 stage 1 of the study, to decide the dose for further assessment in part 2. Patients received 8 mg/kg every 4 weeks, or 16 mg/kg per week for 8 weeks (cycles 1 and 2), then every 2 weeks for 16 weeks (cycles 3-6), and then every 4 weeks thereafter (cycle 7 and higher). In part 1 stage 2 and part 2, patients received 16 mg/kg dosed as in part 1 stage 1.</w:t>
      </w:r>
    </w:p>
    <w:p>
      <w:pPr>
        <w:sectPr>
          <w:pgSz w:w="11900" w:h="16838" w:orient="portrait"/>
          <w:cols w:equalWidth="0" w:num="1">
            <w:col w:w="11240"/>
          </w:cols>
          <w:pgMar w:left="320" w:top="131"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Data</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(Published in The Lancet, January 2017; data cutoff, January 9, 2015)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After a median follow-up period of 9.3 months, results showed that treatment with single-agent daratumumab resulted in an ORR of 29.2% (95% CI: 20.8-38.9) in patients who had received a median of 5 prior lines of therapy, including a PI and an immunomodulatory agent. sCR was reported in 2.8% of patients, very good partial response, or VGPR, was reported in 9.4% of patients, and PR was reported in 17% of patients. For responders, the median DoR was 7.4 months. At baseline, 97% of patients were refractory to their last line of therapy, 95% were refractory to both a PI and an immunomodulatory agent, and 77% were refractory to alkylating agents. 63% were refractory to pomalidomide, and 48% were refractory to carfilzomib.</w:t>
      </w:r>
    </w:p>
    <w:p>
      <w:pPr>
        <w:spacing w:after="0" w:line="200" w:lineRule="exact"/>
        <w:rPr>
          <w:sz w:val="20"/>
          <w:szCs w:val="20"/>
          <w:color w:val="auto"/>
        </w:rPr>
      </w:pPr>
    </w:p>
    <w:p>
      <w:pPr>
        <w:sectPr>
          <w:pgSz w:w="11900" w:h="16838" w:orient="portrait"/>
          <w:cols w:equalWidth="0" w:num="2">
            <w:col w:w="1840" w:space="320"/>
            <w:col w:w="9080"/>
          </w:cols>
          <w:pgMar w:left="320" w:top="131" w:right="3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Safety Data</w:t>
            </w:r>
          </w:p>
        </w:tc>
        <w:tc>
          <w:tcPr>
            <w:tcW w:w="9400" w:type="dxa"/>
            <w:vAlign w:val="bottom"/>
          </w:tcPr>
          <w:p>
            <w:pPr>
              <w:ind w:left="320"/>
              <w:spacing w:after="0"/>
              <w:rPr>
                <w:sz w:val="20"/>
                <w:szCs w:val="20"/>
                <w:color w:val="auto"/>
              </w:rPr>
            </w:pPr>
            <w:r>
              <w:rPr>
                <w:rFonts w:ascii="Arial" w:cs="Arial" w:eastAsia="Arial" w:hAnsi="Arial"/>
                <w:sz w:val="18"/>
                <w:szCs w:val="18"/>
                <w:color w:val="auto"/>
                <w:w w:val="88"/>
              </w:rPr>
              <w:t>The most commonly occurring treatment-emergent adverse events, or TEAEs, (in ³20% of patients) were fatigue (40%), anaemia</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(Data cutoff, June 30,</w:t>
            </w:r>
          </w:p>
        </w:tc>
        <w:tc>
          <w:tcPr>
            <w:tcW w:w="9400" w:type="dxa"/>
            <w:vAlign w:val="bottom"/>
          </w:tcPr>
          <w:p>
            <w:pPr>
              <w:ind w:left="320"/>
              <w:spacing w:after="0"/>
              <w:rPr>
                <w:sz w:val="20"/>
                <w:szCs w:val="20"/>
                <w:color w:val="auto"/>
              </w:rPr>
            </w:pPr>
            <w:r>
              <w:rPr>
                <w:rFonts w:ascii="Arial" w:cs="Arial" w:eastAsia="Arial" w:hAnsi="Arial"/>
                <w:sz w:val="18"/>
                <w:szCs w:val="18"/>
                <w:color w:val="auto"/>
                <w:w w:val="92"/>
              </w:rPr>
              <w:t>(33%), nausea (29%), thrombocytopenia (25%), neutropenia (23%), back pain (22%) and cough (21%). Of these, the study</w:t>
            </w: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2015)</w:t>
            </w:r>
          </w:p>
        </w:tc>
        <w:tc>
          <w:tcPr>
            <w:tcW w:w="9400" w:type="dxa"/>
            <w:vAlign w:val="bottom"/>
          </w:tcPr>
          <w:p>
            <w:pPr>
              <w:ind w:left="320"/>
              <w:spacing w:after="0"/>
              <w:rPr>
                <w:sz w:val="20"/>
                <w:szCs w:val="20"/>
                <w:color w:val="auto"/>
              </w:rPr>
            </w:pPr>
            <w:r>
              <w:rPr>
                <w:rFonts w:ascii="Arial" w:cs="Arial" w:eastAsia="Arial" w:hAnsi="Arial"/>
                <w:sz w:val="18"/>
                <w:szCs w:val="18"/>
                <w:color w:val="auto"/>
                <w:w w:val="90"/>
              </w:rPr>
              <w:t>reported Grade 3/4 TEAEs of fatigue (3%), anaemia (24%), thrombocytopenia (19%), neutropenia (12%) and back pain (3%).</w:t>
            </w:r>
          </w:p>
        </w:tc>
      </w:tr>
      <w:tr>
        <w:trPr>
          <w:trHeight w:val="432"/>
        </w:trPr>
        <w:tc>
          <w:tcPr>
            <w:tcW w:w="1840" w:type="dxa"/>
            <w:vAlign w:val="bottom"/>
          </w:tcPr>
          <w:p>
            <w:pPr>
              <w:spacing w:after="0"/>
              <w:rPr>
                <w:sz w:val="24"/>
                <w:szCs w:val="24"/>
                <w:color w:val="auto"/>
              </w:rPr>
            </w:pPr>
          </w:p>
        </w:tc>
        <w:tc>
          <w:tcPr>
            <w:tcW w:w="9400" w:type="dxa"/>
            <w:vAlign w:val="bottom"/>
          </w:tcPr>
          <w:p>
            <w:pPr>
              <w:jc w:val="right"/>
              <w:ind w:right="5392"/>
              <w:spacing w:after="0"/>
              <w:rPr>
                <w:sz w:val="20"/>
                <w:szCs w:val="20"/>
                <w:color w:val="auto"/>
              </w:rPr>
            </w:pPr>
            <w:r>
              <w:rPr>
                <w:rFonts w:ascii="Arial" w:cs="Arial" w:eastAsia="Arial" w:hAnsi="Arial"/>
                <w:sz w:val="18"/>
                <w:szCs w:val="18"/>
                <w:color w:val="auto"/>
              </w:rPr>
              <w:t>107</w:t>
            </w:r>
          </w:p>
        </w:tc>
      </w:tr>
      <w:tr>
        <w:trPr>
          <w:trHeight w:val="228"/>
        </w:trPr>
        <w:tc>
          <w:tcPr>
            <w:tcW w:w="184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POLLUX (MMY3003)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306070</wp:posOffset>
            </wp:positionV>
            <wp:extent cx="5700395" cy="2477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0039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gridSpan w:val="2"/>
          </w:tcPr>
          <w:p>
            <w:pPr>
              <w:ind w:left="1140"/>
              <w:spacing w:after="0"/>
              <w:rPr>
                <w:sz w:val="20"/>
                <w:szCs w:val="20"/>
                <w:color w:val="auto"/>
              </w:rPr>
            </w:pPr>
            <w:r>
              <w:rPr>
                <w:rFonts w:ascii="Arial" w:cs="Arial" w:eastAsia="Arial" w:hAnsi="Arial"/>
                <w:sz w:val="22"/>
                <w:szCs w:val="22"/>
                <w:color w:val="auto"/>
                <w:w w:val="93"/>
                <w:vertAlign w:val="superscript"/>
              </w:rPr>
              <w:t>a</w:t>
            </w:r>
            <w:r>
              <w:rPr>
                <w:rFonts w:ascii="Arial" w:cs="Arial" w:eastAsia="Arial" w:hAnsi="Arial"/>
                <w:sz w:val="13"/>
                <w:szCs w:val="13"/>
                <w:color w:val="auto"/>
                <w:w w:val="93"/>
              </w:rPr>
              <w:t>The upper bound of the 95% CI is currently NE; median PFS may change with</w:t>
            </w:r>
          </w:p>
        </w:tc>
        <w:tc>
          <w:tcPr>
            <w:tcW w:w="5780" w:type="dxa"/>
            <w:vAlign w:val="bottom"/>
          </w:tcPr>
          <w:p>
            <w:pPr>
              <w:jc w:val="right"/>
              <w:ind w:right="4762"/>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3"/>
                <w:szCs w:val="13"/>
                <w:color w:val="auto"/>
              </w:rPr>
              <w:t>p&lt;0.0001.</w:t>
            </w:r>
          </w:p>
        </w:tc>
      </w:tr>
      <w:tr>
        <w:trPr>
          <w:trHeight w:val="172"/>
        </w:trPr>
        <w:tc>
          <w:tcPr>
            <w:tcW w:w="5460" w:type="dxa"/>
            <w:vAlign w:val="bottom"/>
            <w:gridSpan w:val="2"/>
          </w:tcPr>
          <w:p>
            <w:pPr>
              <w:ind w:left="1140"/>
              <w:spacing w:after="0"/>
              <w:rPr>
                <w:sz w:val="20"/>
                <w:szCs w:val="20"/>
                <w:color w:val="auto"/>
              </w:rPr>
            </w:pPr>
            <w:r>
              <w:rPr>
                <w:rFonts w:ascii="Arial" w:cs="Arial" w:eastAsia="Arial" w:hAnsi="Arial"/>
                <w:sz w:val="13"/>
                <w:szCs w:val="13"/>
                <w:color w:val="auto"/>
                <w:w w:val="96"/>
              </w:rPr>
              <w:t>additional follow-up once the upper bound of the 95% CI estimate is reached.</w:t>
            </w:r>
          </w:p>
        </w:tc>
        <w:tc>
          <w:tcPr>
            <w:tcW w:w="5780" w:type="dxa"/>
            <w:vAlign w:val="bottom"/>
          </w:tcPr>
          <w:p>
            <w:pPr>
              <w:spacing w:after="0"/>
              <w:rPr>
                <w:sz w:val="14"/>
                <w:szCs w:val="14"/>
                <w:color w:val="auto"/>
              </w:rPr>
            </w:pPr>
          </w:p>
        </w:tc>
      </w:tr>
      <w:tr>
        <w:trPr>
          <w:trHeight w:val="364"/>
        </w:trPr>
        <w:tc>
          <w:tcPr>
            <w:tcW w:w="5460" w:type="dxa"/>
            <w:vAlign w:val="bottom"/>
            <w:gridSpan w:val="2"/>
          </w:tcPr>
          <w:p>
            <w:pPr>
              <w:spacing w:after="0"/>
              <w:rPr>
                <w:sz w:val="20"/>
                <w:szCs w:val="20"/>
                <w:color w:val="auto"/>
              </w:rPr>
            </w:pPr>
            <w:r>
              <w:rPr>
                <w:rFonts w:ascii="Arial" w:cs="Arial" w:eastAsia="Arial" w:hAnsi="Arial"/>
                <w:sz w:val="13"/>
                <w:szCs w:val="13"/>
                <w:color w:val="auto"/>
              </w:rPr>
              <w:t>Source: Janssen presentation at ASH, December 2018</w:t>
            </w:r>
          </w:p>
        </w:tc>
        <w:tc>
          <w:tcPr>
            <w:tcW w:w="5780" w:type="dxa"/>
            <w:vAlign w:val="bottom"/>
          </w:tcPr>
          <w:p>
            <w:pPr>
              <w:spacing w:after="0"/>
              <w:rPr>
                <w:sz w:val="24"/>
                <w:szCs w:val="24"/>
                <w:color w:val="auto"/>
              </w:rPr>
            </w:pPr>
          </w:p>
        </w:tc>
      </w:tr>
      <w:tr>
        <w:trPr>
          <w:trHeight w:val="411"/>
        </w:trPr>
        <w:tc>
          <w:tcPr>
            <w:tcW w:w="1880" w:type="dxa"/>
            <w:vAlign w:val="bottom"/>
          </w:tcPr>
          <w:p>
            <w:pPr>
              <w:spacing w:after="0"/>
              <w:rPr>
                <w:sz w:val="20"/>
                <w:szCs w:val="20"/>
                <w:color w:val="auto"/>
              </w:rPr>
            </w:pPr>
            <w:r>
              <w:rPr>
                <w:rFonts w:ascii="Arial" w:cs="Arial" w:eastAsia="Arial" w:hAnsi="Arial"/>
                <w:sz w:val="18"/>
                <w:szCs w:val="18"/>
                <w:i w:val="1"/>
                <w:iCs w:val="1"/>
                <w:color w:val="auto"/>
              </w:rPr>
              <w:t>Study Design</w:t>
            </w:r>
          </w:p>
        </w:tc>
        <w:tc>
          <w:tcPr>
            <w:tcW w:w="9360" w:type="dxa"/>
            <w:vAlign w:val="bottom"/>
            <w:gridSpan w:val="2"/>
          </w:tcPr>
          <w:p>
            <w:pPr>
              <w:ind w:left="280"/>
              <w:spacing w:after="0"/>
              <w:rPr>
                <w:sz w:val="20"/>
                <w:szCs w:val="20"/>
                <w:color w:val="auto"/>
              </w:rPr>
            </w:pPr>
            <w:r>
              <w:rPr>
                <w:rFonts w:ascii="Arial" w:cs="Arial" w:eastAsia="Arial" w:hAnsi="Arial"/>
                <w:sz w:val="18"/>
                <w:szCs w:val="18"/>
                <w:color w:val="auto"/>
                <w:w w:val="97"/>
              </w:rPr>
              <w:t>569-patient randomized open-label, multicenter, active-controlled, Phase III trial of daratumumab in combination with</w:t>
            </w:r>
          </w:p>
        </w:tc>
      </w:tr>
      <w:tr>
        <w:trPr>
          <w:trHeight w:val="216"/>
        </w:trPr>
        <w:tc>
          <w:tcPr>
            <w:tcW w:w="1880" w:type="dxa"/>
            <w:vAlign w:val="bottom"/>
          </w:tcPr>
          <w:p>
            <w:pPr>
              <w:spacing w:after="0"/>
              <w:rPr>
                <w:sz w:val="18"/>
                <w:szCs w:val="18"/>
                <w:color w:val="auto"/>
              </w:rPr>
            </w:pPr>
          </w:p>
        </w:tc>
        <w:tc>
          <w:tcPr>
            <w:tcW w:w="9360" w:type="dxa"/>
            <w:vAlign w:val="bottom"/>
            <w:gridSpan w:val="2"/>
          </w:tcPr>
          <w:p>
            <w:pPr>
              <w:ind w:left="280"/>
              <w:spacing w:after="0"/>
              <w:rPr>
                <w:sz w:val="20"/>
                <w:szCs w:val="20"/>
                <w:color w:val="auto"/>
              </w:rPr>
            </w:pPr>
            <w:r>
              <w:rPr>
                <w:rFonts w:ascii="Arial" w:cs="Arial" w:eastAsia="Arial" w:hAnsi="Arial"/>
                <w:sz w:val="18"/>
                <w:szCs w:val="18"/>
                <w:color w:val="auto"/>
                <w:w w:val="89"/>
              </w:rPr>
              <w:t>lenalidomide and dexamethasone, or Rd, versus Rd alone in patients with R/R MM. Patients were randomized to receive either</w:t>
            </w:r>
          </w:p>
        </w:tc>
      </w:tr>
      <w:tr>
        <w:trPr>
          <w:trHeight w:val="222"/>
        </w:trPr>
        <w:tc>
          <w:tcPr>
            <w:tcW w:w="1880" w:type="dxa"/>
            <w:vAlign w:val="bottom"/>
          </w:tcPr>
          <w:p>
            <w:pPr>
              <w:spacing w:after="0"/>
              <w:rPr>
                <w:sz w:val="19"/>
                <w:szCs w:val="19"/>
                <w:color w:val="auto"/>
              </w:rPr>
            </w:pPr>
          </w:p>
        </w:tc>
        <w:tc>
          <w:tcPr>
            <w:tcW w:w="9360" w:type="dxa"/>
            <w:vAlign w:val="bottom"/>
            <w:gridSpan w:val="2"/>
          </w:tcPr>
          <w:p>
            <w:pPr>
              <w:ind w:left="280"/>
              <w:spacing w:after="0"/>
              <w:rPr>
                <w:sz w:val="20"/>
                <w:szCs w:val="20"/>
                <w:color w:val="auto"/>
              </w:rPr>
            </w:pPr>
            <w:r>
              <w:rPr>
                <w:rFonts w:ascii="Arial" w:cs="Arial" w:eastAsia="Arial" w:hAnsi="Arial"/>
                <w:sz w:val="18"/>
                <w:szCs w:val="18"/>
                <w:color w:val="auto"/>
              </w:rPr>
              <w:t>daratumumab combined with Rd, or D-Rd, or Rd alone.</w:t>
            </w:r>
          </w:p>
        </w:tc>
      </w:tr>
      <w:tr>
        <w:trPr>
          <w:trHeight w:val="453"/>
        </w:trPr>
        <w:tc>
          <w:tcPr>
            <w:tcW w:w="1880" w:type="dxa"/>
            <w:vAlign w:val="bottom"/>
          </w:tcPr>
          <w:p>
            <w:pPr>
              <w:spacing w:after="0"/>
              <w:rPr>
                <w:sz w:val="20"/>
                <w:szCs w:val="20"/>
                <w:color w:val="auto"/>
              </w:rPr>
            </w:pPr>
            <w:r>
              <w:rPr>
                <w:rFonts w:ascii="Arial" w:cs="Arial" w:eastAsia="Arial" w:hAnsi="Arial"/>
                <w:sz w:val="18"/>
                <w:szCs w:val="18"/>
                <w:i w:val="1"/>
                <w:iCs w:val="1"/>
                <w:color w:val="auto"/>
              </w:rPr>
              <w:t>Initial Results</w:t>
            </w:r>
          </w:p>
        </w:tc>
        <w:tc>
          <w:tcPr>
            <w:tcW w:w="9360" w:type="dxa"/>
            <w:vAlign w:val="bottom"/>
            <w:gridSpan w:val="2"/>
          </w:tcPr>
          <w:p>
            <w:pPr>
              <w:ind w:left="280"/>
              <w:spacing w:after="0"/>
              <w:rPr>
                <w:sz w:val="20"/>
                <w:szCs w:val="20"/>
                <w:color w:val="auto"/>
              </w:rPr>
            </w:pPr>
            <w:r>
              <w:rPr>
                <w:rFonts w:ascii="Arial" w:cs="Arial" w:eastAsia="Arial" w:hAnsi="Arial"/>
                <w:sz w:val="18"/>
                <w:szCs w:val="18"/>
                <w:color w:val="auto"/>
                <w:w w:val="93"/>
              </w:rPr>
              <w:t>As of March 7, 2016, at a median follow-up of 13.5 months, the study met the primary endpoint of improving PFS (Hazard</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(Published in the New</w:t>
            </w:r>
          </w:p>
        </w:tc>
        <w:tc>
          <w:tcPr>
            <w:tcW w:w="9360" w:type="dxa"/>
            <w:vAlign w:val="bottom"/>
            <w:gridSpan w:val="2"/>
          </w:tcPr>
          <w:p>
            <w:pPr>
              <w:ind w:left="280"/>
              <w:spacing w:after="0"/>
              <w:rPr>
                <w:sz w:val="20"/>
                <w:szCs w:val="20"/>
                <w:color w:val="auto"/>
              </w:rPr>
            </w:pPr>
            <w:r>
              <w:rPr>
                <w:rFonts w:ascii="Arial" w:cs="Arial" w:eastAsia="Arial" w:hAnsi="Arial"/>
                <w:sz w:val="18"/>
                <w:szCs w:val="18"/>
                <w:color w:val="auto"/>
              </w:rPr>
              <w:t>Ratio, or HR = 0.37; 95% CI: 0.27-0.52; p&lt;0.001) for patients treated with D-Rd versus Rd.</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England Journal of</w:t>
            </w:r>
          </w:p>
        </w:tc>
        <w:tc>
          <w:tcPr>
            <w:tcW w:w="358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Medicine, or NEJM,</w:t>
            </w:r>
          </w:p>
        </w:tc>
        <w:tc>
          <w:tcPr>
            <w:tcW w:w="358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October 2016)</w:t>
            </w:r>
          </w:p>
        </w:tc>
        <w:tc>
          <w:tcPr>
            <w:tcW w:w="358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32"/>
        </w:trPr>
        <w:tc>
          <w:tcPr>
            <w:tcW w:w="1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780" w:type="dxa"/>
            <w:vAlign w:val="bottom"/>
          </w:tcPr>
          <w:p>
            <w:pPr>
              <w:jc w:val="right"/>
              <w:ind w:right="5402"/>
              <w:spacing w:after="0"/>
              <w:rPr>
                <w:sz w:val="20"/>
                <w:szCs w:val="20"/>
                <w:color w:val="auto"/>
              </w:rPr>
            </w:pPr>
            <w:r>
              <w:rPr>
                <w:rFonts w:ascii="Arial" w:cs="Arial" w:eastAsia="Arial" w:hAnsi="Arial"/>
                <w:sz w:val="18"/>
                <w:szCs w:val="18"/>
                <w:color w:val="auto"/>
                <w:w w:val="93"/>
              </w:rPr>
              <w:t>108</w:t>
            </w:r>
          </w:p>
        </w:tc>
      </w:tr>
      <w:tr>
        <w:trPr>
          <w:trHeight w:val="228"/>
        </w:trPr>
        <w:tc>
          <w:tcPr>
            <w:tcW w:w="18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50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444"/>
        </w:trPr>
        <w:tc>
          <w:tcPr>
            <w:tcW w:w="1760" w:type="dxa"/>
            <w:vAlign w:val="bottom"/>
            <w:gridSpan w:val="2"/>
          </w:tcPr>
          <w:p>
            <w:pPr>
              <w:spacing w:after="0"/>
              <w:rPr>
                <w:sz w:val="20"/>
                <w:szCs w:val="20"/>
                <w:color w:val="auto"/>
              </w:rPr>
            </w:pPr>
            <w:r>
              <w:rPr>
                <w:rFonts w:ascii="Arial" w:cs="Arial" w:eastAsia="Arial" w:hAnsi="Arial"/>
                <w:sz w:val="18"/>
                <w:szCs w:val="18"/>
                <w:i w:val="1"/>
                <w:iCs w:val="1"/>
                <w:color w:val="auto"/>
              </w:rPr>
              <w:t>Efficacy Data</w:t>
            </w:r>
          </w:p>
        </w:tc>
        <w:tc>
          <w:tcPr>
            <w:tcW w:w="9480" w:type="dxa"/>
            <w:vAlign w:val="bottom"/>
          </w:tcPr>
          <w:p>
            <w:pPr>
              <w:ind w:left="400"/>
              <w:spacing w:after="0"/>
              <w:rPr>
                <w:sz w:val="20"/>
                <w:szCs w:val="20"/>
                <w:color w:val="auto"/>
              </w:rPr>
            </w:pPr>
            <w:r>
              <w:rPr>
                <w:rFonts w:ascii="Arial" w:cs="Arial" w:eastAsia="Arial" w:hAnsi="Arial"/>
                <w:sz w:val="18"/>
                <w:szCs w:val="18"/>
                <w:color w:val="auto"/>
                <w:w w:val="92"/>
              </w:rPr>
              <w:t>D-Rd continued to demonstrate a significant PFS benefit and higher rates of deeper responses versus Rd alone in R/R MM</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(Presented at ASH,</w:t>
            </w:r>
          </w:p>
        </w:tc>
        <w:tc>
          <w:tcPr>
            <w:tcW w:w="9480" w:type="dxa"/>
            <w:vAlign w:val="bottom"/>
          </w:tcPr>
          <w:p>
            <w:pPr>
              <w:ind w:left="400"/>
              <w:spacing w:after="0"/>
              <w:rPr>
                <w:sz w:val="20"/>
                <w:szCs w:val="20"/>
                <w:color w:val="auto"/>
              </w:rPr>
            </w:pPr>
            <w:r>
              <w:rPr>
                <w:rFonts w:ascii="Arial" w:cs="Arial" w:eastAsia="Arial" w:hAnsi="Arial"/>
                <w:sz w:val="18"/>
                <w:szCs w:val="18"/>
                <w:color w:val="auto"/>
                <w:w w:val="90"/>
              </w:rPr>
              <w:t>patients. The follow up report concluded that the higher rate of sustained minimal residual disease, or MRD, negativity with D-</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9480" w:type="dxa"/>
            <w:vAlign w:val="bottom"/>
          </w:tcPr>
          <w:p>
            <w:pPr>
              <w:ind w:left="400"/>
              <w:spacing w:after="0"/>
              <w:rPr>
                <w:sz w:val="20"/>
                <w:szCs w:val="20"/>
                <w:color w:val="auto"/>
              </w:rPr>
            </w:pPr>
            <w:r>
              <w:rPr>
                <w:rFonts w:ascii="Arial" w:cs="Arial" w:eastAsia="Arial" w:hAnsi="Arial"/>
                <w:sz w:val="18"/>
                <w:szCs w:val="18"/>
                <w:color w:val="auto"/>
                <w:w w:val="87"/>
              </w:rPr>
              <w:t>Rd compared with Rd suggests that continued D-Rd treatment drives these deep responses and delays disease progression. At a</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0"/>
              </w:rPr>
              <w:t>median follow-up of 44.5 months, D-Rd significantly prolonged PFS versus Rd (median 44.5 vs 17.5 months; HR = 0.44; 95%</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89"/>
              </w:rPr>
              <w:t>CI: 0.35-0.55; p &lt;0.0001). D-Rd also prolonged PFS versus Rd among patients with 1 prior line of therapy and patients with 1-3</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2"/>
              </w:rPr>
              <w:t>prior lines of therapy. A PFS benefit for D-Rd versus Rd was also observed regardless of cytogenetic risk status. D-Rd was</w:t>
            </w:r>
          </w:p>
        </w:tc>
      </w:tr>
      <w:tr>
        <w:trPr>
          <w:trHeight w:val="217"/>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1"/>
              </w:rPr>
              <w:t>associated with a significantly higher ORR versus Rd (93% vs 76%), including higher rates of ³VGPR (80% vs 49%) and ³CR</w:t>
            </w:r>
          </w:p>
        </w:tc>
      </w:tr>
      <w:tr>
        <w:trPr>
          <w:trHeight w:val="255"/>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80" w:type="dxa"/>
            <w:vAlign w:val="bottom"/>
          </w:tcPr>
          <w:p>
            <w:pPr>
              <w:ind w:left="400"/>
              <w:spacing w:after="0" w:line="255" w:lineRule="exact"/>
              <w:rPr>
                <w:sz w:val="20"/>
                <w:szCs w:val="20"/>
                <w:color w:val="auto"/>
              </w:rPr>
            </w:pPr>
            <w:r>
              <w:rPr>
                <w:rFonts w:ascii="Arial" w:cs="Arial" w:eastAsia="Arial" w:hAnsi="Arial"/>
                <w:sz w:val="18"/>
                <w:szCs w:val="18"/>
                <w:color w:val="auto"/>
                <w:w w:val="90"/>
              </w:rPr>
              <w:t>(57% vs 23%) (all p &lt;0.0001). At the 10</w:t>
            </w:r>
            <w:r>
              <w:rPr>
                <w:rFonts w:ascii="Arial" w:cs="Arial" w:eastAsia="Arial" w:hAnsi="Arial"/>
                <w:sz w:val="29"/>
                <w:szCs w:val="29"/>
                <w:color w:val="auto"/>
                <w:w w:val="90"/>
                <w:vertAlign w:val="superscript"/>
              </w:rPr>
              <w:t>-5</w:t>
            </w:r>
            <w:r>
              <w:rPr>
                <w:rFonts w:ascii="Arial" w:cs="Arial" w:eastAsia="Arial" w:hAnsi="Arial"/>
                <w:sz w:val="18"/>
                <w:szCs w:val="18"/>
                <w:color w:val="auto"/>
                <w:w w:val="90"/>
              </w:rPr>
              <w:t xml:space="preserve"> sensitivity threshold, MRD-negativity was achieved by 87 (30%) D-Rd pts versus 15</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1"/>
              </w:rPr>
              <w:t>(5%) Rd patients (p &lt;0.000001). Among the intent-to-treat, or ITT, population, sustained MRD negativity was achieved by 47</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3"/>
              </w:rPr>
              <w:t>(16%) D-Rd patients versus 2 (0.7%) Rd patients for ³6 months and 37 (13%) D-Rd patients versus 1 (0.4%) Rd patient for</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0"/>
              </w:rPr>
              <w:t>³12 months (both p &lt;0.0001). MRD-negativity was assessed at time of suspected CR or sCR blinded to treatment group and, if</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1"/>
              </w:rPr>
              <w:t>CR/sCR was maintained, at 3 and 6 months, and every 12 months after confirmation of CR/sCR. Median time to next therapy</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2"/>
              </w:rPr>
              <w:t>for D-Rd versus Rd was not reached in the D-Rd group versus 23.1 months in the Rd group (HR = 0.39; 95% CI: 0.31-0.50;</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88"/>
              </w:rPr>
              <w:t>p &lt;0.0001). In the D-Rd group, 104 (36%) OS events were observed versus 121 (43%) OS events in the Rd group; OS follow-up</w:t>
            </w:r>
          </w:p>
        </w:tc>
      </w:tr>
      <w:tr>
        <w:trPr>
          <w:trHeight w:val="222"/>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rPr>
              <w:t>is ongoing. The median DoR was 34.3 months in the D-Rd arm versus 16.0 months in the Rd arm.</w:t>
            </w:r>
          </w:p>
        </w:tc>
      </w:tr>
      <w:tr>
        <w:trPr>
          <w:trHeight w:val="453"/>
        </w:trPr>
        <w:tc>
          <w:tcPr>
            <w:tcW w:w="1760" w:type="dxa"/>
            <w:vAlign w:val="bottom"/>
            <w:gridSpan w:val="2"/>
          </w:tcPr>
          <w:p>
            <w:pPr>
              <w:spacing w:after="0"/>
              <w:rPr>
                <w:sz w:val="20"/>
                <w:szCs w:val="20"/>
                <w:color w:val="auto"/>
              </w:rPr>
            </w:pPr>
            <w:r>
              <w:rPr>
                <w:rFonts w:ascii="Arial" w:cs="Arial" w:eastAsia="Arial" w:hAnsi="Arial"/>
                <w:sz w:val="18"/>
                <w:szCs w:val="18"/>
                <w:i w:val="1"/>
                <w:iCs w:val="1"/>
                <w:color w:val="auto"/>
              </w:rPr>
              <w:t>Safety Data</w:t>
            </w:r>
          </w:p>
        </w:tc>
        <w:tc>
          <w:tcPr>
            <w:tcW w:w="9480" w:type="dxa"/>
            <w:vAlign w:val="bottom"/>
          </w:tcPr>
          <w:p>
            <w:pPr>
              <w:ind w:left="400"/>
              <w:spacing w:after="0"/>
              <w:rPr>
                <w:sz w:val="20"/>
                <w:szCs w:val="20"/>
                <w:color w:val="auto"/>
              </w:rPr>
            </w:pPr>
            <w:r>
              <w:rPr>
                <w:rFonts w:ascii="Arial" w:cs="Arial" w:eastAsia="Arial" w:hAnsi="Arial"/>
                <w:sz w:val="18"/>
                <w:szCs w:val="18"/>
                <w:color w:val="auto"/>
                <w:w w:val="92"/>
              </w:rPr>
              <w:t>The most common (in ³10% of patients) Grade 3/4 TEAEs, observed with D-Rd versus Rd were neutropenia (56% vs 42%),</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90"/>
              </w:rPr>
              <w:t>anemia (18% vs 21%), thrombocytopenia (15% vs 16%), pneumonia (15% vs 10%) and diarrhea (10% vs 4%). No differences</w:t>
            </w:r>
          </w:p>
        </w:tc>
      </w:tr>
      <w:tr>
        <w:trPr>
          <w:trHeight w:val="216"/>
        </w:trPr>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w w:val="89"/>
              </w:rPr>
              <w:t>were observed for D-Rd versus Rd in discontinuations due to TEAEs (15% of patients in each treatment group) or incidences of</w:t>
            </w:r>
          </w:p>
        </w:tc>
      </w:tr>
      <w:tr>
        <w:trPr>
          <w:trHeight w:val="222"/>
        </w:trPr>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80" w:type="dxa"/>
            <w:vAlign w:val="bottom"/>
          </w:tcPr>
          <w:p>
            <w:pPr>
              <w:ind w:left="400"/>
              <w:spacing w:after="0"/>
              <w:rPr>
                <w:sz w:val="20"/>
                <w:szCs w:val="20"/>
                <w:color w:val="auto"/>
              </w:rPr>
            </w:pPr>
            <w:r>
              <w:rPr>
                <w:rFonts w:ascii="Arial" w:cs="Arial" w:eastAsia="Arial" w:hAnsi="Arial"/>
                <w:sz w:val="18"/>
                <w:szCs w:val="18"/>
                <w:color w:val="auto"/>
              </w:rPr>
              <w:t>second primary malignancies (9% of patients in each treatment group).</w:t>
            </w:r>
          </w:p>
        </w:tc>
      </w:tr>
      <w:tr>
        <w:trPr>
          <w:trHeight w:val="432"/>
        </w:trPr>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80" w:type="dxa"/>
            <w:vAlign w:val="bottom"/>
          </w:tcPr>
          <w:p>
            <w:pPr>
              <w:ind w:left="3740"/>
              <w:spacing w:after="0"/>
              <w:rPr>
                <w:sz w:val="20"/>
                <w:szCs w:val="20"/>
                <w:color w:val="auto"/>
              </w:rPr>
            </w:pPr>
            <w:r>
              <w:rPr>
                <w:rFonts w:ascii="Arial" w:cs="Arial" w:eastAsia="Arial" w:hAnsi="Arial"/>
                <w:sz w:val="18"/>
                <w:szCs w:val="18"/>
                <w:color w:val="auto"/>
              </w:rPr>
              <w:t>109</w:t>
            </w:r>
          </w:p>
        </w:tc>
      </w:tr>
      <w:tr>
        <w:trPr>
          <w:trHeight w:val="228"/>
        </w:trPr>
        <w:tc>
          <w:tcPr>
            <w:tcW w:w="1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CASTOR (MMY3004)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151765</wp:posOffset>
            </wp:positionV>
            <wp:extent cx="5589270" cy="2082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9270" cy="208280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2569210</wp:posOffset>
            </wp:positionV>
            <wp:extent cx="27514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4020" w:type="dxa"/>
            <w:vAlign w:val="bottom"/>
          </w:tcPr>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3"/>
                <w:szCs w:val="13"/>
                <w:color w:val="auto"/>
              </w:rPr>
              <w:t>Kaplan-Meier estimate</w:t>
            </w:r>
          </w:p>
        </w:tc>
        <w:tc>
          <w:tcPr>
            <w:tcW w:w="2960" w:type="dxa"/>
            <w:vAlign w:val="bottom"/>
          </w:tcPr>
          <w:p>
            <w:pPr>
              <w:ind w:left="640"/>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3"/>
                <w:szCs w:val="13"/>
                <w:color w:val="auto"/>
              </w:rPr>
              <w:t>Response-evaluable population</w:t>
            </w:r>
          </w:p>
        </w:tc>
      </w:tr>
      <w:tr>
        <w:trPr>
          <w:trHeight w:val="176"/>
        </w:trPr>
        <w:tc>
          <w:tcPr>
            <w:tcW w:w="4020" w:type="dxa"/>
            <w:vAlign w:val="bottom"/>
          </w:tcPr>
          <w:p>
            <w:pPr>
              <w:spacing w:after="0"/>
              <w:rPr>
                <w:sz w:val="20"/>
                <w:szCs w:val="20"/>
                <w:color w:val="auto"/>
              </w:rPr>
            </w:pPr>
            <w:r>
              <w:rPr>
                <w:rFonts w:ascii="Arial" w:cs="Arial" w:eastAsia="Arial" w:hAnsi="Arial"/>
                <w:sz w:val="13"/>
                <w:szCs w:val="13"/>
                <w:color w:val="auto"/>
              </w:rPr>
              <w:t>PFS2, PFS on second line of therapy; NR, not reached</w:t>
            </w:r>
          </w:p>
        </w:tc>
        <w:tc>
          <w:tcPr>
            <w:tcW w:w="2960" w:type="dxa"/>
            <w:vAlign w:val="bottom"/>
          </w:tcPr>
          <w:p>
            <w:pPr>
              <w:ind w:left="640"/>
              <w:spacing w:after="0" w:line="176" w:lineRule="exact"/>
              <w:rPr>
                <w:sz w:val="20"/>
                <w:szCs w:val="20"/>
                <w:color w:val="auto"/>
              </w:rPr>
            </w:pPr>
            <w:r>
              <w:rPr>
                <w:rFonts w:ascii="Arial" w:cs="Arial" w:eastAsia="Arial" w:hAnsi="Arial"/>
                <w:sz w:val="20"/>
                <w:szCs w:val="20"/>
                <w:color w:val="auto"/>
                <w:vertAlign w:val="superscript"/>
              </w:rPr>
              <w:t>b</w:t>
            </w:r>
            <w:r>
              <w:rPr>
                <w:rFonts w:ascii="Arial" w:cs="Arial" w:eastAsia="Arial" w:hAnsi="Arial"/>
                <w:sz w:val="12"/>
                <w:szCs w:val="12"/>
                <w:color w:val="auto"/>
              </w:rPr>
              <w:t>ITT population</w:t>
            </w:r>
          </w:p>
        </w:tc>
      </w:tr>
      <w:tr>
        <w:trPr>
          <w:trHeight w:val="197"/>
        </w:trPr>
        <w:tc>
          <w:tcPr>
            <w:tcW w:w="4020" w:type="dxa"/>
            <w:vAlign w:val="bottom"/>
          </w:tcPr>
          <w:p>
            <w:pPr>
              <w:spacing w:after="0"/>
              <w:rPr>
                <w:sz w:val="20"/>
                <w:szCs w:val="20"/>
                <w:color w:val="auto"/>
              </w:rPr>
            </w:pPr>
            <w:r>
              <w:rPr>
                <w:rFonts w:ascii="Arial" w:cs="Arial" w:eastAsia="Arial" w:hAnsi="Arial"/>
                <w:sz w:val="13"/>
                <w:szCs w:val="13"/>
                <w:color w:val="auto"/>
              </w:rPr>
              <w:t>Source:  Janssen Poster Presentation at ASH, December 2018</w:t>
            </w:r>
          </w:p>
        </w:tc>
        <w:tc>
          <w:tcPr>
            <w:tcW w:w="2960" w:type="dxa"/>
            <w:vAlign w:val="bottom"/>
          </w:tcPr>
          <w:p>
            <w:pPr>
              <w:ind w:left="640"/>
              <w:spacing w:after="0" w:line="197" w:lineRule="exact"/>
              <w:rPr>
                <w:sz w:val="20"/>
                <w:szCs w:val="20"/>
                <w:color w:val="auto"/>
              </w:rPr>
            </w:pPr>
            <w:r>
              <w:rPr>
                <w:rFonts w:ascii="Arial" w:cs="Arial" w:eastAsia="Arial" w:hAnsi="Arial"/>
                <w:sz w:val="22"/>
                <w:szCs w:val="22"/>
                <w:color w:val="auto"/>
                <w:w w:val="94"/>
                <w:vertAlign w:val="superscript"/>
              </w:rPr>
              <w:t>c</w:t>
            </w:r>
            <w:r>
              <w:rPr>
                <w:rFonts w:ascii="Arial" w:cs="Arial" w:eastAsia="Arial" w:hAnsi="Arial"/>
                <w:sz w:val="13"/>
                <w:szCs w:val="13"/>
                <w:color w:val="auto"/>
                <w:w w:val="94"/>
              </w:rPr>
              <w:t>Sustained MRD negativity for ³12 months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60" w:type="dxa"/>
            <w:vAlign w:val="bottom"/>
          </w:tcPr>
          <w:p>
            <w:pPr>
              <w:spacing w:after="0" w:line="202" w:lineRule="exact"/>
              <w:rPr>
                <w:sz w:val="20"/>
                <w:szCs w:val="20"/>
                <w:color w:val="auto"/>
              </w:rPr>
            </w:pPr>
            <w:r>
              <w:rPr>
                <w:rFonts w:ascii="Arial" w:cs="Arial" w:eastAsia="Arial" w:hAnsi="Arial"/>
                <w:sz w:val="18"/>
                <w:szCs w:val="18"/>
                <w:i w:val="1"/>
                <w:iCs w:val="1"/>
                <w:color w:val="auto"/>
              </w:rPr>
              <w:t>Study Design</w:t>
            </w:r>
          </w:p>
        </w:tc>
        <w:tc>
          <w:tcPr>
            <w:tcW w:w="9280" w:type="dxa"/>
            <w:vAlign w:val="bottom"/>
          </w:tcPr>
          <w:p>
            <w:pPr>
              <w:ind w:left="200"/>
              <w:spacing w:after="0" w:line="202" w:lineRule="exact"/>
              <w:rPr>
                <w:sz w:val="20"/>
                <w:szCs w:val="20"/>
                <w:color w:val="auto"/>
              </w:rPr>
            </w:pPr>
            <w:r>
              <w:rPr>
                <w:rFonts w:ascii="Arial" w:cs="Arial" w:eastAsia="Arial" w:hAnsi="Arial"/>
                <w:sz w:val="18"/>
                <w:szCs w:val="18"/>
                <w:color w:val="auto"/>
                <w:w w:val="97"/>
              </w:rPr>
              <w:t>498-patient randomized, open-label, multicenter, active-controlled, Phase III trial of daratumumab in combination with</w:t>
            </w:r>
          </w:p>
        </w:tc>
      </w:tr>
      <w:tr>
        <w:trPr>
          <w:trHeight w:val="216"/>
        </w:trPr>
        <w:tc>
          <w:tcPr>
            <w:tcW w:w="196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w w:val="91"/>
              </w:rPr>
              <w:t>bortezomib and dexamethasone, or Vd, versus Vd alone in patients with R/R MM. Patients were randomized to receive either</w:t>
            </w:r>
          </w:p>
        </w:tc>
      </w:tr>
      <w:tr>
        <w:trPr>
          <w:trHeight w:val="222"/>
        </w:trPr>
        <w:tc>
          <w:tcPr>
            <w:tcW w:w="196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daratumumab combined with subQ Vd, or D-Vd, or Vd alone.</w:t>
            </w:r>
          </w:p>
        </w:tc>
      </w:tr>
      <w:tr>
        <w:trPr>
          <w:trHeight w:val="453"/>
        </w:trPr>
        <w:tc>
          <w:tcPr>
            <w:tcW w:w="1960" w:type="dxa"/>
            <w:vAlign w:val="bottom"/>
          </w:tcPr>
          <w:p>
            <w:pPr>
              <w:spacing w:after="0"/>
              <w:rPr>
                <w:sz w:val="20"/>
                <w:szCs w:val="20"/>
                <w:color w:val="auto"/>
              </w:rPr>
            </w:pPr>
            <w:r>
              <w:rPr>
                <w:rFonts w:ascii="Arial" w:cs="Arial" w:eastAsia="Arial" w:hAnsi="Arial"/>
                <w:sz w:val="18"/>
                <w:szCs w:val="18"/>
                <w:i w:val="1"/>
                <w:iCs w:val="1"/>
                <w:color w:val="auto"/>
              </w:rPr>
              <w:t>Interim Results</w:t>
            </w:r>
          </w:p>
        </w:tc>
        <w:tc>
          <w:tcPr>
            <w:tcW w:w="9280" w:type="dxa"/>
            <w:vAlign w:val="bottom"/>
          </w:tcPr>
          <w:p>
            <w:pPr>
              <w:ind w:left="200"/>
              <w:spacing w:after="0"/>
              <w:rPr>
                <w:sz w:val="20"/>
                <w:szCs w:val="20"/>
                <w:color w:val="auto"/>
              </w:rPr>
            </w:pPr>
            <w:r>
              <w:rPr>
                <w:rFonts w:ascii="Arial" w:cs="Arial" w:eastAsia="Arial" w:hAnsi="Arial"/>
                <w:sz w:val="18"/>
                <w:szCs w:val="18"/>
                <w:color w:val="auto"/>
                <w:w w:val="91"/>
              </w:rPr>
              <w:t>A pre-specified interim analysis showed that PFS was significantly higher for patients treated with D-Vd than patients treated</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(Published in NEJM,</w:t>
            </w:r>
          </w:p>
        </w:tc>
        <w:tc>
          <w:tcPr>
            <w:tcW w:w="9280" w:type="dxa"/>
            <w:vAlign w:val="bottom"/>
          </w:tcPr>
          <w:p>
            <w:pPr>
              <w:ind w:left="200"/>
              <w:spacing w:after="0"/>
              <w:rPr>
                <w:sz w:val="20"/>
                <w:szCs w:val="20"/>
                <w:color w:val="auto"/>
              </w:rPr>
            </w:pPr>
            <w:r>
              <w:rPr>
                <w:rFonts w:ascii="Arial" w:cs="Arial" w:eastAsia="Arial" w:hAnsi="Arial"/>
                <w:sz w:val="18"/>
                <w:szCs w:val="18"/>
                <w:color w:val="auto"/>
                <w:w w:val="89"/>
              </w:rPr>
              <w:t>with Vd alone, with 12-month PFS of 60.7% in the D-Vd arm compared to 26.9% in the Vd arm. As of January 11, 2016, after a</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August 2016)</w:t>
            </w:r>
          </w:p>
        </w:tc>
        <w:tc>
          <w:tcPr>
            <w:tcW w:w="9280" w:type="dxa"/>
            <w:vAlign w:val="bottom"/>
          </w:tcPr>
          <w:p>
            <w:pPr>
              <w:ind w:left="200"/>
              <w:spacing w:after="0"/>
              <w:rPr>
                <w:sz w:val="20"/>
                <w:szCs w:val="20"/>
                <w:color w:val="auto"/>
              </w:rPr>
            </w:pPr>
            <w:r>
              <w:rPr>
                <w:rFonts w:ascii="Arial" w:cs="Arial" w:eastAsia="Arial" w:hAnsi="Arial"/>
                <w:sz w:val="18"/>
                <w:szCs w:val="18"/>
                <w:color w:val="auto"/>
                <w:w w:val="93"/>
              </w:rPr>
              <w:t>median follow-up of 7.4 months, the median PFS was not reached in the D-Vd group and was 7.2 months in the Vd control</w:t>
            </w:r>
          </w:p>
        </w:tc>
      </w:tr>
      <w:tr>
        <w:trPr>
          <w:trHeight w:val="222"/>
        </w:trPr>
        <w:tc>
          <w:tcPr>
            <w:tcW w:w="196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group (HR = 0.39; 95% CI: 0.28-0.53; p&lt;0.001).</w:t>
            </w:r>
          </w:p>
        </w:tc>
      </w:tr>
      <w:tr>
        <w:trPr>
          <w:trHeight w:val="453"/>
        </w:trPr>
        <w:tc>
          <w:tcPr>
            <w:tcW w:w="1960" w:type="dxa"/>
            <w:vAlign w:val="bottom"/>
          </w:tcPr>
          <w:p>
            <w:pPr>
              <w:spacing w:after="0"/>
              <w:rPr>
                <w:sz w:val="20"/>
                <w:szCs w:val="20"/>
                <w:color w:val="auto"/>
              </w:rPr>
            </w:pPr>
            <w:r>
              <w:rPr>
                <w:rFonts w:ascii="Arial" w:cs="Arial" w:eastAsia="Arial" w:hAnsi="Arial"/>
                <w:sz w:val="18"/>
                <w:szCs w:val="18"/>
                <w:i w:val="1"/>
                <w:iCs w:val="1"/>
                <w:color w:val="auto"/>
              </w:rPr>
              <w:t>Efficacy Data</w:t>
            </w:r>
          </w:p>
        </w:tc>
        <w:tc>
          <w:tcPr>
            <w:tcW w:w="9280" w:type="dxa"/>
            <w:vAlign w:val="bottom"/>
          </w:tcPr>
          <w:p>
            <w:pPr>
              <w:ind w:left="200"/>
              <w:spacing w:after="0"/>
              <w:rPr>
                <w:sz w:val="20"/>
                <w:szCs w:val="20"/>
                <w:color w:val="auto"/>
              </w:rPr>
            </w:pPr>
            <w:r>
              <w:rPr>
                <w:rFonts w:ascii="Arial" w:cs="Arial" w:eastAsia="Arial" w:hAnsi="Arial"/>
                <w:sz w:val="18"/>
                <w:szCs w:val="18"/>
                <w:color w:val="auto"/>
                <w:w w:val="96"/>
              </w:rPr>
              <w:t>At the clinical cutoff date, 498 patients were included in the ITT population (D-Vd, n = 251; Vd, n = 247). Demographic,</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(Presented at ASH,</w:t>
            </w:r>
          </w:p>
        </w:tc>
        <w:tc>
          <w:tcPr>
            <w:tcW w:w="9280" w:type="dxa"/>
            <w:vAlign w:val="bottom"/>
          </w:tcPr>
          <w:p>
            <w:pPr>
              <w:ind w:left="200"/>
              <w:spacing w:after="0"/>
              <w:rPr>
                <w:sz w:val="20"/>
                <w:szCs w:val="20"/>
                <w:color w:val="auto"/>
              </w:rPr>
            </w:pPr>
            <w:r>
              <w:rPr>
                <w:rFonts w:ascii="Arial" w:cs="Arial" w:eastAsia="Arial" w:hAnsi="Arial"/>
                <w:sz w:val="18"/>
                <w:szCs w:val="18"/>
                <w:color w:val="auto"/>
                <w:w w:val="88"/>
              </w:rPr>
              <w:t>baseline disease, and clinical characteristics were balanced between treatment arms. Patients received a median of 2 (range: 1-</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December 2018; clinical</w:t>
            </w:r>
          </w:p>
        </w:tc>
        <w:tc>
          <w:tcPr>
            <w:tcW w:w="9280" w:type="dxa"/>
            <w:vAlign w:val="bottom"/>
          </w:tcPr>
          <w:p>
            <w:pPr>
              <w:ind w:left="200"/>
              <w:spacing w:after="0"/>
              <w:rPr>
                <w:sz w:val="20"/>
                <w:szCs w:val="20"/>
                <w:color w:val="auto"/>
              </w:rPr>
            </w:pPr>
            <w:r>
              <w:rPr>
                <w:rFonts w:ascii="Arial" w:cs="Arial" w:eastAsia="Arial" w:hAnsi="Arial"/>
                <w:sz w:val="18"/>
                <w:szCs w:val="18"/>
                <w:color w:val="auto"/>
                <w:w w:val="91"/>
              </w:rPr>
              <w:t>10) prior lines of therapy, including 235 patients that had received 1 prior line, or PL, of therapy (D-Vd, n = 122; Vd, n = 113).</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cutoff October 2, 2018)</w:t>
            </w:r>
          </w:p>
        </w:tc>
        <w:tc>
          <w:tcPr>
            <w:tcW w:w="9280" w:type="dxa"/>
            <w:vAlign w:val="bottom"/>
          </w:tcPr>
          <w:p>
            <w:pPr>
              <w:spacing w:after="0"/>
              <w:rPr>
                <w:sz w:val="19"/>
                <w:szCs w:val="19"/>
                <w:color w:val="auto"/>
              </w:rPr>
            </w:pPr>
          </w:p>
        </w:tc>
      </w:tr>
      <w:tr>
        <w:trPr>
          <w:trHeight w:val="432"/>
        </w:trPr>
        <w:tc>
          <w:tcPr>
            <w:tcW w:w="1960" w:type="dxa"/>
            <w:vAlign w:val="bottom"/>
          </w:tcPr>
          <w:p>
            <w:pPr>
              <w:spacing w:after="0"/>
              <w:rPr>
                <w:sz w:val="24"/>
                <w:szCs w:val="24"/>
                <w:color w:val="auto"/>
              </w:rPr>
            </w:pPr>
          </w:p>
        </w:tc>
        <w:tc>
          <w:tcPr>
            <w:tcW w:w="9280" w:type="dxa"/>
            <w:vAlign w:val="bottom"/>
          </w:tcPr>
          <w:p>
            <w:pPr>
              <w:ind w:left="3540"/>
              <w:spacing w:after="0"/>
              <w:rPr>
                <w:sz w:val="20"/>
                <w:szCs w:val="20"/>
                <w:color w:val="auto"/>
              </w:rPr>
            </w:pPr>
            <w:r>
              <w:rPr>
                <w:rFonts w:ascii="Arial" w:cs="Arial" w:eastAsia="Arial" w:hAnsi="Arial"/>
                <w:sz w:val="18"/>
                <w:szCs w:val="18"/>
                <w:color w:val="auto"/>
              </w:rPr>
              <w:t>110</w:t>
            </w:r>
          </w:p>
        </w:tc>
      </w:tr>
      <w:tr>
        <w:trPr>
          <w:trHeight w:val="228"/>
        </w:trPr>
        <w:tc>
          <w:tcPr>
            <w:tcW w:w="1960" w:type="dxa"/>
            <w:vAlign w:val="bottom"/>
            <w:tcBorders>
              <w:bottom w:val="single" w:sz="8" w:color="808080"/>
            </w:tcBorders>
          </w:tcPr>
          <w:p>
            <w:pPr>
              <w:spacing w:after="0"/>
              <w:rPr>
                <w:sz w:val="19"/>
                <w:szCs w:val="19"/>
                <w:color w:val="auto"/>
              </w:rPr>
            </w:pPr>
          </w:p>
        </w:tc>
        <w:tc>
          <w:tcPr>
            <w:tcW w:w="9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922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6"/>
              </w:rPr>
              <w:t>After 40.0 months of median follow-up, D-Vd maintained significant PFS and ORR benefit in R/R MM patients, with the</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6"/>
              </w:rPr>
              <w:t>greatest benefit observed in patients with 1PL. PFS was significantly prolonged with D-Vd compared with Vd in the ITT</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0"/>
              </w:rPr>
              <w:t>population (median: 16.7 vs 7.1 months; HR = 0.31; 95% CI: 0.25-0.40; p &lt;0.0001). PFS benefit for D-Vd compared to Vd was</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2"/>
              </w:rPr>
              <w:t>maintained in patients with high cytogenetic risk (median: 13.4 vs 7.2 months; HR = 0.40; 95% CI: 0.24-0.65; p &lt;0.001) and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89"/>
              </w:rPr>
              <w:t>standard cytogenetic risk (median: 18.4 vs 6.8 months; HR = 0.28; 95% CI: 0.20-0.37; p &lt;0.0001). A higher ORR was observed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3"/>
              </w:rPr>
              <w:t>with D-Vd compared to Vd (85% vs 63%), with significantly higher rates of VGPR or better (63% vs 29%) and CR or better</w:t>
            </w:r>
          </w:p>
        </w:tc>
      </w:tr>
      <w:tr>
        <w:trPr>
          <w:trHeight w:val="217"/>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88"/>
              </w:rPr>
              <w:t>(30% vs 10%) respectively, in the response-evaluable population (all p&lt;0.0001). The report indicated that deeper responses with</w:t>
            </w:r>
          </w:p>
        </w:tc>
      </w:tr>
      <w:tr>
        <w:trPr>
          <w:trHeight w:val="255"/>
        </w:trPr>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20" w:type="dxa"/>
            <w:vAlign w:val="bottom"/>
          </w:tcPr>
          <w:p>
            <w:pPr>
              <w:ind w:left="140"/>
              <w:spacing w:after="0" w:line="255" w:lineRule="exact"/>
              <w:rPr>
                <w:sz w:val="20"/>
                <w:szCs w:val="20"/>
                <w:color w:val="auto"/>
              </w:rPr>
            </w:pPr>
            <w:r>
              <w:rPr>
                <w:rFonts w:ascii="Arial" w:cs="Arial" w:eastAsia="Arial" w:hAnsi="Arial"/>
                <w:sz w:val="18"/>
                <w:szCs w:val="18"/>
                <w:color w:val="auto"/>
                <w:w w:val="92"/>
              </w:rPr>
              <w:t>D-Vd translated to higher MRD-negative rates at 10</w:t>
            </w:r>
            <w:r>
              <w:rPr>
                <w:rFonts w:ascii="Arial" w:cs="Arial" w:eastAsia="Arial" w:hAnsi="Arial"/>
                <w:sz w:val="29"/>
                <w:szCs w:val="29"/>
                <w:color w:val="auto"/>
                <w:w w:val="92"/>
                <w:vertAlign w:val="superscript"/>
              </w:rPr>
              <w:t>-5</w:t>
            </w:r>
            <w:r>
              <w:rPr>
                <w:rFonts w:ascii="Arial" w:cs="Arial" w:eastAsia="Arial" w:hAnsi="Arial"/>
                <w:sz w:val="18"/>
                <w:szCs w:val="18"/>
                <w:color w:val="auto"/>
                <w:w w:val="92"/>
              </w:rPr>
              <w:t xml:space="preserve"> sensitivity threshold for the ITT population (14% vs 2%; p &lt;0.000001)</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3"/>
              </w:rPr>
              <w:t>and in both cytogenetic risk groups (high risk: 18% vs 0%; p &lt;0.001; standard risk: 13% vs 2%; p &lt;0.001). Sustained MRD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0"/>
              </w:rPr>
              <w:t>negativity was maintained in 22 (9%) D-Vd patients compared with 3 (1%) Vd patients for ³6 months, and 8 (3%) D-Vd patients</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88"/>
              </w:rPr>
              <w:t>compared with 0 Vd patients for ³12 months. MRD negativity was assessed at time of suspected CR (blinded to treatment group)</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88"/>
              </w:rPr>
              <w:t>and at 6 months and every 12 months after the first dose (at the end of Vd background therapy and 6 months later, respectively).</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0"/>
              </w:rPr>
              <w:t>Additional MRD evaluation was required every 12 months post-CR. Median OS had not yet been reached at the clinical cutoff</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2"/>
              </w:rPr>
              <w:t>date; at the time of analysis, 102 deaths in the D-Vd group and 119 deaths in the Vd group were observed, and follow-up is</w:t>
            </w:r>
          </w:p>
        </w:tc>
      </w:tr>
      <w:tr>
        <w:trPr>
          <w:trHeight w:val="222"/>
        </w:trPr>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rPr>
              <w:t>ongoing.</w:t>
            </w:r>
          </w:p>
        </w:tc>
      </w:tr>
      <w:tr>
        <w:trPr>
          <w:trHeight w:val="453"/>
        </w:trPr>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3"/>
              </w:rPr>
              <w:t>Among patients with 1PL, median PFS was 27.0 months (HR = 0.22; 95% CI: 0.15-0.32; p &lt;0.0001) for D-Vd compared to</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7"/>
              </w:rPr>
              <w:t>7.9 months with Vd. PFS benefit for D-Vd versus Vd was maintained for patients whose prior line of therapy included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rPr>
              <w:t>bortezomib (median: 20.4 vs 8.0 months; HR = 0.22; 95% CI: 0.13-0.37; p&lt;0.0001) or lenalidomide</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4"/>
              </w:rPr>
              <w:t>(median: 21.2 vs 7.0 months; HR = 0.30; 95% CI: 0.11-0.82; p = 0.0140). Among patients with 1PL, ORR (92% vs 74%),</w:t>
            </w:r>
          </w:p>
        </w:tc>
      </w:tr>
      <w:tr>
        <w:trPr>
          <w:trHeight w:val="217"/>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4"/>
              </w:rPr>
              <w:t>VGPR or better (77% vs 42%), and CR+ (43% vs 15%) rates were significantly higher (all p&lt;0.001) with D-Vd versus Vd.</w:t>
            </w:r>
          </w:p>
        </w:tc>
      </w:tr>
      <w:tr>
        <w:trPr>
          <w:trHeight w:val="255"/>
        </w:trPr>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20" w:type="dxa"/>
            <w:vAlign w:val="bottom"/>
          </w:tcPr>
          <w:p>
            <w:pPr>
              <w:ind w:left="140"/>
              <w:spacing w:after="0" w:line="255" w:lineRule="exact"/>
              <w:rPr>
                <w:sz w:val="20"/>
                <w:szCs w:val="20"/>
                <w:color w:val="auto"/>
              </w:rPr>
            </w:pPr>
            <w:r>
              <w:rPr>
                <w:rFonts w:ascii="Arial" w:cs="Arial" w:eastAsia="Arial" w:hAnsi="Arial"/>
                <w:sz w:val="18"/>
                <w:szCs w:val="18"/>
                <w:color w:val="auto"/>
                <w:w w:val="94"/>
              </w:rPr>
              <w:t>MRD-negative rates at 10</w:t>
            </w:r>
            <w:r>
              <w:rPr>
                <w:rFonts w:ascii="Arial" w:cs="Arial" w:eastAsia="Arial" w:hAnsi="Arial"/>
                <w:sz w:val="29"/>
                <w:szCs w:val="29"/>
                <w:color w:val="auto"/>
                <w:w w:val="94"/>
                <w:vertAlign w:val="superscript"/>
              </w:rPr>
              <w:t>-5</w:t>
            </w:r>
            <w:r>
              <w:rPr>
                <w:rFonts w:ascii="Arial" w:cs="Arial" w:eastAsia="Arial" w:hAnsi="Arial"/>
                <w:sz w:val="18"/>
                <w:szCs w:val="18"/>
                <w:color w:val="auto"/>
                <w:w w:val="94"/>
              </w:rPr>
              <w:t xml:space="preserve"> sensitivity among the 1PL population were also significantly higher for D-Vd compared to Vd</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3"/>
              </w:rPr>
              <w:t>(20% vs 3%; p&lt;0.0001), and sustained MRD negativity was observed in 8 (7%) vs 1 (0.9%) patients at ³6 month cutoff and</w:t>
            </w:r>
          </w:p>
        </w:tc>
      </w:tr>
      <w:tr>
        <w:trPr>
          <w:trHeight w:val="222"/>
        </w:trPr>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3"/>
              </w:rPr>
              <w:t>7 (6%) vs 0 patients at ³12 months cutoff. For 1PL patients, 35 deaths were observed with D-Vd versus 51 deaths with Vd.</w:t>
            </w:r>
          </w:p>
        </w:tc>
      </w:tr>
      <w:tr>
        <w:trPr>
          <w:trHeight w:val="453"/>
        </w:trPr>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Safety Data</w:t>
            </w:r>
          </w:p>
        </w:tc>
        <w:tc>
          <w:tcPr>
            <w:tcW w:w="9220" w:type="dxa"/>
            <w:vAlign w:val="bottom"/>
          </w:tcPr>
          <w:p>
            <w:pPr>
              <w:ind w:left="140"/>
              <w:spacing w:after="0"/>
              <w:rPr>
                <w:sz w:val="20"/>
                <w:szCs w:val="20"/>
                <w:color w:val="auto"/>
              </w:rPr>
            </w:pPr>
            <w:r>
              <w:rPr>
                <w:rFonts w:ascii="Arial" w:cs="Arial" w:eastAsia="Arial" w:hAnsi="Arial"/>
                <w:sz w:val="18"/>
                <w:szCs w:val="18"/>
                <w:color w:val="auto"/>
                <w:w w:val="95"/>
              </w:rPr>
              <w:t>The most common (in ³5% of patients) Grade 3/4 TEAEs were thrombocytopenia (46% vs 33%), anemia (16% vs 16%),</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(Clinical cutoff October 2,</w:t>
            </w:r>
          </w:p>
        </w:tc>
        <w:tc>
          <w:tcPr>
            <w:tcW w:w="9220" w:type="dxa"/>
            <w:vAlign w:val="bottom"/>
          </w:tcPr>
          <w:p>
            <w:pPr>
              <w:ind w:left="140"/>
              <w:spacing w:after="0"/>
              <w:rPr>
                <w:sz w:val="20"/>
                <w:szCs w:val="20"/>
                <w:color w:val="auto"/>
              </w:rPr>
            </w:pPr>
            <w:r>
              <w:rPr>
                <w:rFonts w:ascii="Arial" w:cs="Arial" w:eastAsia="Arial" w:hAnsi="Arial"/>
                <w:sz w:val="18"/>
                <w:szCs w:val="18"/>
                <w:color w:val="auto"/>
                <w:w w:val="92"/>
              </w:rPr>
              <w:t>neutropenia (14% vs 5%), pneumonia (10% in both), lymphopenia (10% vs 3%), hypertension (7% vs 0.8%) and peripheral</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2"/>
              </w:rPr>
              <w:t>sensory neuropathy (5% vs 7%). Discontinuation rates due to TEAEs were similar for D-Vd vs Vd (10% vs 9%). With longer</w:t>
            </w:r>
          </w:p>
        </w:tc>
      </w:tr>
      <w:tr>
        <w:trPr>
          <w:trHeight w:val="216"/>
        </w:trPr>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w w:val="91"/>
              </w:rPr>
              <w:t>follow-up, secondary primary malignancies were reported in 14 (6%) patients who received D-Vd versus 5 (2%) patients who</w:t>
            </w:r>
          </w:p>
        </w:tc>
      </w:tr>
      <w:tr>
        <w:trPr>
          <w:trHeight w:val="222"/>
        </w:trPr>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20" w:type="dxa"/>
            <w:vAlign w:val="bottom"/>
          </w:tcPr>
          <w:p>
            <w:pPr>
              <w:ind w:left="140"/>
              <w:spacing w:after="0"/>
              <w:rPr>
                <w:sz w:val="20"/>
                <w:szCs w:val="20"/>
                <w:color w:val="auto"/>
              </w:rPr>
            </w:pPr>
            <w:r>
              <w:rPr>
                <w:rFonts w:ascii="Arial" w:cs="Arial" w:eastAsia="Arial" w:hAnsi="Arial"/>
                <w:sz w:val="18"/>
                <w:szCs w:val="18"/>
                <w:color w:val="auto"/>
              </w:rPr>
              <w:t>received Vd. No new safety signals were reported with D-Vd with longer follow-up.</w:t>
            </w:r>
          </w:p>
        </w:tc>
      </w:tr>
      <w:tr>
        <w:trPr>
          <w:trHeight w:val="432"/>
        </w:trPr>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20" w:type="dxa"/>
            <w:vAlign w:val="bottom"/>
          </w:tcPr>
          <w:p>
            <w:pPr>
              <w:ind w:left="3480"/>
              <w:spacing w:after="0"/>
              <w:rPr>
                <w:sz w:val="20"/>
                <w:szCs w:val="20"/>
                <w:color w:val="auto"/>
              </w:rPr>
            </w:pPr>
            <w:r>
              <w:rPr>
                <w:rFonts w:ascii="Arial" w:cs="Arial" w:eastAsia="Arial" w:hAnsi="Arial"/>
                <w:sz w:val="18"/>
                <w:szCs w:val="18"/>
                <w:color w:val="auto"/>
              </w:rPr>
              <w:t>111</w:t>
            </w:r>
          </w:p>
        </w:tc>
      </w:tr>
      <w:tr>
        <w:trPr>
          <w:trHeight w:val="228"/>
        </w:trPr>
        <w:tc>
          <w:tcPr>
            <w:tcW w:w="1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ALCYONE (MMY3007)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489065" cy="2828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8906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3"/>
          <w:szCs w:val="13"/>
          <w:color w:val="auto"/>
        </w:rPr>
        <w:t>Kaplan-Meier estimate</w:t>
      </w:r>
    </w:p>
    <w:p>
      <w:pPr>
        <w:spacing w:after="0"/>
        <w:rPr>
          <w:sz w:val="20"/>
          <w:szCs w:val="20"/>
          <w:color w:val="auto"/>
        </w:rPr>
      </w:pPr>
      <w:r>
        <w:rPr>
          <w:rFonts w:ascii="Arial" w:cs="Arial" w:eastAsia="Arial" w:hAnsi="Arial"/>
          <w:sz w:val="13"/>
          <w:szCs w:val="13"/>
          <w:color w:val="auto"/>
        </w:rPr>
        <w:t>Source: Janssen Presentation at ASH, December 2018</w:t>
      </w:r>
    </w:p>
    <w:p>
      <w:pPr>
        <w:spacing w:after="0" w:line="205"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706-patient randomized, open-label, multicenter, Phase III trial of daratumumab for the treatment of newly diagnosed patients</w:t>
      </w:r>
    </w:p>
    <w:p>
      <w:pPr>
        <w:spacing w:after="0" w:line="15" w:lineRule="exact"/>
        <w:rPr>
          <w:sz w:val="20"/>
          <w:szCs w:val="20"/>
          <w:color w:val="auto"/>
        </w:rPr>
      </w:pPr>
    </w:p>
    <w:p>
      <w:pPr>
        <w:ind w:left="2160"/>
        <w:spacing w:after="0" w:line="302" w:lineRule="auto"/>
        <w:rPr>
          <w:sz w:val="20"/>
          <w:szCs w:val="20"/>
          <w:color w:val="auto"/>
        </w:rPr>
      </w:pPr>
      <w:r>
        <w:rPr>
          <w:rFonts w:ascii="Arial" w:cs="Arial" w:eastAsia="Arial" w:hAnsi="Arial"/>
          <w:sz w:val="16"/>
          <w:szCs w:val="16"/>
          <w:color w:val="auto"/>
        </w:rPr>
        <w:t>with MM who were ineligible for ASCT. Patients were randomized to receive nine cycles of either bortezomib, melphalan and prednisone, or VMP, combined with daratumumab, or D-VMP, or VMP alone. At the end of these nine cycles, patients in the D-VMP arm were given daratumumab as a monotherapy until disease progression, or PD.</w:t>
      </w:r>
    </w:p>
    <w:p>
      <w:pPr>
        <w:sectPr>
          <w:pgSz w:w="11900" w:h="16838" w:orient="portrait"/>
          <w:cols w:equalWidth="0" w:num="1">
            <w:col w:w="11180"/>
          </w:cols>
          <w:pgMar w:left="320" w:top="131" w:right="399" w:bottom="1440" w:gutter="0" w:footer="0" w:header="0"/>
        </w:sectPr>
      </w:pPr>
    </w:p>
    <w:p>
      <w:pPr>
        <w:spacing w:after="0" w:line="163" w:lineRule="exact"/>
        <w:rPr>
          <w:sz w:val="20"/>
          <w:szCs w:val="20"/>
          <w:color w:val="auto"/>
        </w:rPr>
      </w:pPr>
    </w:p>
    <w:p>
      <w:pPr>
        <w:ind w:left="180"/>
        <w:spacing w:after="0" w:line="323" w:lineRule="auto"/>
        <w:rPr>
          <w:sz w:val="20"/>
          <w:szCs w:val="20"/>
          <w:color w:val="auto"/>
        </w:rPr>
      </w:pPr>
      <w:r>
        <w:rPr>
          <w:rFonts w:ascii="Arial" w:cs="Arial" w:eastAsia="Arial" w:hAnsi="Arial"/>
          <w:sz w:val="15"/>
          <w:szCs w:val="15"/>
          <w:i w:val="1"/>
          <w:iCs w:val="1"/>
          <w:color w:val="auto"/>
        </w:rPr>
        <w:t xml:space="preserve">Interim Results </w:t>
      </w:r>
      <w:r>
        <w:rPr>
          <w:rFonts w:ascii="Arial" w:cs="Arial" w:eastAsia="Arial" w:hAnsi="Arial"/>
          <w:sz w:val="15"/>
          <w:szCs w:val="15"/>
          <w:color w:val="auto"/>
        </w:rPr>
        <w:t>(Published in NEJM, December 2017; data cutoff June 12, 2017)</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12, 2017, the study met the primary endpoint of improving PFS at a pre-planned interim analysis (HR = 0.50; 95% CI: 0.38-0.65; p&lt;0.0001) in patients with frontline MM ineligible for ASCT when daratumumab is combined with VMP versus VMP alone.</w:t>
      </w: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146050</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1680" w:space="480"/>
            <w:col w:w="9020"/>
          </w:cols>
          <w:pgMar w:left="320" w:top="131" w:right="39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0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444"/>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w w:val="93"/>
              </w:rPr>
              <w:t xml:space="preserve">Efficacy Data </w:t>
            </w:r>
            <w:r>
              <w:rPr>
                <w:rFonts w:ascii="Arial" w:cs="Arial" w:eastAsia="Arial" w:hAnsi="Arial"/>
                <w:sz w:val="18"/>
                <w:szCs w:val="18"/>
                <w:color w:val="auto"/>
                <w:w w:val="93"/>
              </w:rPr>
              <w:t>(Presented</w:t>
            </w: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After a median follow-up of 27.8 months, study results showed the addition of daratumumab to VMP reduced the risk of disease</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at ASH, December</w:t>
            </w:r>
          </w:p>
        </w:tc>
        <w:tc>
          <w:tcPr>
            <w:tcW w:w="9180" w:type="dxa"/>
            <w:vAlign w:val="bottom"/>
          </w:tcPr>
          <w:p>
            <w:pPr>
              <w:ind w:left="100"/>
              <w:spacing w:after="0"/>
              <w:rPr>
                <w:sz w:val="20"/>
                <w:szCs w:val="20"/>
                <w:color w:val="auto"/>
              </w:rPr>
            </w:pPr>
            <w:r>
              <w:rPr>
                <w:rFonts w:ascii="Arial" w:cs="Arial" w:eastAsia="Arial" w:hAnsi="Arial"/>
                <w:sz w:val="18"/>
                <w:szCs w:val="18"/>
                <w:color w:val="auto"/>
                <w:w w:val="93"/>
              </w:rPr>
              <w:t>progression or death by 57% compared to VMP alone (HR = 0.43; 95% CI: 0.35-0.54; p&lt;0.0001). D-VMP resulted in a 24-</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2018; data cutoff</w:t>
            </w: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month PFS rate of 63% compared to 36% with VMP alone. The median PFS for D-VMP had not yet been reached at the time of</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June 12, 2018)</w:t>
            </w:r>
          </w:p>
        </w:tc>
        <w:tc>
          <w:tcPr>
            <w:tcW w:w="9180" w:type="dxa"/>
            <w:vAlign w:val="bottom"/>
          </w:tcPr>
          <w:p>
            <w:pPr>
              <w:ind w:left="100"/>
              <w:spacing w:after="0"/>
              <w:rPr>
                <w:sz w:val="20"/>
                <w:szCs w:val="20"/>
                <w:color w:val="auto"/>
              </w:rPr>
            </w:pPr>
            <w:r>
              <w:rPr>
                <w:rFonts w:ascii="Arial" w:cs="Arial" w:eastAsia="Arial" w:hAnsi="Arial"/>
                <w:sz w:val="18"/>
                <w:szCs w:val="18"/>
                <w:color w:val="auto"/>
                <w:w w:val="92"/>
              </w:rPr>
              <w:t>the report, whereas the control arm of VMP alone had a median PFS of 19.1 months. In addition, a significantly higher ORR</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5"/>
              </w:rPr>
              <w:t>(91% vs. 74%, respectively) was observed with D-VMP compared to VMP alone. D-VMP resulted in deeper responses,</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5"/>
              </w:rPr>
              <w:t>significantly improving the rate of VGPR or better (73% vs. 50%) and more than doubling the rate of sCR (22% vs. 8%)</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0"/>
              </w:rPr>
              <w:t>compared to VMP alone. Combined CR and sCR, or CR+, rates were 45% with D-VMP compared to 25% with VMP alone. D-</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7"/>
              </w:rPr>
              <w:t>VMP showed a deepening MRD-negative rate with longer follow-up for D-VMP compared to VMP alone (27% vs. 7%,</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respectively). MRD negativity was assessed at time of confirmation of CR or sCR and, if confirmed, at 12, 18, 24 and 30 months</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after the first dose.</w:t>
            </w:r>
          </w:p>
        </w:tc>
      </w:tr>
      <w:tr>
        <w:trPr>
          <w:trHeight w:val="426"/>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180" w:type="dxa"/>
            <w:vAlign w:val="bottom"/>
          </w:tcPr>
          <w:p>
            <w:pPr>
              <w:ind w:left="100"/>
              <w:spacing w:after="0"/>
              <w:rPr>
                <w:sz w:val="20"/>
                <w:szCs w:val="20"/>
                <w:color w:val="auto"/>
              </w:rPr>
            </w:pPr>
            <w:r>
              <w:rPr>
                <w:rFonts w:ascii="Arial" w:cs="Arial" w:eastAsia="Arial" w:hAnsi="Arial"/>
                <w:sz w:val="18"/>
                <w:szCs w:val="18"/>
                <w:color w:val="auto"/>
                <w:w w:val="92"/>
              </w:rPr>
              <w:t>The most common Grade 3/4 TEAEs during Cycle 10 and onward for D-VMP included anemia (4%), neutropenia (2%) and</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(Data cutoff June 12,</w:t>
            </w:r>
          </w:p>
        </w:tc>
        <w:tc>
          <w:tcPr>
            <w:tcW w:w="9180" w:type="dxa"/>
            <w:vAlign w:val="bottom"/>
          </w:tcPr>
          <w:p>
            <w:pPr>
              <w:ind w:left="100"/>
              <w:spacing w:after="0"/>
              <w:rPr>
                <w:sz w:val="20"/>
                <w:szCs w:val="20"/>
                <w:color w:val="auto"/>
              </w:rPr>
            </w:pPr>
            <w:r>
              <w:rPr>
                <w:rFonts w:ascii="Arial" w:cs="Arial" w:eastAsia="Arial" w:hAnsi="Arial"/>
                <w:sz w:val="18"/>
                <w:szCs w:val="18"/>
                <w:color w:val="auto"/>
              </w:rPr>
              <w:t>bronchitis (1%).</w:t>
            </w:r>
          </w:p>
        </w:tc>
      </w:tr>
      <w:tr>
        <w:trPr>
          <w:trHeight w:val="222"/>
        </w:trPr>
        <w:tc>
          <w:tcPr>
            <w:tcW w:w="1260" w:type="dxa"/>
            <w:vAlign w:val="bottom"/>
          </w:tcPr>
          <w:p>
            <w:pPr>
              <w:ind w:left="18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19"/>
                <w:szCs w:val="19"/>
                <w:color w:val="auto"/>
              </w:rPr>
            </w:pPr>
          </w:p>
        </w:tc>
        <w:tc>
          <w:tcPr>
            <w:tcW w:w="9180" w:type="dxa"/>
            <w:vAlign w:val="bottom"/>
          </w:tcPr>
          <w:p>
            <w:pPr>
              <w:spacing w:after="0"/>
              <w:rPr>
                <w:sz w:val="19"/>
                <w:szCs w:val="19"/>
                <w:color w:val="auto"/>
              </w:rPr>
            </w:pPr>
          </w:p>
        </w:tc>
      </w:tr>
      <w:tr>
        <w:trPr>
          <w:trHeight w:val="864"/>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EQUULEUS (MMY1001)</w:t>
            </w:r>
          </w:p>
        </w:tc>
        <w:tc>
          <w:tcPr>
            <w:tcW w:w="9180" w:type="dxa"/>
            <w:vAlign w:val="bottom"/>
          </w:tcPr>
          <w:p>
            <w:pPr>
              <w:spacing w:after="0"/>
              <w:rPr>
                <w:sz w:val="24"/>
                <w:szCs w:val="24"/>
                <w:color w:val="auto"/>
              </w:rPr>
            </w:pPr>
          </w:p>
        </w:tc>
      </w:tr>
      <w:tr>
        <w:trPr>
          <w:trHeight w:val="426"/>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80" w:type="dxa"/>
            <w:vAlign w:val="bottom"/>
          </w:tcPr>
          <w:p>
            <w:pPr>
              <w:ind w:left="100"/>
              <w:spacing w:after="0"/>
              <w:rPr>
                <w:sz w:val="20"/>
                <w:szCs w:val="20"/>
                <w:color w:val="auto"/>
              </w:rPr>
            </w:pPr>
            <w:r>
              <w:rPr>
                <w:rFonts w:ascii="Arial" w:cs="Arial" w:eastAsia="Arial" w:hAnsi="Arial"/>
                <w:sz w:val="18"/>
                <w:szCs w:val="18"/>
                <w:color w:val="auto"/>
                <w:w w:val="92"/>
              </w:rPr>
              <w:t>103-patient open-label, nonrandomized, multicenter, multiarm, phase 1b study evaluating daratumumab in combination with</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7"/>
              </w:rPr>
              <w:t>pomalidomide and dexamethasone, or Pom-d, in patients with MM who had received prior treatment with a PI and an</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immunomodulatory agent.</w:t>
            </w:r>
          </w:p>
        </w:tc>
      </w:tr>
      <w:tr>
        <w:trPr>
          <w:trHeight w:val="426"/>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Efficacy Data</w:t>
            </w:r>
          </w:p>
        </w:tc>
        <w:tc>
          <w:tcPr>
            <w:tcW w:w="9180" w:type="dxa"/>
            <w:vAlign w:val="bottom"/>
          </w:tcPr>
          <w:p>
            <w:pPr>
              <w:ind w:left="100"/>
              <w:spacing w:after="0"/>
              <w:rPr>
                <w:sz w:val="20"/>
                <w:szCs w:val="20"/>
                <w:color w:val="auto"/>
              </w:rPr>
            </w:pPr>
            <w:r>
              <w:rPr>
                <w:rFonts w:ascii="Arial" w:cs="Arial" w:eastAsia="Arial" w:hAnsi="Arial"/>
                <w:sz w:val="18"/>
                <w:szCs w:val="18"/>
                <w:color w:val="auto"/>
                <w:w w:val="90"/>
              </w:rPr>
              <w:t>The ORR in the study was 60% (95% CI: 50.1% - 69.7%), with VGPR achieved in 25% of patients. CR was achieved in 9% of</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(Published in the Blood</w:t>
            </w: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patients and sCR was achieved in 8% of patients. The median time to response was 1 month (range: 0.9-2.9). The median DoR</w:t>
            </w:r>
          </w:p>
        </w:tc>
      </w:tr>
      <w:tr>
        <w:trPr>
          <w:trHeight w:val="222"/>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Journal, August 2017)</w:t>
            </w:r>
          </w:p>
        </w:tc>
        <w:tc>
          <w:tcPr>
            <w:tcW w:w="9180" w:type="dxa"/>
            <w:vAlign w:val="bottom"/>
          </w:tcPr>
          <w:p>
            <w:pPr>
              <w:ind w:left="100"/>
              <w:spacing w:after="0"/>
              <w:rPr>
                <w:sz w:val="20"/>
                <w:szCs w:val="20"/>
                <w:color w:val="auto"/>
              </w:rPr>
            </w:pPr>
            <w:r>
              <w:rPr>
                <w:rFonts w:ascii="Arial" w:cs="Arial" w:eastAsia="Arial" w:hAnsi="Arial"/>
                <w:sz w:val="18"/>
                <w:szCs w:val="18"/>
                <w:color w:val="auto"/>
              </w:rPr>
              <w:t>was not estimable, or NE (95% CI: 13.6-NE months).</w:t>
            </w:r>
          </w:p>
        </w:tc>
      </w:tr>
      <w:tr>
        <w:trPr>
          <w:trHeight w:val="426"/>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1"/>
              </w:rPr>
              <w:t>The median age of patients in the study was 64 years with 8% of patients older than 75. Patients in the study had received a</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7"/>
              </w:rPr>
              <w:t>median of four prior lines of therapy, and 74% of patients had received prior ASCT. 89% of patients were refractory to</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lenalidomide and 71% were refractory to bortezomib; 71% of patients were double refractory to a PI and an immunomodulatory</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agent.</w:t>
            </w:r>
          </w:p>
        </w:tc>
      </w:tr>
      <w:tr>
        <w:trPr>
          <w:trHeight w:val="426"/>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180" w:type="dxa"/>
            <w:vAlign w:val="bottom"/>
          </w:tcPr>
          <w:p>
            <w:pPr>
              <w:ind w:left="100"/>
              <w:spacing w:after="0"/>
              <w:rPr>
                <w:sz w:val="20"/>
                <w:szCs w:val="20"/>
                <w:color w:val="auto"/>
              </w:rPr>
            </w:pPr>
            <w:r>
              <w:rPr>
                <w:rFonts w:ascii="Arial" w:cs="Arial" w:eastAsia="Arial" w:hAnsi="Arial"/>
                <w:sz w:val="18"/>
                <w:szCs w:val="18"/>
                <w:color w:val="auto"/>
                <w:w w:val="91"/>
              </w:rPr>
              <w:t>The most common TEAEs (in &gt;25% of patients) in the study were: neutropenia (80%), anemia (54%), fatigue (52%), infusion</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88"/>
              </w:rPr>
              <w:t>reactions (50%), diarrhea (43%), thrombocytopenia (42%), cough (38%), leukopenia (37%), constipation (34%), dyspnea (32%),</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89"/>
              </w:rPr>
              <w:t>nausea (31%), pyrexia (30%), upper respiratory tract infection (28%), and muscle spasms (27%). The most common Grade 3/4</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0"/>
              </w:rPr>
              <w:t>TEAEs (in ³10% of patients) in the study were: neutropenia (77%), anemia (28%), leukopenia (24%), thrombocytopenia (19%),</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1"/>
              </w:rPr>
              <w:t>lymphopenia (14%), fatigue (12%) and pneumonia (10%). The overall incidence of serious TEAEs was 53%. Serious TEAEs</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w w:val="91"/>
              </w:rPr>
              <w:t>(Grade 3/4) reported in 2 or more patients included pneumonia (9%), sepsis (5%), neutropenia (5%), falls (4%), anemia (3%)</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and dyspnea (3%).</w:t>
            </w:r>
          </w:p>
        </w:tc>
      </w:tr>
      <w:tr>
        <w:trPr>
          <w:trHeight w:val="432"/>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180" w:type="dxa"/>
            <w:vAlign w:val="bottom"/>
          </w:tcPr>
          <w:p>
            <w:pPr>
              <w:ind w:left="3440"/>
              <w:spacing w:after="0"/>
              <w:rPr>
                <w:sz w:val="20"/>
                <w:szCs w:val="20"/>
                <w:color w:val="auto"/>
              </w:rPr>
            </w:pPr>
            <w:r>
              <w:rPr>
                <w:rFonts w:ascii="Arial" w:cs="Arial" w:eastAsia="Arial" w:hAnsi="Arial"/>
                <w:sz w:val="18"/>
                <w:szCs w:val="18"/>
                <w:color w:val="auto"/>
              </w:rPr>
              <w:t>113</w:t>
            </w:r>
          </w:p>
        </w:tc>
      </w:tr>
      <w:tr>
        <w:trPr>
          <w:trHeight w:val="228"/>
        </w:trPr>
        <w:tc>
          <w:tcPr>
            <w:tcW w:w="1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Ongoing Trials for Additional MM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489065" cy="3000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8906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V = Velcade® , MP = melphalan-prednisone, T = thalidomide d= dexamethasone, R = Revlimid®, K = Kyprolis®, Pom = Pomalyst® XFully recruited</w:t>
      </w:r>
    </w:p>
    <w:p>
      <w:pPr>
        <w:spacing w:after="0" w:line="202" w:lineRule="exact"/>
        <w:rPr>
          <w:sz w:val="20"/>
          <w:szCs w:val="20"/>
          <w:color w:val="auto"/>
        </w:rPr>
      </w:pPr>
    </w:p>
    <w:p>
      <w:pPr>
        <w:ind w:left="540" w:right="20" w:hanging="532"/>
        <w:spacing w:after="0" w:line="274" w:lineRule="auto"/>
        <w:tabs>
          <w:tab w:leader="none" w:pos="5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 addition to the Phase III COLUMBA study comparing subQ with IV administration of daratumumab, Janssen is conducting the Phase II PLEIADES study to evaluate the clinical benefit of subQ daratumumab administered in combination with standard MM treatment regimens, VRd, VMP, Rd and Kd.</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Janssen is conducting a comprehensive clinical development program for daratumumab, including multiple Phase III studies for the treatment of SMM, frontline MM and R/R MM. Janssen is also conducting Phase I and Phase II studies for use of daratumumab for the treatment of MM in other settings, including as a monotherapy for SMM and in combination with other therapies for the treatment of frontline MM and R/R MM. In addition, Janssen is currently testing a subQ formulation of daratumumab compared with IV administration in the PAVO and COLUMBA studies for the treatment of R/R MM and in combination with a number of standard MM treatments in the PLEIADES study. Janssen is using a subQ formulation of daratumumab in the AQUILA study for the treatment of high risk SMM, the PERSEUS study for the treatment of transplant-eligible frontline MM, the CEPHEUS study for the treatment of transplant-ineligible frontline MM and the APOLLO study for the treatment of R/R MM. In January 2019, Janssen initiated an sBLA submission to the FDA for daratumumab as a frontline treatment for transplant-ineligible MM patients in combination with lenalidomide and dexamethasone, or Rd, based on the pivotal Phase III MAIA study, and we expect Janssen to submit an MAA to the EMA based on this study in 2019. The FDA plans to review the sBLA under its RTOR Pilot Program. In addition, we expect Janssen to submit regulatory applications for daratumumab as a frontline treatment for transplant-eligible MM patients based on the CASSIOPEIA study in 2019 and to release initial data for the COLUMBA and GRIFFIN studies.</w:t>
      </w:r>
    </w:p>
    <w:p>
      <w:pPr>
        <w:spacing w:after="0" w:line="18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sections describe the key ongoing trials of daratumumab for the treatment of various MM indications. The first section highlights the key recent studies in frontline MM, MAIA and CASSIOPEIA. The subsequent sections describe the key ongoing or anticipated clinical studies of daratumumab for the treatment of high risk SMM, for frontline treatment of transplant-eligible and transplant-ineligible patients with MM and for ongoing treatment of patients with R/R MM. Many additional studies of daratumumab are also being conducted by Janssen and other parties, including investigator-initiated studies.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Key Recent Studies. </w:t>
      </w:r>
      <w:r>
        <w:rPr>
          <w:rFonts w:ascii="Arial" w:cs="Arial" w:eastAsia="Arial" w:hAnsi="Arial"/>
          <w:sz w:val="16"/>
          <w:szCs w:val="16"/>
          <w:color w:val="auto"/>
        </w:rPr>
        <w:t>In October 2018, we reported that the pivotal Phase III MAIA study of daratumumab in combination with lenalidomide and</w:t>
      </w:r>
      <w:r>
        <w:rPr>
          <w:rFonts w:ascii="Arial" w:cs="Arial" w:eastAsia="Arial" w:hAnsi="Arial"/>
          <w:sz w:val="16"/>
          <w:szCs w:val="16"/>
          <w:i w:val="1"/>
          <w:iCs w:val="1"/>
          <w:color w:val="auto"/>
        </w:rPr>
        <w:t xml:space="preserve"> </w:t>
      </w:r>
      <w:r>
        <w:rPr>
          <w:rFonts w:ascii="Arial" w:cs="Arial" w:eastAsia="Arial" w:hAnsi="Arial"/>
          <w:sz w:val="16"/>
          <w:szCs w:val="16"/>
          <w:color w:val="auto"/>
        </w:rPr>
        <w:t>dexamethasone, or Rd, for frontline treatment of transplant-ineligible MM patients had met its primary endpoint at a pre-specified interim analysis. In January 2019, Janssen initiated an sBLA submission to the FDA based on this study, which the FDA plans to review under its RTOR Pilot Program, and we expect Janssen to submit an MAA to the EMA based on the MAIA study in 2019. In October 2018, we also reported topline results that the first part of Janssen's pivotal Phase III CASSIOPEIA study of daratumumab in combination with bortezomib, thalidomide and dexamethasone, or VTd, for frontline treatment of transplant-eligible MM patients met its primary endpoint. We expect Janssen to submit regulatory applications based on the CASSIOPEIA study in 2019. Each of these studies is described in more detail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MAIA (MMY3008)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489065" cy="26149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8906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740" w:type="dxa"/>
            <w:vAlign w:val="bottom"/>
          </w:tcPr>
          <w:p>
            <w:pPr>
              <w:jc w:val="center"/>
              <w:ind w:right="362"/>
              <w:spacing w:after="0"/>
              <w:rPr>
                <w:sz w:val="20"/>
                <w:szCs w:val="20"/>
                <w:color w:val="auto"/>
              </w:rPr>
            </w:pPr>
            <w:r>
              <w:rPr>
                <w:rFonts w:ascii="Arial" w:cs="Arial" w:eastAsia="Arial" w:hAnsi="Arial"/>
                <w:sz w:val="22"/>
                <w:szCs w:val="22"/>
                <w:color w:val="auto"/>
                <w:w w:val="94"/>
                <w:vertAlign w:val="superscript"/>
              </w:rPr>
              <w:t>a</w:t>
            </w:r>
            <w:r>
              <w:rPr>
                <w:rFonts w:ascii="Arial" w:cs="Arial" w:eastAsia="Arial" w:hAnsi="Arial"/>
                <w:sz w:val="13"/>
                <w:szCs w:val="13"/>
                <w:color w:val="auto"/>
                <w:w w:val="94"/>
              </w:rPr>
              <w:t>Kaplan-Meier estimate</w:t>
            </w:r>
          </w:p>
        </w:tc>
        <w:tc>
          <w:tcPr>
            <w:tcW w:w="9500" w:type="dxa"/>
            <w:vAlign w:val="bottom"/>
          </w:tcPr>
          <w:p>
            <w:pPr>
              <w:spacing w:after="0"/>
              <w:rPr>
                <w:sz w:val="24"/>
                <w:szCs w:val="24"/>
                <w:color w:val="auto"/>
              </w:rPr>
            </w:pPr>
          </w:p>
        </w:tc>
      </w:tr>
      <w:tr>
        <w:trPr>
          <w:trHeight w:val="322"/>
        </w:trPr>
        <w:tc>
          <w:tcPr>
            <w:tcW w:w="1740" w:type="dxa"/>
            <w:vAlign w:val="bottom"/>
          </w:tcPr>
          <w:p>
            <w:pPr>
              <w:jc w:val="center"/>
              <w:ind w:right="362"/>
              <w:spacing w:after="0"/>
              <w:rPr>
                <w:sz w:val="20"/>
                <w:szCs w:val="20"/>
                <w:color w:val="auto"/>
              </w:rPr>
            </w:pPr>
            <w:r>
              <w:rPr>
                <w:rFonts w:ascii="Arial" w:cs="Arial" w:eastAsia="Arial" w:hAnsi="Arial"/>
                <w:sz w:val="18"/>
                <w:szCs w:val="18"/>
                <w:i w:val="1"/>
                <w:iCs w:val="1"/>
                <w:color w:val="auto"/>
                <w:w w:val="87"/>
              </w:rPr>
              <w:t>Study Design</w:t>
            </w:r>
          </w:p>
        </w:tc>
        <w:tc>
          <w:tcPr>
            <w:tcW w:w="9500" w:type="dxa"/>
            <w:vAlign w:val="bottom"/>
          </w:tcPr>
          <w:p>
            <w:pPr>
              <w:ind w:left="420"/>
              <w:spacing w:after="0"/>
              <w:rPr>
                <w:sz w:val="20"/>
                <w:szCs w:val="20"/>
                <w:color w:val="auto"/>
              </w:rPr>
            </w:pPr>
            <w:r>
              <w:rPr>
                <w:rFonts w:ascii="Arial" w:cs="Arial" w:eastAsia="Arial" w:hAnsi="Arial"/>
                <w:sz w:val="18"/>
                <w:szCs w:val="18"/>
                <w:color w:val="auto"/>
                <w:w w:val="97"/>
              </w:rPr>
              <w:t>737-patient, randomized, open-label, multicenter Phase III trial of daratumumab in combination with lenalidomide and</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0"/>
              </w:rPr>
              <w:t>dexamethasone, or D-Rd, or lenalidomide and dexamethasone, or Rd, alone in patients newly diagnosed with MM who are not</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2"/>
              </w:rPr>
              <w:t>candidates for high dose chemotherapy and ASCT. Patients were randomized to receive either D-Rd or Rd alone. In the D-</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89"/>
              </w:rPr>
              <w:t>Rd treatment arm, patients are receiving 16 milligrams per kilogram (mg/kg) weekly for the first 8 weeks (Cycles 1 and 2), every</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7"/>
              </w:rPr>
              <w:t>other week for 16 weeks (Cycles 3 to 6) and then every 4 weeks (Cycle 7 and beyond) until progression of disease or</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8"/>
              </w:rPr>
              <w:t>unacceptable toxicity. Lenalidomide is administered at 25 mg orally on days 1 through 21 of each 28-day cycle, and</w:t>
            </w:r>
          </w:p>
        </w:tc>
      </w:tr>
      <w:tr>
        <w:trPr>
          <w:trHeight w:val="216"/>
        </w:trPr>
        <w:tc>
          <w:tcPr>
            <w:tcW w:w="174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88"/>
              </w:rPr>
              <w:t>dexamethasone is administered at 40 mg once a week for both treatment arms. Participants in both treatment arms will continue</w:t>
            </w:r>
          </w:p>
        </w:tc>
      </w:tr>
      <w:tr>
        <w:trPr>
          <w:trHeight w:val="222"/>
        </w:trPr>
        <w:tc>
          <w:tcPr>
            <w:tcW w:w="174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Rd until disease progression or unacceptable toxicity. The primary endpoint of the study is PFS.</w:t>
            </w:r>
          </w:p>
        </w:tc>
      </w:tr>
      <w:tr>
        <w:trPr>
          <w:trHeight w:val="432"/>
        </w:trPr>
        <w:tc>
          <w:tcPr>
            <w:tcW w:w="1740" w:type="dxa"/>
            <w:vAlign w:val="bottom"/>
          </w:tcPr>
          <w:p>
            <w:pPr>
              <w:spacing w:after="0"/>
              <w:rPr>
                <w:sz w:val="24"/>
                <w:szCs w:val="24"/>
                <w:color w:val="auto"/>
              </w:rPr>
            </w:pPr>
          </w:p>
        </w:tc>
        <w:tc>
          <w:tcPr>
            <w:tcW w:w="9500" w:type="dxa"/>
            <w:vAlign w:val="bottom"/>
          </w:tcPr>
          <w:p>
            <w:pPr>
              <w:ind w:left="3760"/>
              <w:spacing w:after="0"/>
              <w:rPr>
                <w:sz w:val="20"/>
                <w:szCs w:val="20"/>
                <w:color w:val="auto"/>
              </w:rPr>
            </w:pPr>
            <w:r>
              <w:rPr>
                <w:rFonts w:ascii="Arial" w:cs="Arial" w:eastAsia="Arial" w:hAnsi="Arial"/>
                <w:sz w:val="18"/>
                <w:szCs w:val="18"/>
                <w:color w:val="auto"/>
              </w:rPr>
              <w:t>115</w:t>
            </w:r>
          </w:p>
        </w:tc>
      </w:tr>
      <w:tr>
        <w:trPr>
          <w:trHeight w:val="228"/>
        </w:trPr>
        <w:tc>
          <w:tcPr>
            <w:tcW w:w="1740" w:type="dxa"/>
            <w:vAlign w:val="bottom"/>
            <w:tcBorders>
              <w:bottom w:val="single" w:sz="8" w:color="808080"/>
            </w:tcBorders>
          </w:tcPr>
          <w:p>
            <w:pPr>
              <w:spacing w:after="0"/>
              <w:rPr>
                <w:sz w:val="19"/>
                <w:szCs w:val="19"/>
                <w:color w:val="auto"/>
              </w:rPr>
            </w:pPr>
          </w:p>
        </w:tc>
        <w:tc>
          <w:tcPr>
            <w:tcW w:w="9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40" w:type="dxa"/>
            <w:vAlign w:val="bottom"/>
          </w:tcPr>
          <w:p>
            <w:pPr>
              <w:spacing w:after="0"/>
              <w:rPr>
                <w:sz w:val="17"/>
                <w:szCs w:val="17"/>
                <w:color w:val="auto"/>
              </w:rPr>
            </w:pPr>
          </w:p>
        </w:tc>
        <w:tc>
          <w:tcPr>
            <w:tcW w:w="9120" w:type="dxa"/>
            <w:vAlign w:val="bottom"/>
          </w:tcPr>
          <w:p>
            <w:pPr>
              <w:spacing w:after="0"/>
              <w:rPr>
                <w:sz w:val="17"/>
                <w:szCs w:val="17"/>
                <w:color w:val="auto"/>
              </w:rPr>
            </w:pPr>
          </w:p>
        </w:tc>
      </w:tr>
      <w:tr>
        <w:trPr>
          <w:trHeight w:val="444"/>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Initial Results</w:t>
            </w:r>
          </w:p>
        </w:tc>
        <w:tc>
          <w:tcPr>
            <w:tcW w:w="9120" w:type="dxa"/>
            <w:vAlign w:val="bottom"/>
          </w:tcPr>
          <w:p>
            <w:pPr>
              <w:ind w:left="60"/>
              <w:spacing w:after="0"/>
              <w:rPr>
                <w:sz w:val="20"/>
                <w:szCs w:val="20"/>
                <w:color w:val="auto"/>
              </w:rPr>
            </w:pPr>
            <w:r>
              <w:rPr>
                <w:rFonts w:ascii="Arial" w:cs="Arial" w:eastAsia="Arial" w:hAnsi="Arial"/>
                <w:sz w:val="18"/>
                <w:szCs w:val="18"/>
                <w:color w:val="auto"/>
                <w:w w:val="91"/>
              </w:rPr>
              <w:t>In October 2018, the study met the primary endpoint of improving PFS at a pre-planned interim analysis (HR = 0.56; 95% CI:</w:t>
            </w: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(Presented at ASH,</w:t>
            </w:r>
          </w:p>
        </w:tc>
        <w:tc>
          <w:tcPr>
            <w:tcW w:w="9120" w:type="dxa"/>
            <w:vAlign w:val="bottom"/>
          </w:tcPr>
          <w:p>
            <w:pPr>
              <w:ind w:left="60"/>
              <w:spacing w:after="0"/>
              <w:rPr>
                <w:sz w:val="20"/>
                <w:szCs w:val="20"/>
                <w:color w:val="auto"/>
              </w:rPr>
            </w:pPr>
            <w:r>
              <w:rPr>
                <w:rFonts w:ascii="Arial" w:cs="Arial" w:eastAsia="Arial" w:hAnsi="Arial"/>
                <w:sz w:val="18"/>
                <w:szCs w:val="18"/>
                <w:color w:val="auto"/>
                <w:w w:val="94"/>
              </w:rPr>
              <w:t>0.43 - 0.73; p &lt; 0.0001) resulting in a 44% reduction in the risk of progression or death in patients treated with D-Rd. The</w:t>
            </w: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December 2018)</w:t>
            </w:r>
          </w:p>
        </w:tc>
        <w:tc>
          <w:tcPr>
            <w:tcW w:w="9120" w:type="dxa"/>
            <w:vAlign w:val="bottom"/>
          </w:tcPr>
          <w:p>
            <w:pPr>
              <w:ind w:left="60"/>
              <w:spacing w:after="0"/>
              <w:rPr>
                <w:sz w:val="20"/>
                <w:szCs w:val="20"/>
                <w:color w:val="auto"/>
              </w:rPr>
            </w:pPr>
            <w:r>
              <w:rPr>
                <w:rFonts w:ascii="Arial" w:cs="Arial" w:eastAsia="Arial" w:hAnsi="Arial"/>
                <w:sz w:val="18"/>
                <w:szCs w:val="18"/>
                <w:color w:val="auto"/>
                <w:w w:val="91"/>
              </w:rPr>
              <w:t>median PFS for patients treated with D-Rd had not been reached at the cutoff date for the report, compared to an estimated</w:t>
            </w:r>
          </w:p>
        </w:tc>
      </w:tr>
      <w:tr>
        <w:trPr>
          <w:trHeight w:val="217"/>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89"/>
              </w:rPr>
              <w:t>median PFS of 31.9 months for patients who received Rd alone. ORR for D-Rd was 93% compared to 81% with Rd alone. The</w:t>
            </w:r>
          </w:p>
        </w:tc>
      </w:tr>
      <w:tr>
        <w:trPr>
          <w:trHeight w:val="255"/>
        </w:trPr>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120" w:type="dxa"/>
            <w:vAlign w:val="bottom"/>
          </w:tcPr>
          <w:p>
            <w:pPr>
              <w:ind w:left="60"/>
              <w:spacing w:after="0" w:line="255" w:lineRule="exact"/>
              <w:rPr>
                <w:sz w:val="20"/>
                <w:szCs w:val="20"/>
                <w:color w:val="auto"/>
              </w:rPr>
            </w:pPr>
            <w:r>
              <w:rPr>
                <w:rFonts w:ascii="Arial" w:cs="Arial" w:eastAsia="Arial" w:hAnsi="Arial"/>
                <w:sz w:val="18"/>
                <w:szCs w:val="18"/>
                <w:color w:val="auto"/>
                <w:w w:val="90"/>
              </w:rPr>
              <w:t>CR+ rate for D-Rd was 48% compared to 25% with Rd alone. The MRD-negative rate at 10</w:t>
            </w:r>
            <w:r>
              <w:rPr>
                <w:rFonts w:ascii="Arial" w:cs="Arial" w:eastAsia="Arial" w:hAnsi="Arial"/>
                <w:sz w:val="29"/>
                <w:szCs w:val="29"/>
                <w:color w:val="auto"/>
                <w:w w:val="90"/>
                <w:vertAlign w:val="superscript"/>
              </w:rPr>
              <w:t>-5</w:t>
            </w:r>
            <w:r>
              <w:rPr>
                <w:rFonts w:ascii="Arial" w:cs="Arial" w:eastAsia="Arial" w:hAnsi="Arial"/>
                <w:sz w:val="18"/>
                <w:szCs w:val="18"/>
                <w:color w:val="auto"/>
                <w:w w:val="90"/>
              </w:rPr>
              <w:t xml:space="preserve"> sensitivity was 24% in the D-Rd</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89"/>
              </w:rPr>
              <w:t>arm compared to 7% with Rd alone. MRD negativity was assessed at time of suspected CR or sCR and, if confirmed, at 12, 18,</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24 and 30 months after the first dose.</w:t>
            </w:r>
          </w:p>
        </w:tc>
      </w:tr>
      <w:tr>
        <w:trPr>
          <w:trHeight w:val="432"/>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120" w:type="dxa"/>
            <w:vAlign w:val="bottom"/>
          </w:tcPr>
          <w:p>
            <w:pPr>
              <w:ind w:left="60"/>
              <w:spacing w:after="0"/>
              <w:rPr>
                <w:sz w:val="20"/>
                <w:szCs w:val="20"/>
                <w:color w:val="auto"/>
              </w:rPr>
            </w:pPr>
            <w:r>
              <w:rPr>
                <w:rFonts w:ascii="Arial" w:cs="Arial" w:eastAsia="Arial" w:hAnsi="Arial"/>
                <w:sz w:val="18"/>
                <w:szCs w:val="18"/>
                <w:color w:val="auto"/>
                <w:w w:val="96"/>
              </w:rPr>
              <w:t>Overall, the safety profile of D-Rd was consistent with the known safety profiles of the Rd regimen and daratumumab.</w:t>
            </w:r>
          </w:p>
        </w:tc>
      </w:tr>
      <w:tr>
        <w:trPr>
          <w:trHeight w:val="432"/>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60"/>
              <w:spacing w:after="0"/>
              <w:rPr>
                <w:sz w:val="20"/>
                <w:szCs w:val="20"/>
                <w:color w:val="auto"/>
              </w:rPr>
            </w:pPr>
            <w:r>
              <w:rPr>
                <w:rFonts w:ascii="Arial" w:cs="Arial" w:eastAsia="Arial" w:hAnsi="Arial"/>
                <w:sz w:val="18"/>
                <w:szCs w:val="18"/>
                <w:color w:val="auto"/>
              </w:rPr>
              <w:t>Ongoing.</w:t>
            </w:r>
          </w:p>
        </w:tc>
      </w:tr>
      <w:tr>
        <w:trPr>
          <w:trHeight w:val="864"/>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w w:val="99"/>
              </w:rPr>
              <w:t>CASSIOPEIA (MMY3006)</w:t>
            </w:r>
          </w:p>
        </w:tc>
        <w:tc>
          <w:tcPr>
            <w:tcW w:w="9120" w:type="dxa"/>
            <w:vAlign w:val="bottom"/>
          </w:tcPr>
          <w:p>
            <w:pPr>
              <w:spacing w:after="0"/>
              <w:rPr>
                <w:sz w:val="24"/>
                <w:szCs w:val="24"/>
                <w:color w:val="auto"/>
              </w:rPr>
            </w:pPr>
          </w:p>
        </w:tc>
      </w:tr>
      <w:tr>
        <w:trPr>
          <w:trHeight w:val="426"/>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20" w:type="dxa"/>
            <w:vAlign w:val="bottom"/>
          </w:tcPr>
          <w:p>
            <w:pPr>
              <w:ind w:left="60"/>
              <w:spacing w:after="0"/>
              <w:rPr>
                <w:sz w:val="20"/>
                <w:szCs w:val="20"/>
                <w:color w:val="auto"/>
              </w:rPr>
            </w:pPr>
            <w:r>
              <w:rPr>
                <w:rFonts w:ascii="Arial" w:cs="Arial" w:eastAsia="Arial" w:hAnsi="Arial"/>
                <w:sz w:val="18"/>
                <w:szCs w:val="18"/>
                <w:color w:val="auto"/>
                <w:w w:val="93"/>
              </w:rPr>
              <w:t>Randomized, open-label, multicenter, Phase III study run by the French Intergroupe Francophone du Myelome, or IFM, in</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collaboration with the Dutch-Belgian Cooperative Trial Group for Hematology Oncology, or HOVON, and Janssen, including</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3"/>
              </w:rPr>
              <w:t>1,085 newly diagnosed subjects with previously untreated MM who are eligible for high dose chemotherapy and stem cell</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6"/>
              </w:rPr>
              <w:t>transplant. In the first part of the study, patients were randomized to receive induction and consolidation treatment with</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89"/>
              </w:rPr>
              <w:t>daratumumab combined with bortezomib, thalidomide and dexamethasone, or VTd, or VTd alone. The primary endpoint of this</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1"/>
              </w:rPr>
              <w:t>part of the study is sCR. In the second part of the study, patients that achieved a response in the first part undergo a second</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1"/>
              </w:rPr>
              <w:t>randomization to either receive maintenance treatment of daratumumab 16 mg/kg every 8 weeks for up to 2 years versus no</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further treatment (observation). The primary endpoint of this part of the study is PFS after maintenance therapy. Secondary</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endpoints include PFS, time to progression, MRD and OS.</w:t>
            </w:r>
          </w:p>
        </w:tc>
      </w:tr>
      <w:tr>
        <w:trPr>
          <w:trHeight w:val="426"/>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w w:val="98"/>
              </w:rPr>
              <w:t xml:space="preserve">Initial Results </w:t>
            </w:r>
            <w:r>
              <w:rPr>
                <w:rFonts w:ascii="Arial" w:cs="Arial" w:eastAsia="Arial" w:hAnsi="Arial"/>
                <w:sz w:val="18"/>
                <w:szCs w:val="18"/>
                <w:color w:val="auto"/>
                <w:w w:val="98"/>
              </w:rPr>
              <w:t>(Reported</w:t>
            </w:r>
          </w:p>
        </w:tc>
        <w:tc>
          <w:tcPr>
            <w:tcW w:w="9120" w:type="dxa"/>
            <w:vAlign w:val="bottom"/>
          </w:tcPr>
          <w:p>
            <w:pPr>
              <w:ind w:left="60"/>
              <w:spacing w:after="0"/>
              <w:rPr>
                <w:sz w:val="20"/>
                <w:szCs w:val="20"/>
                <w:color w:val="auto"/>
              </w:rPr>
            </w:pPr>
            <w:r>
              <w:rPr>
                <w:rFonts w:ascii="Arial" w:cs="Arial" w:eastAsia="Arial" w:hAnsi="Arial"/>
                <w:sz w:val="18"/>
                <w:szCs w:val="18"/>
                <w:color w:val="auto"/>
                <w:w w:val="90"/>
              </w:rPr>
              <w:t>In October 2018, we reported topline results that the first part of the study met the primary endpoint of number of patients that</w:t>
            </w:r>
          </w:p>
        </w:tc>
      </w:tr>
      <w:tr>
        <w:trPr>
          <w:trHeight w:val="216"/>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October 2018)</w:t>
            </w:r>
          </w:p>
        </w:tc>
        <w:tc>
          <w:tcPr>
            <w:tcW w:w="9120" w:type="dxa"/>
            <w:vAlign w:val="bottom"/>
          </w:tcPr>
          <w:p>
            <w:pPr>
              <w:ind w:left="60"/>
              <w:spacing w:after="0"/>
              <w:rPr>
                <w:sz w:val="20"/>
                <w:szCs w:val="20"/>
                <w:color w:val="auto"/>
              </w:rPr>
            </w:pPr>
            <w:r>
              <w:rPr>
                <w:rFonts w:ascii="Arial" w:cs="Arial" w:eastAsia="Arial" w:hAnsi="Arial"/>
                <w:sz w:val="18"/>
                <w:szCs w:val="18"/>
                <w:color w:val="auto"/>
                <w:w w:val="88"/>
              </w:rPr>
              <w:t>achieved sCR, which was reported in 28.9% of patients treated with daratumumab in combination with VTd, compared to 20.3%</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of patients who received VTd alone, with an odds ratio of 1.60 (95% CI: 1.21 - 2.12; p £ 0.001).</w:t>
            </w:r>
          </w:p>
        </w:tc>
      </w:tr>
      <w:tr>
        <w:trPr>
          <w:trHeight w:val="426"/>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120" w:type="dxa"/>
            <w:vAlign w:val="bottom"/>
          </w:tcPr>
          <w:p>
            <w:pPr>
              <w:ind w:left="60"/>
              <w:spacing w:after="0"/>
              <w:rPr>
                <w:sz w:val="20"/>
                <w:szCs w:val="20"/>
                <w:color w:val="auto"/>
              </w:rPr>
            </w:pPr>
            <w:r>
              <w:rPr>
                <w:rFonts w:ascii="Arial" w:cs="Arial" w:eastAsia="Arial" w:hAnsi="Arial"/>
                <w:sz w:val="18"/>
                <w:szCs w:val="18"/>
                <w:color w:val="auto"/>
                <w:w w:val="91"/>
              </w:rPr>
              <w:t>Overall, the safety profile of daratumumab in combination with VTd in this study was consistent with the known safety profile</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of the VTd regimen used in patients receiving ASCT and the known safety profile for daratumumab.</w:t>
            </w:r>
          </w:p>
        </w:tc>
      </w:tr>
      <w:tr>
        <w:trPr>
          <w:trHeight w:val="426"/>
        </w:trPr>
        <w:tc>
          <w:tcPr>
            <w:tcW w:w="210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60"/>
              <w:spacing w:after="0"/>
              <w:rPr>
                <w:sz w:val="20"/>
                <w:szCs w:val="20"/>
                <w:color w:val="auto"/>
              </w:rPr>
            </w:pPr>
            <w:r>
              <w:rPr>
                <w:rFonts w:ascii="Arial" w:cs="Arial" w:eastAsia="Arial" w:hAnsi="Arial"/>
                <w:sz w:val="18"/>
                <w:szCs w:val="18"/>
                <w:color w:val="auto"/>
                <w:w w:val="90"/>
              </w:rPr>
              <w:t>In the ongoing second part of the study, all responders have been re-randomized to receive either maintenance treatment with</w:t>
            </w:r>
          </w:p>
        </w:tc>
      </w:tr>
      <w:tr>
        <w:trPr>
          <w:trHeight w:val="222"/>
        </w:trPr>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daratumumab monotherapy or observation (no treatment).</w:t>
            </w:r>
          </w:p>
        </w:tc>
      </w:tr>
    </w:tbl>
    <w:p>
      <w:pPr>
        <w:spacing w:after="0" w:line="21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High Risk SMM. </w:t>
      </w:r>
      <w:r>
        <w:rPr>
          <w:rFonts w:ascii="Arial" w:cs="Arial" w:eastAsia="Arial" w:hAnsi="Arial"/>
          <w:sz w:val="18"/>
          <w:szCs w:val="18"/>
          <w:color w:val="auto"/>
        </w:rPr>
        <w:t>Janssen is currently conducting several clinical trials to assess whether earlier treatment with daratumumab could be used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high-risk SMM to delay progression to MM, compared with active monitoring. The Phase II CENTAURUS study is assessing three dose schedules of daratumumab for the treatment of patients with high-risk or intermediate-risk SMM and determined that dose intensity was associated with efficacy. Janssen used this data to set the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schedule for the Phase III AQUILA study, which is designed to assess the efficacy of daratumumab by subQ injection in delaying the progression from SMM to MM in high-risk SMM patients. Both studies are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CENTAURUS (SMM2001)</w:t>
      </w:r>
    </w:p>
    <w:p>
      <w:pPr>
        <w:spacing w:after="0" w:line="231"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5"/>
          <w:szCs w:val="15"/>
          <w:color w:val="auto"/>
        </w:rPr>
        <w:t>123-patient randomized, multicenter, open-label Phase II trial to evaluate three daratumumab dose schedules, or Arms, in SMM</w:t>
      </w:r>
    </w:p>
    <w:p>
      <w:pPr>
        <w:spacing w:after="0" w:line="15" w:lineRule="exact"/>
        <w:rPr>
          <w:sz w:val="20"/>
          <w:szCs w:val="20"/>
          <w:color w:val="auto"/>
        </w:rPr>
      </w:pPr>
    </w:p>
    <w:p>
      <w:pPr>
        <w:ind w:left="2160"/>
        <w:spacing w:after="0" w:line="292" w:lineRule="auto"/>
        <w:rPr>
          <w:sz w:val="20"/>
          <w:szCs w:val="20"/>
          <w:color w:val="auto"/>
        </w:rPr>
      </w:pPr>
      <w:r>
        <w:rPr>
          <w:rFonts w:ascii="Arial" w:cs="Arial" w:eastAsia="Arial" w:hAnsi="Arial"/>
          <w:sz w:val="16"/>
          <w:szCs w:val="16"/>
          <w:color w:val="auto"/>
        </w:rPr>
        <w:t>in patients that had a confirmed diagnosis of high-risk or intermediate-risk SMM for &lt;5 years. Patients were randomized (1:1:1) to receive 8-week cycles of daratumumab 16 mg/kg intravenously on 1 of 3 treatment Arms (Short, Intermediate and Intense). Patients in the Intense Arm received IV doses once weekly, or QW, in Cycle 1, every two weeks, or Q2W, in Cycles 2-3, every 4 weeks, or Q4W in Cycles 4-7, and every 8 weeks, or Q8W, in Cycles 8-20. Patients in the Intermediate Arm received IV doses QW in Cycle 1 and Q8W in Cycles 2-20. Patients in the Short Arm received IV doses QW for 1 Cycle only.</w:t>
      </w:r>
    </w:p>
    <w:p>
      <w:pPr>
        <w:sectPr>
          <w:pgSz w:w="11900" w:h="16838" w:orient="portrait"/>
          <w:cols w:equalWidth="0" w:num="1">
            <w:col w:w="11200"/>
          </w:cols>
          <w:pgMar w:left="320" w:top="131" w:right="379" w:bottom="1440" w:gutter="0" w:footer="0" w:header="0"/>
        </w:sectPr>
      </w:pPr>
    </w:p>
    <w:p>
      <w:pPr>
        <w:spacing w:after="0" w:line="170" w:lineRule="exact"/>
        <w:rPr>
          <w:sz w:val="20"/>
          <w:szCs w:val="20"/>
          <w:color w:val="auto"/>
        </w:rPr>
      </w:pPr>
    </w:p>
    <w:p>
      <w:pPr>
        <w:ind w:left="180"/>
        <w:spacing w:after="0" w:line="323" w:lineRule="auto"/>
        <w:rPr>
          <w:sz w:val="20"/>
          <w:szCs w:val="20"/>
          <w:color w:val="auto"/>
        </w:rPr>
      </w:pPr>
      <w:r>
        <w:rPr>
          <w:rFonts w:ascii="Arial" w:cs="Arial" w:eastAsia="Arial" w:hAnsi="Arial"/>
          <w:sz w:val="15"/>
          <w:szCs w:val="15"/>
          <w:i w:val="1"/>
          <w:iCs w:val="1"/>
          <w:color w:val="auto"/>
        </w:rPr>
        <w:t xml:space="preserve">Initial Efficacy Data </w:t>
      </w:r>
      <w:r>
        <w:rPr>
          <w:rFonts w:ascii="Arial" w:cs="Arial" w:eastAsia="Arial" w:hAnsi="Arial"/>
          <w:sz w:val="15"/>
          <w:szCs w:val="15"/>
          <w:color w:val="auto"/>
        </w:rPr>
        <w:t>(Presented at ASH, December 2018; data cutoff June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 total of 123 patients were randomized in three Arms (41 patients per Arm). The median age was 61 years (range: 31-81),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median time from initial SMM diagnosis to randomization was 6.83 months (range: 0.40-56.0). In total, 73% of patients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were of IgG subtype. Median treatment duration was 25.8 months (range: 1.0-33.1) in the Intense Arm, 25.8 months (range: 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33.1) in the Intermediate Arm and 1.6 months (range: 0.1-1.9) in the Short Arm. In the Intense, Intermediate, and Short Arms,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2%, and 5% of patients, respectively, discontinued treatment due to adverse events, or AEs.</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a median follow-up of 25.9 months (range: 0-33.2), ORR and ³CR rates were higher in the Intense and Intermediate Arms than in the Short arm; in the combined Intense and Intermediate Arms, the ³CR rate was 7%. A more pronounced biochemical/diagnostic, or BOD, PFS benefit was observed in the Intense and Intermediate Arms compared with the Short Arm. Median PFS based on SLiM-CRAB criteria was not reached in any Arm; 24-month PFS rates were 90% (Intense), 82% (Intermediate), and 75% (Short). PD/death rates indicate a median PFS of ³24 months in all arms. Median PFS based on BOD criteria was reached in the Short Arm only (14.8 months); 24-month PFS rates were 78% (Intense), 70% (Intermediate), and 27% (Short).</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most common (in &gt;1% of patient/Arm) Grade 3/4 TEAE were hypertension and hyperglycemia. In all Arms, no hematologic TEAE was observed in ³10% of patients, and the rates of Grade 3/4 infections were £5%. Deaths occurred in 1 patient (2%) in the Intermediate Arm (due to heart failure not related to daratumumab) and 1 patient (2%) in the Short Arm (due to PD); no deaths were observed in the Intense Arm. No deaths occurred within 30 days of the last daratumumab dose. The safety profile of daratumumab monotherapy in SMM remained consistent with other single-agent daratumumab studies, and no new safety signals were observed with longer follow-up.</w:t>
      </w:r>
    </w:p>
    <w:p>
      <w:pPr>
        <w:spacing w:after="0" w:line="174" w:lineRule="exact"/>
        <w:rPr>
          <w:sz w:val="20"/>
          <w:szCs w:val="20"/>
          <w:color w:val="auto"/>
        </w:rPr>
      </w:pPr>
    </w:p>
    <w:p>
      <w:pPr>
        <w:sectPr>
          <w:pgSz w:w="11900" w:h="16838" w:orient="portrait"/>
          <w:cols w:equalWidth="0" w:num="2">
            <w:col w:w="1680" w:space="480"/>
            <w:col w:w="9040"/>
          </w:cols>
          <w:pgMar w:left="320" w:top="131" w:right="379" w:bottom="1440" w:gutter="0" w:footer="0" w:header="0"/>
          <w:type w:val="continuous"/>
        </w:sect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6"/>
          <w:szCs w:val="16"/>
          <w:color w:val="auto"/>
        </w:rPr>
        <w:t>Ongoing.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00" w:type="dxa"/>
            <w:vAlign w:val="bottom"/>
          </w:tcPr>
          <w:p>
            <w:pPr>
              <w:spacing w:after="0"/>
              <w:rPr>
                <w:sz w:val="17"/>
                <w:szCs w:val="17"/>
                <w:color w:val="auto"/>
              </w:rPr>
            </w:pPr>
          </w:p>
        </w:tc>
        <w:tc>
          <w:tcPr>
            <w:tcW w:w="9120" w:type="dxa"/>
            <w:vAlign w:val="bottom"/>
          </w:tcPr>
          <w:p>
            <w:pPr>
              <w:spacing w:after="0"/>
              <w:rPr>
                <w:sz w:val="17"/>
                <w:szCs w:val="17"/>
                <w:color w:val="auto"/>
              </w:rPr>
            </w:pPr>
          </w:p>
        </w:tc>
      </w:tr>
      <w:tr>
        <w:trPr>
          <w:trHeight w:val="45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AQUILA (SMM3001)</w:t>
            </w:r>
          </w:p>
        </w:tc>
        <w:tc>
          <w:tcPr>
            <w:tcW w:w="9120" w:type="dxa"/>
            <w:vAlign w:val="bottom"/>
          </w:tcPr>
          <w:p>
            <w:pPr>
              <w:spacing w:after="0"/>
              <w:rPr>
                <w:sz w:val="24"/>
                <w:szCs w:val="24"/>
                <w:color w:val="auto"/>
              </w:rPr>
            </w:pPr>
          </w:p>
        </w:tc>
      </w:tr>
      <w:tr>
        <w:trPr>
          <w:trHeight w:val="426"/>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w w:val="94"/>
              </w:rPr>
              <w:t xml:space="preserve">Study Design </w:t>
            </w:r>
            <w:r>
              <w:rPr>
                <w:rFonts w:ascii="Arial" w:cs="Arial" w:eastAsia="Arial" w:hAnsi="Arial"/>
                <w:sz w:val="18"/>
                <w:szCs w:val="18"/>
                <w:color w:val="auto"/>
                <w:w w:val="94"/>
              </w:rPr>
              <w:t>(Published</w:t>
            </w:r>
          </w:p>
        </w:tc>
        <w:tc>
          <w:tcPr>
            <w:tcW w:w="9120" w:type="dxa"/>
            <w:vAlign w:val="bottom"/>
          </w:tcPr>
          <w:p>
            <w:pPr>
              <w:ind w:left="100"/>
              <w:spacing w:after="0"/>
              <w:rPr>
                <w:sz w:val="20"/>
                <w:szCs w:val="20"/>
                <w:color w:val="auto"/>
              </w:rPr>
            </w:pPr>
            <w:r>
              <w:rPr>
                <w:rFonts w:ascii="Arial" w:cs="Arial" w:eastAsia="Arial" w:hAnsi="Arial"/>
                <w:sz w:val="18"/>
                <w:szCs w:val="18"/>
                <w:color w:val="auto"/>
                <w:w w:val="90"/>
              </w:rPr>
              <w:t>A randomized, open-label, multicenter study of daratumumab subQ versus active monitoring (no study medication) in patients</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w w:val="97"/>
              </w:rPr>
              <w:t>in the Journal of Clinical</w:t>
            </w:r>
          </w:p>
        </w:tc>
        <w:tc>
          <w:tcPr>
            <w:tcW w:w="9120" w:type="dxa"/>
            <w:vAlign w:val="bottom"/>
          </w:tcPr>
          <w:p>
            <w:pPr>
              <w:ind w:left="100"/>
              <w:spacing w:after="0"/>
              <w:rPr>
                <w:sz w:val="20"/>
                <w:szCs w:val="20"/>
                <w:color w:val="auto"/>
              </w:rPr>
            </w:pPr>
            <w:r>
              <w:rPr>
                <w:rFonts w:ascii="Arial" w:cs="Arial" w:eastAsia="Arial" w:hAnsi="Arial"/>
                <w:sz w:val="18"/>
                <w:szCs w:val="18"/>
                <w:color w:val="auto"/>
                <w:w w:val="92"/>
              </w:rPr>
              <w:t>with high-risk SMM. Eligible patients (³18 y) have had a confirmed diagnosis of SMM for £5 years, have factors indicating a</w:t>
            </w:r>
          </w:p>
        </w:tc>
      </w:tr>
      <w:tr>
        <w:trPr>
          <w:trHeight w:val="216"/>
        </w:trPr>
        <w:tc>
          <w:tcPr>
            <w:tcW w:w="2060" w:type="dxa"/>
            <w:vAlign w:val="bottom"/>
            <w:gridSpan w:val="2"/>
          </w:tcPr>
          <w:p>
            <w:pPr>
              <w:ind w:left="180"/>
              <w:spacing w:after="0"/>
              <w:rPr>
                <w:sz w:val="20"/>
                <w:szCs w:val="20"/>
                <w:color w:val="auto"/>
              </w:rPr>
            </w:pPr>
            <w:r>
              <w:rPr>
                <w:rFonts w:ascii="Arial" w:cs="Arial" w:eastAsia="Arial" w:hAnsi="Arial"/>
                <w:sz w:val="18"/>
                <w:szCs w:val="18"/>
                <w:color w:val="auto"/>
              </w:rPr>
              <w:t>Oncology, June 2018)</w:t>
            </w:r>
          </w:p>
        </w:tc>
        <w:tc>
          <w:tcPr>
            <w:tcW w:w="9120" w:type="dxa"/>
            <w:vAlign w:val="bottom"/>
          </w:tcPr>
          <w:p>
            <w:pPr>
              <w:ind w:left="100"/>
              <w:spacing w:after="0"/>
              <w:rPr>
                <w:sz w:val="20"/>
                <w:szCs w:val="20"/>
                <w:color w:val="auto"/>
              </w:rPr>
            </w:pPr>
            <w:r>
              <w:rPr>
                <w:rFonts w:ascii="Arial" w:cs="Arial" w:eastAsia="Arial" w:hAnsi="Arial"/>
                <w:sz w:val="18"/>
                <w:szCs w:val="18"/>
                <w:color w:val="auto"/>
                <w:w w:val="88"/>
              </w:rPr>
              <w:t>high risk of progression, and have an Eastern Cooperative Oncology Group, or ECOG, performance status of £1, which refers to</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w w:val="89"/>
              </w:rPr>
              <w:t>impact of the disease on the patient's daily living abilities. The primary endpoint is PFS as assessed by an independent review</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w w:val="90"/>
              </w:rPr>
              <w:t>committee. Secondary endpoints include time to biochemical or diagnostic (SLiM-CRAB) progression, ORR, CRR, duration of</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w w:val="92"/>
              </w:rPr>
              <w:t>and time to response, time to first-line treatment for MM, PFS on first-line treatment for MM, incidence of MM with adverse</w:t>
            </w:r>
          </w:p>
        </w:tc>
      </w:tr>
      <w:tr>
        <w:trPr>
          <w:trHeight w:val="216"/>
        </w:trPr>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w w:val="89"/>
              </w:rPr>
              <w:t>prognostic features and OS. Disease will be evaluated per International Myeloma Working Group, or IMWG, response criteria.</w:t>
            </w:r>
          </w:p>
        </w:tc>
      </w:tr>
      <w:tr>
        <w:trPr>
          <w:trHeight w:val="222"/>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Up to approximately 360 patients are expected to be randomized (1:1) to the 2 arms.</w:t>
            </w:r>
          </w:p>
        </w:tc>
      </w:tr>
      <w:tr>
        <w:trPr>
          <w:trHeight w:val="432"/>
        </w:trPr>
        <w:tc>
          <w:tcPr>
            <w:tcW w:w="20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10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Frontline Treatment for Transplant Eligible Patients. </w:t>
      </w:r>
      <w:r>
        <w:rPr>
          <w:rFonts w:ascii="Arial" w:cs="Arial" w:eastAsia="Arial" w:hAnsi="Arial"/>
          <w:sz w:val="16"/>
          <w:szCs w:val="16"/>
          <w:color w:val="auto"/>
        </w:rPr>
        <w:t>In addition to the Phase III CASSIOPEIA study of daratumumab in combination with VTd</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Janssen is currently conducting the Phase II GRIFFIN and Phase III PERSEUS trials to study daratumumab as a frontline treatment, in combination with VRd for patients with MM who are eligible for high dose chemotherapy and stem cell transplant, compared with treatment by VRd alone. In December 2018, Janssen reported preliminary results of the GRIFFIN study at ASH. The second phase of the study is currently ongoing and we expect Janssen to release efficacy data for the GRIFFIN study in 2019. In addition, the PERSEUS study comparing daratumumab in combination with VRd versus VRd alone as a frontline treatment for newly diagnosed patients with MM is currently ongoing. The GRIFFIN and PERSEUS studies are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GRIFFIN (MMY2004)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360795" cy="2743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6079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auto"/>
        </w:rPr>
        <w:t>Investigator-assessed response rate at median follow-up of 16.8 months for safety run-in of 16 patients receiving D-VRd.</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Source: Janssen Presentation at ASH, December 2018</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300" w:type="dxa"/>
            <w:vAlign w:val="bottom"/>
          </w:tcPr>
          <w:p>
            <w:pPr>
              <w:spacing w:after="0"/>
              <w:rPr>
                <w:sz w:val="17"/>
                <w:szCs w:val="17"/>
                <w:color w:val="auto"/>
              </w:rPr>
            </w:pPr>
          </w:p>
        </w:tc>
      </w:tr>
      <w:tr>
        <w:trPr>
          <w:trHeight w:val="444"/>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300" w:type="dxa"/>
            <w:vAlign w:val="bottom"/>
          </w:tcPr>
          <w:p>
            <w:pPr>
              <w:ind w:left="440"/>
              <w:spacing w:after="0"/>
              <w:rPr>
                <w:sz w:val="20"/>
                <w:szCs w:val="20"/>
                <w:color w:val="auto"/>
              </w:rPr>
            </w:pPr>
            <w:r>
              <w:rPr>
                <w:rFonts w:ascii="Arial" w:cs="Arial" w:eastAsia="Arial" w:hAnsi="Arial"/>
                <w:sz w:val="18"/>
                <w:szCs w:val="18"/>
                <w:color w:val="auto"/>
                <w:w w:val="88"/>
              </w:rPr>
              <w:t>222-patient ongoing multicenter, randomized, open-label, active-controlled Phase II study comparing daratumumab combined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00" w:type="dxa"/>
            <w:vAlign w:val="bottom"/>
          </w:tcPr>
          <w:p>
            <w:pPr>
              <w:ind w:left="440"/>
              <w:spacing w:after="0"/>
              <w:rPr>
                <w:sz w:val="20"/>
                <w:szCs w:val="20"/>
                <w:color w:val="auto"/>
              </w:rPr>
            </w:pPr>
            <w:r>
              <w:rPr>
                <w:rFonts w:ascii="Arial" w:cs="Arial" w:eastAsia="Arial" w:hAnsi="Arial"/>
                <w:sz w:val="18"/>
                <w:szCs w:val="18"/>
                <w:color w:val="auto"/>
                <w:w w:val="88"/>
              </w:rPr>
              <w:t>with bortezomib, lenalidomide and dexamethasone, or D-VRd, versus bortezomib, lenalidomide and dexamethasone, or VRd,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00" w:type="dxa"/>
            <w:vAlign w:val="bottom"/>
          </w:tcPr>
          <w:p>
            <w:pPr>
              <w:ind w:left="440"/>
              <w:spacing w:after="0"/>
              <w:rPr>
                <w:sz w:val="20"/>
                <w:szCs w:val="20"/>
                <w:color w:val="auto"/>
              </w:rPr>
            </w:pPr>
            <w:r>
              <w:rPr>
                <w:rFonts w:ascii="Arial" w:cs="Arial" w:eastAsia="Arial" w:hAnsi="Arial"/>
                <w:sz w:val="18"/>
                <w:szCs w:val="18"/>
                <w:color w:val="auto"/>
                <w:w w:val="92"/>
              </w:rPr>
              <w:t>alone in subjects with frontline MM eligible for high-dose chemotherapy and ASCT. A 16-patient safety run-in phase was</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300" w:type="dxa"/>
            <w:vAlign w:val="bottom"/>
          </w:tcPr>
          <w:p>
            <w:pPr>
              <w:ind w:left="440"/>
              <w:spacing w:after="0"/>
              <w:rPr>
                <w:sz w:val="20"/>
                <w:szCs w:val="20"/>
                <w:color w:val="auto"/>
              </w:rPr>
            </w:pPr>
            <w:r>
              <w:rPr>
                <w:rFonts w:ascii="Arial" w:cs="Arial" w:eastAsia="Arial" w:hAnsi="Arial"/>
                <w:sz w:val="18"/>
                <w:szCs w:val="18"/>
                <w:color w:val="auto"/>
              </w:rPr>
              <w:t>performed to assess potential dose limiting toxicities during Cycle 1 of D-VRd.</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0" w:lineRule="exact"/>
        <w:rPr>
          <w:sz w:val="20"/>
          <w:szCs w:val="20"/>
          <w:color w:val="auto"/>
        </w:rPr>
      </w:pPr>
    </w:p>
    <w:p>
      <w:pPr>
        <w:ind w:left="180"/>
        <w:spacing w:after="0" w:line="298" w:lineRule="auto"/>
        <w:rPr>
          <w:sz w:val="20"/>
          <w:szCs w:val="20"/>
          <w:color w:val="auto"/>
        </w:rPr>
      </w:pPr>
      <w:r>
        <w:rPr>
          <w:rFonts w:ascii="Arial" w:cs="Arial" w:eastAsia="Arial" w:hAnsi="Arial"/>
          <w:sz w:val="16"/>
          <w:szCs w:val="16"/>
          <w:i w:val="1"/>
          <w:iCs w:val="1"/>
          <w:color w:val="auto"/>
        </w:rPr>
        <w:t xml:space="preserve">Safety Run-in Results </w:t>
      </w:r>
      <w:r>
        <w:rPr>
          <w:rFonts w:ascii="Arial" w:cs="Arial" w:eastAsia="Arial" w:hAnsi="Arial"/>
          <w:sz w:val="16"/>
          <w:szCs w:val="16"/>
          <w:color w:val="auto"/>
        </w:rPr>
        <w:t>(Presented at ASH, December 2018; data cutoff October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 w:lineRule="exact"/>
        <w:rPr>
          <w:sz w:val="20"/>
          <w:szCs w:val="20"/>
          <w:color w:val="auto"/>
        </w:rPr>
      </w:pPr>
      <w:r>
        <w:rPr>
          <w:sz w:val="20"/>
          <w:szCs w:val="20"/>
          <w:color w:val="auto"/>
        </w:rPr>
        <w:br w:type="column"/>
      </w:r>
    </w:p>
    <w:p>
      <w:pPr>
        <w:ind w:right="220"/>
        <w:spacing w:after="0" w:line="285" w:lineRule="auto"/>
        <w:rPr>
          <w:sz w:val="20"/>
          <w:szCs w:val="20"/>
          <w:color w:val="auto"/>
        </w:rPr>
      </w:pPr>
      <w:r>
        <w:rPr>
          <w:rFonts w:ascii="Arial" w:cs="Arial" w:eastAsia="Arial" w:hAnsi="Arial"/>
          <w:sz w:val="16"/>
          <w:szCs w:val="16"/>
          <w:color w:val="auto"/>
        </w:rPr>
        <w:t>All 16 patients in the safety run-in phase had completed ³9 cycles of D-VRd, including ³3 cycles of maintenance as of the data cutoff. By the end of consolidation, all patients reached VGPR or better and 63% achieved CR or sCR per investigator</w:t>
      </w:r>
    </w:p>
    <w:p>
      <w:pPr>
        <w:spacing w:after="0" w:line="1" w:lineRule="exact"/>
        <w:rPr>
          <w:sz w:val="20"/>
          <w:szCs w:val="20"/>
          <w:color w:val="auto"/>
        </w:rPr>
      </w:pPr>
    </w:p>
    <w:p>
      <w:pPr>
        <w:ind w:right="460"/>
        <w:spacing w:after="0" w:line="219" w:lineRule="auto"/>
        <w:rPr>
          <w:sz w:val="20"/>
          <w:szCs w:val="20"/>
          <w:color w:val="auto"/>
        </w:rPr>
      </w:pPr>
      <w:r>
        <w:rPr>
          <w:rFonts w:ascii="Arial" w:cs="Arial" w:eastAsia="Arial" w:hAnsi="Arial"/>
          <w:sz w:val="17"/>
          <w:szCs w:val="17"/>
          <w:color w:val="auto"/>
        </w:rPr>
        <w:t>assessments. MRD negativity (10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using Clonoseq2) was seen in 8 (50%) patients. Responses continued to deepen during maintenance. All 16 patients underwent successful mobilization with subsequent transplant.</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After a median follow-up time of 16.8 months, 15 (94%) patients remain progression free on study treatment. D-VRd was active with an investigator-assessed VGPR+ rate of 100% and a sCR+CR rate of 63% after consolidation therapy. MRD negativity was seen in a subset of patients, and further analysis is underway. In aggregate, these data suggest that D-VRd may be a very effective regimen in ASCT-eligible frontline MM and that daratumumab induction does not negatively impact stem cell mobilization.</w:t>
      </w:r>
    </w:p>
    <w:p>
      <w:pPr>
        <w:spacing w:after="0" w:line="20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overall safety profile of D-VRd was consistent with those previously reported for daratumumab and VRd, with manageable toxicity and no new safety findings with longer therapy. All 16 patients experienced ³1 TEAE, with 11 (69%) patients having ³1 serious AEs, or SAE, including 3 (19%) patients with ³1 SAE related to daratumumab. Fourteen (88%) patients had Grade 3-4 AEs, with 10 (63%) related to daratumumab. Most commonly reported (in ³10% of patients) Grade 3-4 TEAEs included neutropenia (31%), pneumonia (25%), thrombocytopenia (25%), lymphopenia (19%), febrile neutropenia (13%), leukopenia (13%), rash (13%), and hypophosphatemia (13%). Thirteen (81%) patients experienced infections, including upper respiratory tract infection (6), pneumonia (4), bronchitis (2), otitis (2) and viral gastroenteritis (2). No deaths due to SAEs were reported, and no patient discontinued treatment due to an AE. Daratumumab infusion reactions were reported in 4 (25%) patients.</w:t>
      </w:r>
    </w:p>
    <w:p>
      <w:pPr>
        <w:spacing w:after="0" w:line="178" w:lineRule="exact"/>
        <w:rPr>
          <w:sz w:val="20"/>
          <w:szCs w:val="20"/>
          <w:color w:val="auto"/>
        </w:rPr>
      </w:pPr>
    </w:p>
    <w:p>
      <w:pPr>
        <w:sectPr>
          <w:pgSz w:w="11900" w:h="16838" w:orient="portrait"/>
          <w:cols w:equalWidth="0" w:num="2">
            <w:col w:w="1920" w:space="240"/>
            <w:col w:w="90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280" w:type="dxa"/>
            <w:vAlign w:val="bottom"/>
          </w:tcPr>
          <w:p>
            <w:pPr>
              <w:ind w:left="200"/>
              <w:spacing w:after="0"/>
              <w:rPr>
                <w:sz w:val="20"/>
                <w:szCs w:val="20"/>
                <w:color w:val="auto"/>
              </w:rPr>
            </w:pPr>
            <w:r>
              <w:rPr>
                <w:rFonts w:ascii="Arial" w:cs="Arial" w:eastAsia="Arial" w:hAnsi="Arial"/>
                <w:sz w:val="18"/>
                <w:szCs w:val="18"/>
                <w:color w:val="auto"/>
                <w:w w:val="87"/>
              </w:rPr>
              <w:t>Janssen has reported that enrollment to the 222-patient main phase of the randomized study is now complete, and data regarding</w:t>
            </w:r>
          </w:p>
        </w:tc>
      </w:tr>
      <w:tr>
        <w:trPr>
          <w:trHeight w:val="222"/>
        </w:trPr>
        <w:tc>
          <w:tcPr>
            <w:tcW w:w="196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the primary endpoint (sCR after consolidation) is expected to be available in 2019.</w:t>
            </w:r>
          </w:p>
        </w:tc>
      </w:tr>
      <w:tr>
        <w:trPr>
          <w:trHeight w:val="864"/>
        </w:trPr>
        <w:tc>
          <w:tcPr>
            <w:tcW w:w="1960" w:type="dxa"/>
            <w:vAlign w:val="bottom"/>
          </w:tcPr>
          <w:p>
            <w:pPr>
              <w:spacing w:after="0"/>
              <w:rPr>
                <w:sz w:val="20"/>
                <w:szCs w:val="20"/>
                <w:color w:val="auto"/>
              </w:rPr>
            </w:pPr>
            <w:r>
              <w:rPr>
                <w:rFonts w:ascii="Arial" w:cs="Arial" w:eastAsia="Arial" w:hAnsi="Arial"/>
                <w:sz w:val="18"/>
                <w:szCs w:val="18"/>
                <w:b w:val="1"/>
                <w:bCs w:val="1"/>
                <w:color w:val="auto"/>
              </w:rPr>
              <w:t>PERSEUS (MMY3014)</w:t>
            </w:r>
          </w:p>
        </w:tc>
        <w:tc>
          <w:tcPr>
            <w:tcW w:w="9280" w:type="dxa"/>
            <w:vAlign w:val="bottom"/>
          </w:tcPr>
          <w:p>
            <w:pPr>
              <w:spacing w:after="0"/>
              <w:rPr>
                <w:sz w:val="24"/>
                <w:szCs w:val="24"/>
                <w:color w:val="auto"/>
              </w:rPr>
            </w:pPr>
          </w:p>
        </w:tc>
      </w:tr>
      <w:tr>
        <w:trPr>
          <w:trHeight w:val="426"/>
        </w:trPr>
        <w:tc>
          <w:tcPr>
            <w:tcW w:w="196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280" w:type="dxa"/>
            <w:vAlign w:val="bottom"/>
          </w:tcPr>
          <w:p>
            <w:pPr>
              <w:ind w:left="200"/>
              <w:spacing w:after="0"/>
              <w:rPr>
                <w:sz w:val="20"/>
                <w:szCs w:val="20"/>
                <w:color w:val="auto"/>
              </w:rPr>
            </w:pPr>
            <w:r>
              <w:rPr>
                <w:rFonts w:ascii="Arial" w:cs="Arial" w:eastAsia="Arial" w:hAnsi="Arial"/>
                <w:sz w:val="18"/>
                <w:szCs w:val="18"/>
                <w:color w:val="auto"/>
                <w:w w:val="89"/>
              </w:rPr>
              <w:t>Phase III study expected to evaluate the subQ formulation of daratumumab in combination with VRd compared to VRd alone in</w:t>
            </w:r>
          </w:p>
        </w:tc>
      </w:tr>
      <w:tr>
        <w:trPr>
          <w:trHeight w:val="216"/>
        </w:trPr>
        <w:tc>
          <w:tcPr>
            <w:tcW w:w="196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w w:val="90"/>
              </w:rPr>
              <w:t>approximately 690 participants with previously untreated MM. The primary endpoint of the study is PFS from randomization to</w:t>
            </w:r>
          </w:p>
        </w:tc>
      </w:tr>
      <w:tr>
        <w:trPr>
          <w:trHeight w:val="222"/>
        </w:trPr>
        <w:tc>
          <w:tcPr>
            <w:tcW w:w="196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the date of disease progression or death.</w:t>
            </w:r>
          </w:p>
        </w:tc>
      </w:tr>
      <w:tr>
        <w:trPr>
          <w:trHeight w:val="432"/>
        </w:trPr>
        <w:tc>
          <w:tcPr>
            <w:tcW w:w="196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280" w:type="dxa"/>
            <w:vAlign w:val="bottom"/>
          </w:tcPr>
          <w:p>
            <w:pPr>
              <w:ind w:left="200"/>
              <w:spacing w:after="0"/>
              <w:rPr>
                <w:sz w:val="20"/>
                <w:szCs w:val="20"/>
                <w:color w:val="auto"/>
              </w:rPr>
            </w:pPr>
            <w:r>
              <w:rPr>
                <w:rFonts w:ascii="Arial" w:cs="Arial" w:eastAsia="Arial" w:hAnsi="Arial"/>
                <w:sz w:val="18"/>
                <w:szCs w:val="18"/>
                <w:color w:val="auto"/>
              </w:rPr>
              <w:t>Recruiting.</w:t>
            </w:r>
          </w:p>
        </w:tc>
      </w:tr>
      <w:tr>
        <w:trPr>
          <w:trHeight w:val="432"/>
        </w:trPr>
        <w:tc>
          <w:tcPr>
            <w:tcW w:w="1960" w:type="dxa"/>
            <w:vAlign w:val="bottom"/>
          </w:tcPr>
          <w:p>
            <w:pPr>
              <w:spacing w:after="0"/>
              <w:rPr>
                <w:sz w:val="24"/>
                <w:szCs w:val="24"/>
                <w:color w:val="auto"/>
              </w:rPr>
            </w:pPr>
          </w:p>
        </w:tc>
        <w:tc>
          <w:tcPr>
            <w:tcW w:w="9280" w:type="dxa"/>
            <w:vAlign w:val="bottom"/>
          </w:tcPr>
          <w:p>
            <w:pPr>
              <w:ind w:left="3540"/>
              <w:spacing w:after="0"/>
              <w:rPr>
                <w:sz w:val="20"/>
                <w:szCs w:val="20"/>
                <w:color w:val="auto"/>
              </w:rPr>
            </w:pPr>
            <w:r>
              <w:rPr>
                <w:rFonts w:ascii="Arial" w:cs="Arial" w:eastAsia="Arial" w:hAnsi="Arial"/>
                <w:sz w:val="18"/>
                <w:szCs w:val="18"/>
                <w:color w:val="auto"/>
              </w:rPr>
              <w:t>119</w:t>
            </w:r>
          </w:p>
        </w:tc>
      </w:tr>
      <w:tr>
        <w:trPr>
          <w:trHeight w:val="228"/>
        </w:trPr>
        <w:tc>
          <w:tcPr>
            <w:tcW w:w="1960" w:type="dxa"/>
            <w:vAlign w:val="bottom"/>
            <w:tcBorders>
              <w:bottom w:val="single" w:sz="8" w:color="808080"/>
            </w:tcBorders>
          </w:tcPr>
          <w:p>
            <w:pPr>
              <w:spacing w:after="0"/>
              <w:rPr>
                <w:sz w:val="19"/>
                <w:szCs w:val="19"/>
                <w:color w:val="auto"/>
              </w:rPr>
            </w:pPr>
          </w:p>
        </w:tc>
        <w:tc>
          <w:tcPr>
            <w:tcW w:w="9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Frontline Treatment for Non-Transplant Eligible Patients. </w:t>
      </w:r>
      <w:r>
        <w:rPr>
          <w:rFonts w:ascii="Arial" w:cs="Arial" w:eastAsia="Arial" w:hAnsi="Arial"/>
          <w:sz w:val="18"/>
          <w:szCs w:val="18"/>
          <w:color w:val="auto"/>
        </w:rPr>
        <w:t>In addition to the ALCYONE study of daratumumab in combination with VMP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MAIA study of daratumumab in combination with Rd described above, Janssen is studying daratumumab for the treatment of transplant-ineligible patients in combination with other treatments, including VRd in the Phase III CEPHEUS study and VMP in the Phase III OCTANS follow on to the ALCYONE study in the Asia Pacific region. The CEPHEUS and OCTANS studies are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CEPHEUS (MMY3019)</w:t>
      </w:r>
    </w:p>
    <w:p>
      <w:pPr>
        <w:sectPr>
          <w:pgSz w:w="11900" w:h="16838" w:orient="portrait"/>
          <w:cols w:equalWidth="0" w:num="1">
            <w:col w:w="11220"/>
          </w:cols>
          <w:pgMar w:left="320" w:top="131" w:right="359" w:bottom="1440" w:gutter="0" w:footer="0" w:header="0"/>
        </w:sect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Phase III study to evaluate the subQ formulation of daratumumab in combination with bortezomib, lenalidomide and dexamethasone, or VRd, compared to VRd alone in approximately 360 participants with frontline MM for whom hematopoietic stem cell transplant is not planned as initial therapy. The primary endpoint of the study is the percentage of participants with negative MRD status, measured after randomization and prior to PD or subsequent anti-MM therapy. Secondary endpoints include PFS, CR and OS.</w:t>
      </w:r>
    </w:p>
    <w:p>
      <w:pPr>
        <w:spacing w:after="0" w:line="200" w:lineRule="exact"/>
        <w:rPr>
          <w:sz w:val="20"/>
          <w:szCs w:val="20"/>
          <w:color w:val="auto"/>
        </w:rPr>
      </w:pPr>
    </w:p>
    <w:p>
      <w:pPr>
        <w:sectPr>
          <w:pgSz w:w="11900" w:h="16838" w:orient="portrait"/>
          <w:cols w:equalWidth="0" w:num="2">
            <w:col w:w="1440" w:space="720"/>
            <w:col w:w="9060"/>
          </w:cols>
          <w:pgMar w:left="320" w:top="131" w:right="359" w:bottom="1440" w:gutter="0" w:footer="0" w:header="0"/>
          <w:type w:val="continuous"/>
        </w:sectPr>
      </w:pP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Study Status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OCTANS (MMY3011)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422" w:lineRule="exact"/>
        <w:rPr>
          <w:sz w:val="20"/>
          <w:szCs w:val="20"/>
          <w:color w:val="auto"/>
        </w:rPr>
      </w:pPr>
    </w:p>
    <w:p>
      <w:pPr>
        <w:sectPr>
          <w:pgSz w:w="11900" w:h="16838" w:orient="portrait"/>
          <w:cols w:equalWidth="0" w:num="2">
            <w:col w:w="1680" w:space="480"/>
            <w:col w:w="9060"/>
          </w:cols>
          <w:pgMar w:left="320" w:top="131" w:right="359" w:bottom="1440" w:gutter="0" w:footer="0" w:header="0"/>
          <w:type w:val="continuous"/>
        </w:sectPr>
      </w:pPr>
    </w:p>
    <w:p>
      <w:pPr>
        <w:spacing w:after="0" w:line="4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210-patient randomized, open-label, multicenter, controlled, Phase III study of bortezomib, melphalan and prednisone, or VMP, compared to daratumumab in combination with VMP, in subjects in the Asia Pacific region with previously untreated MM who are ineligible for high-dose therapy. Patients are expected to be recruited from China, Hong Kong, South Korea and Taiwan. The primary endpoint of the study is VGPR or better rate, defined as the proportion of participants achieving VGPR and CR (including sCR) criteria during or after the study treatment, at 6 months and at 3 years after the last participant first dose.</w:t>
      </w:r>
    </w:p>
    <w:p>
      <w:pPr>
        <w:spacing w:after="0" w:line="169" w:lineRule="exact"/>
        <w:rPr>
          <w:sz w:val="20"/>
          <w:szCs w:val="20"/>
          <w:color w:val="auto"/>
        </w:rPr>
      </w:pPr>
    </w:p>
    <w:p>
      <w:pPr>
        <w:sectPr>
          <w:pgSz w:w="11900" w:h="16838" w:orient="portrait"/>
          <w:cols w:equalWidth="0" w:num="2">
            <w:col w:w="1440" w:space="720"/>
            <w:col w:w="9060"/>
          </w:cols>
          <w:pgMar w:left="320" w:top="131" w:right="359" w:bottom="1440" w:gutter="0" w:footer="0" w:header="0"/>
          <w:type w:val="continuous"/>
        </w:sect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060"/>
          </w:cols>
          <w:pgMar w:left="320" w:top="131" w:right="359" w:bottom="1440" w:gutter="0" w:footer="0" w:header="0"/>
          <w:type w:val="continuous"/>
        </w:sectPr>
      </w:pPr>
    </w:p>
    <w:p>
      <w:pPr>
        <w:spacing w:after="0" w:line="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Relapsed or Refractory Multiple Myeloma</w:t>
      </w:r>
      <w:r>
        <w:rPr>
          <w:rFonts w:ascii="Arial" w:cs="Arial" w:eastAsia="Arial" w:hAnsi="Arial"/>
          <w:sz w:val="16"/>
          <w:szCs w:val="16"/>
          <w:color w:val="auto"/>
        </w:rPr>
        <w:t>. Building on the success of the POLLUX and CASTOR studies demonstrating the efficacy of daratumumab</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treatment of patients with R/R MM, several additional studies are ongoing to assess the efficacy of daratumumab for other applications in the treatment of R/R MM. Amgen is currently conducting the Phase III CANDOR study through a master clinical trial collaboration and supply agreement with Janssen to evaluate the efficacy and safety of daratumumab in combination with Amgen's carfilzomib. The CANDOR study is assessing daratumumab in combination with carfilzomib and dexamethasone, or Kd, versus Kd alone. The Phase III APOLLO study will assess daratumumab in combination with pomalidomide and dexamethasone, or Pom-d, versus Pom-d alone. A Chinese study assessing daratumumab in combination with bortezomib and dexamethasone, or Vd, versus Vd alone is also ongoing. Each of these studies is described below. In addition, Janssen is conducting other Phase I and Phase II studies assessing daratumumab in combination with other regimens for the treatment of R/R MM.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20" w:type="dxa"/>
            <w:vAlign w:val="bottom"/>
          </w:tcPr>
          <w:p>
            <w:pPr>
              <w:spacing w:after="0"/>
              <w:rPr>
                <w:sz w:val="17"/>
                <w:szCs w:val="17"/>
                <w:color w:val="auto"/>
              </w:rPr>
            </w:pPr>
          </w:p>
        </w:tc>
        <w:tc>
          <w:tcPr>
            <w:tcW w:w="9120" w:type="dxa"/>
            <w:vAlign w:val="bottom"/>
          </w:tcPr>
          <w:p>
            <w:pPr>
              <w:spacing w:after="0"/>
              <w:rPr>
                <w:sz w:val="17"/>
                <w:szCs w:val="17"/>
                <w:color w:val="auto"/>
              </w:rPr>
            </w:pPr>
          </w:p>
        </w:tc>
      </w:tr>
      <w:tr>
        <w:trPr>
          <w:trHeight w:val="45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96"/>
              </w:rPr>
              <w:t>CANDOR (NCT03158688)</w:t>
            </w:r>
          </w:p>
        </w:tc>
        <w:tc>
          <w:tcPr>
            <w:tcW w:w="9120" w:type="dxa"/>
            <w:vAlign w:val="bottom"/>
          </w:tcPr>
          <w:p>
            <w:pPr>
              <w:spacing w:after="0"/>
              <w:rPr>
                <w:sz w:val="24"/>
                <w:szCs w:val="24"/>
                <w:color w:val="auto"/>
              </w:rPr>
            </w:pPr>
          </w:p>
        </w:tc>
      </w:tr>
      <w:tr>
        <w:trPr>
          <w:trHeight w:val="426"/>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20" w:type="dxa"/>
            <w:vAlign w:val="bottom"/>
          </w:tcPr>
          <w:p>
            <w:pPr>
              <w:ind w:left="80"/>
              <w:spacing w:after="0"/>
              <w:rPr>
                <w:sz w:val="20"/>
                <w:szCs w:val="20"/>
                <w:color w:val="auto"/>
              </w:rPr>
            </w:pPr>
            <w:r>
              <w:rPr>
                <w:rFonts w:ascii="Arial" w:cs="Arial" w:eastAsia="Arial" w:hAnsi="Arial"/>
                <w:sz w:val="18"/>
                <w:szCs w:val="18"/>
                <w:color w:val="auto"/>
              </w:rPr>
              <w:t>466-patient randomized, open-label, Phase III study comparing daratumumab in combination with carfilzomib and</w:t>
            </w:r>
          </w:p>
        </w:tc>
      </w:tr>
      <w:tr>
        <w:trPr>
          <w:trHeight w:val="216"/>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0"/>
              </w:rPr>
              <w:t>dexamethasone, or Kd, to Kd alone in patients with R/R MM. CANDOR is co-sponsored by Amgen and Janssen and is being</w:t>
            </w:r>
          </w:p>
        </w:tc>
      </w:tr>
      <w:tr>
        <w:trPr>
          <w:trHeight w:val="222"/>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rPr>
              <w:t>conducted by Amgen. The primary endpoint of the study is PFS.</w:t>
            </w:r>
          </w:p>
        </w:tc>
      </w:tr>
      <w:tr>
        <w:trPr>
          <w:trHeight w:val="432"/>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80"/>
              <w:spacing w:after="0"/>
              <w:rPr>
                <w:sz w:val="20"/>
                <w:szCs w:val="20"/>
                <w:color w:val="auto"/>
              </w:rPr>
            </w:pPr>
            <w:r>
              <w:rPr>
                <w:rFonts w:ascii="Arial" w:cs="Arial" w:eastAsia="Arial" w:hAnsi="Arial"/>
                <w:sz w:val="18"/>
                <w:szCs w:val="18"/>
                <w:color w:val="auto"/>
              </w:rPr>
              <w:t>Ongoing. We expect Amgen to release data for this study in 2019.</w:t>
            </w:r>
          </w:p>
        </w:tc>
      </w:tr>
      <w:tr>
        <w:trPr>
          <w:trHeight w:val="86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APOLLO (MMY3013)</w:t>
            </w:r>
          </w:p>
        </w:tc>
        <w:tc>
          <w:tcPr>
            <w:tcW w:w="9120" w:type="dxa"/>
            <w:vAlign w:val="bottom"/>
          </w:tcPr>
          <w:p>
            <w:pPr>
              <w:spacing w:after="0"/>
              <w:rPr>
                <w:sz w:val="24"/>
                <w:szCs w:val="24"/>
                <w:color w:val="auto"/>
              </w:rPr>
            </w:pPr>
          </w:p>
        </w:tc>
      </w:tr>
      <w:tr>
        <w:trPr>
          <w:trHeight w:val="426"/>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20" w:type="dxa"/>
            <w:vAlign w:val="bottom"/>
          </w:tcPr>
          <w:p>
            <w:pPr>
              <w:ind w:left="80"/>
              <w:spacing w:after="0"/>
              <w:rPr>
                <w:sz w:val="20"/>
                <w:szCs w:val="20"/>
                <w:color w:val="auto"/>
              </w:rPr>
            </w:pPr>
            <w:r>
              <w:rPr>
                <w:rFonts w:ascii="Arial" w:cs="Arial" w:eastAsia="Arial" w:hAnsi="Arial"/>
                <w:sz w:val="18"/>
                <w:szCs w:val="18"/>
                <w:color w:val="auto"/>
                <w:w w:val="90"/>
              </w:rPr>
              <w:t>Randomized, open-label, multicenter, Phase III study expected to include approximately 302 patients with R/R MM who have</w:t>
            </w: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(Presented at ASH,</w:t>
            </w:r>
          </w:p>
        </w:tc>
        <w:tc>
          <w:tcPr>
            <w:tcW w:w="9120" w:type="dxa"/>
            <w:vAlign w:val="bottom"/>
          </w:tcPr>
          <w:p>
            <w:pPr>
              <w:ind w:left="80"/>
              <w:spacing w:after="0"/>
              <w:rPr>
                <w:sz w:val="20"/>
                <w:szCs w:val="20"/>
                <w:color w:val="auto"/>
              </w:rPr>
            </w:pPr>
            <w:r>
              <w:rPr>
                <w:rFonts w:ascii="Arial" w:cs="Arial" w:eastAsia="Arial" w:hAnsi="Arial"/>
                <w:sz w:val="18"/>
                <w:szCs w:val="18"/>
                <w:color w:val="auto"/>
                <w:w w:val="89"/>
              </w:rPr>
              <w:t>previously been treated with both lenalidomide and a PI. Patients will be randomized 1:1 to either receive the subQ formulation</w:t>
            </w: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December 2018)</w:t>
            </w:r>
          </w:p>
        </w:tc>
        <w:tc>
          <w:tcPr>
            <w:tcW w:w="9120" w:type="dxa"/>
            <w:vAlign w:val="bottom"/>
          </w:tcPr>
          <w:p>
            <w:pPr>
              <w:ind w:left="80"/>
              <w:spacing w:after="0"/>
              <w:rPr>
                <w:sz w:val="20"/>
                <w:szCs w:val="20"/>
                <w:color w:val="auto"/>
              </w:rPr>
            </w:pPr>
            <w:r>
              <w:rPr>
                <w:rFonts w:ascii="Arial" w:cs="Arial" w:eastAsia="Arial" w:hAnsi="Arial"/>
                <w:sz w:val="18"/>
                <w:szCs w:val="18"/>
                <w:color w:val="auto"/>
                <w:w w:val="90"/>
              </w:rPr>
              <w:t>of daratumumab in combination with pomalidomide and dexamethasone, or Pom-d, or Pom-d alone. The primary endpoint of</w:t>
            </w:r>
          </w:p>
        </w:tc>
      </w:tr>
      <w:tr>
        <w:trPr>
          <w:trHeight w:val="222"/>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the study is PFS. The study is being conducted in Europe by the European Myeloma Network in collaboration with Janssen.</w:t>
            </w:r>
          </w:p>
        </w:tc>
      </w:tr>
      <w:tr>
        <w:trPr>
          <w:trHeight w:val="432"/>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80"/>
              <w:spacing w:after="0"/>
              <w:rPr>
                <w:sz w:val="20"/>
                <w:szCs w:val="20"/>
                <w:color w:val="auto"/>
              </w:rPr>
            </w:pPr>
            <w:r>
              <w:rPr>
                <w:rFonts w:ascii="Arial" w:cs="Arial" w:eastAsia="Arial" w:hAnsi="Arial"/>
                <w:sz w:val="18"/>
                <w:szCs w:val="18"/>
                <w:color w:val="auto"/>
              </w:rPr>
              <w:t>Recruiting.</w:t>
            </w:r>
          </w:p>
        </w:tc>
      </w:tr>
      <w:tr>
        <w:trPr>
          <w:trHeight w:val="86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China Study (MMY3009)</w:t>
            </w:r>
          </w:p>
        </w:tc>
        <w:tc>
          <w:tcPr>
            <w:tcW w:w="9120" w:type="dxa"/>
            <w:vAlign w:val="bottom"/>
          </w:tcPr>
          <w:p>
            <w:pPr>
              <w:spacing w:after="0"/>
              <w:rPr>
                <w:sz w:val="24"/>
                <w:szCs w:val="24"/>
                <w:color w:val="auto"/>
              </w:rPr>
            </w:pPr>
          </w:p>
        </w:tc>
      </w:tr>
      <w:tr>
        <w:trPr>
          <w:trHeight w:val="426"/>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20" w:type="dxa"/>
            <w:vAlign w:val="bottom"/>
          </w:tcPr>
          <w:p>
            <w:pPr>
              <w:ind w:left="80"/>
              <w:spacing w:after="0"/>
              <w:rPr>
                <w:sz w:val="20"/>
                <w:szCs w:val="20"/>
                <w:color w:val="auto"/>
              </w:rPr>
            </w:pPr>
            <w:r>
              <w:rPr>
                <w:rFonts w:ascii="Arial" w:cs="Arial" w:eastAsia="Arial" w:hAnsi="Arial"/>
                <w:sz w:val="18"/>
                <w:szCs w:val="18"/>
                <w:color w:val="auto"/>
                <w:w w:val="93"/>
              </w:rPr>
              <w:t>Approximately 210-patient randomized, open-label, multicenter, Phase III study of bortezomib and dexamethasone, or Vd,</w:t>
            </w:r>
          </w:p>
        </w:tc>
      </w:tr>
      <w:tr>
        <w:trPr>
          <w:trHeight w:val="216"/>
        </w:trPr>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89"/>
              </w:rPr>
              <w:t>compared to Vd in combination with daratumumab in Chinese subjects with R/R MM. The primary endpoint of the study is PFS</w:t>
            </w:r>
          </w:p>
        </w:tc>
      </w:tr>
      <w:tr>
        <w:trPr>
          <w:trHeight w:val="222"/>
        </w:trPr>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rPr>
              <w:t>from the date of randomization to either PD or death, whichever occurs first.</w:t>
            </w:r>
          </w:p>
        </w:tc>
      </w:tr>
      <w:tr>
        <w:trPr>
          <w:trHeight w:val="432"/>
        </w:trPr>
        <w:tc>
          <w:tcPr>
            <w:tcW w:w="208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20" w:type="dxa"/>
            <w:vAlign w:val="bottom"/>
          </w:tcPr>
          <w:p>
            <w:pPr>
              <w:ind w:left="8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Subcutaneous Formulation of DARZALEX</w:t>
      </w:r>
      <w:r>
        <w:rPr>
          <w:rFonts w:ascii="Arial" w:cs="Arial" w:eastAsia="Arial" w:hAnsi="Arial"/>
          <w:sz w:val="16"/>
          <w:szCs w:val="16"/>
          <w:color w:val="auto"/>
        </w:rPr>
        <w:t>. In addition to subQ administration of daratumumab in the AQUILA, PERSEUS, CEPHEUS and APOLLO</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outlined above, Janssen is currently conducting two studies specifically to assess the safety, efficacy and pharmacokinetics of subQ administration of daratumumab as compared with IV administration. Janssen presented interim results for Part 2 of the Phase Ib PAVO study at ASH in December 2018. The Phase III COLUMBA study is also ongoing and initial results are expected in 2019. In addition, Janssen is conducting the Phase II PLEIADES study to evaluate the potential clinical benefit of subQ daratumumab administered in combination with standard MM treatment regimens, including VRd, VMP, Rd and Kd. Each of these studies is described below.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PAVO (MMY1004)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09285" cy="2846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0928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Overall response rate at median follow-up of 4.6, 6.5 and 12.0 months for 25 patients receiving daratumumab subQ 1,800 mg.</w:t>
      </w:r>
    </w:p>
    <w:p>
      <w:pPr>
        <w:spacing w:after="0" w:line="217"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5"/>
          <w:szCs w:val="15"/>
          <w:color w:val="auto"/>
        </w:rPr>
        <w:t>Ongoing non-randomized, open-label, multicenter Phase Ib, parallel assignment dose escalation/expansion study to assess the</w:t>
      </w:r>
    </w:p>
    <w:p>
      <w:pPr>
        <w:spacing w:after="0" w:line="15" w:lineRule="exact"/>
        <w:rPr>
          <w:sz w:val="20"/>
          <w:szCs w:val="20"/>
          <w:color w:val="auto"/>
        </w:rPr>
      </w:pPr>
    </w:p>
    <w:p>
      <w:pPr>
        <w:ind w:left="2160" w:right="100"/>
        <w:spacing w:after="0" w:line="302" w:lineRule="auto"/>
        <w:rPr>
          <w:sz w:val="20"/>
          <w:szCs w:val="20"/>
          <w:color w:val="auto"/>
        </w:rPr>
      </w:pPr>
      <w:r>
        <w:rPr>
          <w:rFonts w:ascii="Arial" w:cs="Arial" w:eastAsia="Arial" w:hAnsi="Arial"/>
          <w:sz w:val="16"/>
          <w:szCs w:val="16"/>
          <w:color w:val="auto"/>
        </w:rPr>
        <w:t>safety, pharmacokinetics and antitumor activity of subQ delivery of daratumumab to patients with R/R MM. Primary endpoints were serum trough concentrations, or Ctrough, of daratumumab at the end of weekly dosing on Cycle 3 Day 1, or C3D1, and safety. Secondary endpoints included ORR, rate of CR, and immunogenicity measures.</w:t>
      </w:r>
    </w:p>
    <w:p>
      <w:pPr>
        <w:sectPr>
          <w:pgSz w:w="11900" w:h="16838" w:orient="portrait"/>
          <w:cols w:equalWidth="0" w:num="1">
            <w:col w:w="11200"/>
          </w:cols>
          <w:pgMar w:left="320" w:top="131" w:right="379" w:bottom="1440" w:gutter="0" w:footer="0" w:header="0"/>
        </w:sectPr>
      </w:pPr>
    </w:p>
    <w:p>
      <w:pPr>
        <w:spacing w:after="0" w:line="163" w:lineRule="exact"/>
        <w:rPr>
          <w:sz w:val="20"/>
          <w:szCs w:val="20"/>
          <w:color w:val="auto"/>
        </w:rPr>
      </w:pPr>
    </w:p>
    <w:p>
      <w:pPr>
        <w:ind w:left="180"/>
        <w:spacing w:after="0" w:line="323" w:lineRule="auto"/>
        <w:rPr>
          <w:sz w:val="20"/>
          <w:szCs w:val="20"/>
          <w:color w:val="auto"/>
        </w:rPr>
      </w:pPr>
      <w:r>
        <w:rPr>
          <w:rFonts w:ascii="Arial" w:cs="Arial" w:eastAsia="Arial" w:hAnsi="Arial"/>
          <w:sz w:val="15"/>
          <w:szCs w:val="15"/>
          <w:i w:val="1"/>
          <w:iCs w:val="1"/>
          <w:color w:val="auto"/>
        </w:rPr>
        <w:t xml:space="preserve">Initial Results for Parts 1 and 2 </w:t>
      </w:r>
      <w:r>
        <w:rPr>
          <w:rFonts w:ascii="Arial" w:cs="Arial" w:eastAsia="Arial" w:hAnsi="Arial"/>
          <w:sz w:val="15"/>
          <w:szCs w:val="15"/>
          <w:color w:val="auto"/>
        </w:rPr>
        <w:t>(Presented at ASH, December 2018)</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reported modeling of data from Part 1 showed that the fixed daratumumab subQ 1,800 mg dose provided a similar or higher C3D1 Ctrough when compared to historical data with 16 mg/kg IV. Immunogenicity of daratumumab and recombinant human hyaluronidase enzyme, or rHuPH20, was similar to previous experience. The report also concluded that these data validated the dose selection of 1,800 mg for ongoing Phase III clinical trials of daratumumab subQ in MM, SMM, and amyloidosis.</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Based on these data, the 1,800 mg dose was selected for further evaluation in Part 2. At the clinical cutoff date, 25 patients were enrolled in Part 2 of the study. Patients received a median of 3 (range: 2-9) prior lines of therapy, with 56% double refractory to both PI and immunomodulatory agent. Part 2 results indicated that daratumumab subQ enabled dosing in 3-5 minutes and improved patient convenience. Daratumumab subQ was well-tolerated in patients with R/R MM with low rates of infusion-related reactions, or IRRs, and no new safety signals compared with daratumumab IV. Over 50% of patients responded to treatment in Part 2 of the study. At the data cutoff date, median duration of response was not reached (95% CI: 4.6-NE). Median PFS was 12.3 months (95% CI, 5.6-NE) in all treated patients and 11.7 months (95% CI, 2.8-NE) in patients refractory to both a PI and an immunomodulatory agent. At a median followup of 4.6, 6.5, and 12.0 months, ORR was 44% (28% VGPR; 24% PR), 52% (28% VGPR; 24% PR) and 52% (32% VGPR; 20% PR), respectively.</w:t>
      </w:r>
    </w:p>
    <w:p>
      <w:pPr>
        <w:spacing w:after="0" w:line="173" w:lineRule="exact"/>
        <w:rPr>
          <w:sz w:val="20"/>
          <w:szCs w:val="20"/>
          <w:color w:val="auto"/>
        </w:rPr>
      </w:pPr>
    </w:p>
    <w:p>
      <w:pPr>
        <w:sectPr>
          <w:pgSz w:w="11900" w:h="16838" w:orient="portrait"/>
          <w:cols w:equalWidth="0" w:num="2">
            <w:col w:w="1540" w:space="620"/>
            <w:col w:w="9040"/>
          </w:cols>
          <w:pgMar w:left="320" w:top="131" w:right="3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78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444"/>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Safety Data</w:t>
            </w:r>
          </w:p>
        </w:tc>
        <w:tc>
          <w:tcPr>
            <w:tcW w:w="9180" w:type="dxa"/>
            <w:vAlign w:val="bottom"/>
          </w:tcPr>
          <w:p>
            <w:pPr>
              <w:ind w:left="120"/>
              <w:spacing w:after="0"/>
              <w:rPr>
                <w:sz w:val="20"/>
                <w:szCs w:val="20"/>
                <w:color w:val="auto"/>
              </w:rPr>
            </w:pPr>
            <w:r>
              <w:rPr>
                <w:rFonts w:ascii="Arial" w:cs="Arial" w:eastAsia="Arial" w:hAnsi="Arial"/>
                <w:sz w:val="18"/>
                <w:szCs w:val="18"/>
                <w:color w:val="auto"/>
                <w:w w:val="92"/>
              </w:rPr>
              <w:t>The most common (³20%) TEAEs included lymphopenia (32%), thrombocytopenia (24%), back pain (24%), diarrhea (24%),</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89"/>
              </w:rPr>
              <w:t>fatigue (20%), asthenia (20%), nausea (20%), headache (20%), nasopharyngitis (20%), pyrexia (20%), arthralgia (20%), cough</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7"/>
              </w:rPr>
              <w:t>(20%), and upper respiratory tract infection (20%). The incidence (16%) and severity of IRRs (mostly Grade 1-2) with</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3"/>
              </w:rPr>
              <w:t>daratumumab subQ was low, the majority of which occurred on Cycle 1 Day 1, and no discontinuations due to IRRs were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5"/>
              </w:rPr>
              <w:t>observed. Grade 3 hypertension was reported as an IRR in 2 patients. Grade 1 injection-site TEAEs were reported with</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0"/>
              </w:rPr>
              <w:t>daratumumab subQ in 3 patients (induration, erythema, injection-site discoloration, and hematoma (n = 1 each)). No treatment</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discontinuations occurred due to TEAEs.</w:t>
            </w:r>
          </w:p>
        </w:tc>
      </w:tr>
      <w:tr>
        <w:trPr>
          <w:trHeight w:val="43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80" w:type="dxa"/>
            <w:vAlign w:val="bottom"/>
          </w:tcPr>
          <w:p>
            <w:pPr>
              <w:ind w:left="120"/>
              <w:spacing w:after="0"/>
              <w:rPr>
                <w:sz w:val="20"/>
                <w:szCs w:val="20"/>
                <w:color w:val="auto"/>
              </w:rPr>
            </w:pPr>
            <w:r>
              <w:rPr>
                <w:rFonts w:ascii="Arial" w:cs="Arial" w:eastAsia="Arial" w:hAnsi="Arial"/>
                <w:sz w:val="18"/>
                <w:szCs w:val="18"/>
                <w:color w:val="auto"/>
              </w:rPr>
              <w:t>Recruiting.</w:t>
            </w:r>
          </w:p>
        </w:tc>
      </w:tr>
      <w:tr>
        <w:trPr>
          <w:trHeight w:val="86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COLUMBA (MMY3012)</w:t>
            </w:r>
          </w:p>
        </w:tc>
        <w:tc>
          <w:tcPr>
            <w:tcW w:w="9180" w:type="dxa"/>
            <w:vAlign w:val="bottom"/>
          </w:tcPr>
          <w:p>
            <w:pPr>
              <w:spacing w:after="0"/>
              <w:rPr>
                <w:sz w:val="24"/>
                <w:szCs w:val="24"/>
                <w:color w:val="auto"/>
              </w:rPr>
            </w:pPr>
          </w:p>
        </w:tc>
      </w:tr>
      <w:tr>
        <w:trPr>
          <w:trHeight w:val="426"/>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80" w:type="dxa"/>
            <w:vAlign w:val="bottom"/>
          </w:tcPr>
          <w:p>
            <w:pPr>
              <w:ind w:left="120"/>
              <w:spacing w:after="0"/>
              <w:rPr>
                <w:sz w:val="20"/>
                <w:szCs w:val="20"/>
                <w:color w:val="auto"/>
              </w:rPr>
            </w:pPr>
            <w:r>
              <w:rPr>
                <w:rFonts w:ascii="Arial" w:cs="Arial" w:eastAsia="Arial" w:hAnsi="Arial"/>
                <w:sz w:val="18"/>
                <w:szCs w:val="18"/>
                <w:color w:val="auto"/>
                <w:w w:val="90"/>
              </w:rPr>
              <w:t>Randomized, open-label, multicenter, non-inferiority, Phase III study intended to compare the efficacy, pharmacokinetics, and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1"/>
              </w:rPr>
              <w:t>IRRs of daratumumab in subQ form versus IV-administered daratumumab in patients with R/R MM. Eligible patients with R/R</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2"/>
              </w:rPr>
              <w:t>MM must have received at least 3 prior lines of therapy, including a PI and an immunomodulatory agent, or must be double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1"/>
              </w:rPr>
              <w:t>refractory to both a PI and an immunomodulatory agent. The co-primary endpoints are ORR at 6 months after randomization</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89"/>
              </w:rPr>
              <w:t>and maximum trough concentration of daratumumab on Cycle 3 Day 1 (each cycle 28 days). Secondary endpoints include IRR</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0"/>
              </w:rPr>
              <w:t>rates, PFS, VGPR and CR (including sCR), time to next therapy, OS, time to response, and DoR. Approximately 480 patients</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will be enrolled and randomly assigned (1:1) to the 2 treatment groups.</w:t>
            </w:r>
          </w:p>
        </w:tc>
      </w:tr>
      <w:tr>
        <w:trPr>
          <w:trHeight w:val="420"/>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80" w:type="dxa"/>
            <w:vAlign w:val="bottom"/>
          </w:tcPr>
          <w:p>
            <w:pPr>
              <w:ind w:left="120"/>
              <w:spacing w:after="0"/>
              <w:rPr>
                <w:sz w:val="20"/>
                <w:szCs w:val="20"/>
                <w:color w:val="auto"/>
              </w:rPr>
            </w:pPr>
            <w:r>
              <w:rPr>
                <w:rFonts w:ascii="Arial" w:cs="Arial" w:eastAsia="Arial" w:hAnsi="Arial"/>
                <w:sz w:val="18"/>
                <w:szCs w:val="18"/>
                <w:color w:val="auto"/>
              </w:rPr>
              <w:t>The study is ongoing, and Janssen has informed us that it expects to report initial results of the study in 2019.</w:t>
            </w: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PLEIADES (MMY2040)</w:t>
            </w:r>
          </w:p>
        </w:tc>
        <w:tc>
          <w:tcPr>
            <w:tcW w:w="9180" w:type="dxa"/>
            <w:vAlign w:val="bottom"/>
          </w:tcPr>
          <w:p>
            <w:pPr>
              <w:spacing w:after="0"/>
              <w:rPr>
                <w:sz w:val="19"/>
                <w:szCs w:val="19"/>
                <w:color w:val="auto"/>
              </w:rPr>
            </w:pPr>
          </w:p>
        </w:tc>
      </w:tr>
      <w:tr>
        <w:trPr>
          <w:trHeight w:val="426"/>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180" w:type="dxa"/>
            <w:vAlign w:val="bottom"/>
          </w:tcPr>
          <w:p>
            <w:pPr>
              <w:ind w:left="120"/>
              <w:spacing w:after="0"/>
              <w:rPr>
                <w:sz w:val="20"/>
                <w:szCs w:val="20"/>
                <w:color w:val="auto"/>
              </w:rPr>
            </w:pPr>
            <w:r>
              <w:rPr>
                <w:rFonts w:ascii="Arial" w:cs="Arial" w:eastAsia="Arial" w:hAnsi="Arial"/>
                <w:sz w:val="18"/>
                <w:szCs w:val="18"/>
                <w:color w:val="auto"/>
                <w:w w:val="90"/>
              </w:rPr>
              <w:t>Non-randomized, multicenter, parallel assignment, open label, Phase II study intended to evaluate the clinical benefit of subQ</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7"/>
              </w:rPr>
              <w:t>daratumumab administered in combination with standard MM treatment regimens in 199 participants with MM. SubQ</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89"/>
              </w:rPr>
              <w:t>daratumumab is being tested in combination with four MM treatment regimens: VRd and VMP in patients with newly diagnosed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5"/>
              </w:rPr>
              <w:t>MM; Rd in patients with R/R MM; and Kd in patients with R/R MM who have received only 1 prior line of therapy for MM</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92"/>
              </w:rPr>
              <w:t>which included at least 2 consecutive cycles of lenalidomide therapy. Primary endpoints are ORR and VGPR or better rate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w w:val="89"/>
              </w:rPr>
              <w:t>18 months after completion of enrolment. Secondary endpoints include ORR and VGPR or better rate after 18 months following</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completion of enrolment, IRRs, CR, DoR and MRD-negative rate.</w:t>
            </w:r>
          </w:p>
        </w:tc>
      </w:tr>
      <w:tr>
        <w:trPr>
          <w:trHeight w:val="432"/>
        </w:trPr>
        <w:tc>
          <w:tcPr>
            <w:tcW w:w="204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180" w:type="dxa"/>
            <w:vAlign w:val="bottom"/>
          </w:tcPr>
          <w:p>
            <w:pPr>
              <w:ind w:left="120"/>
              <w:spacing w:after="0"/>
              <w:rPr>
                <w:sz w:val="20"/>
                <w:szCs w:val="20"/>
                <w:color w:val="auto"/>
              </w:rPr>
            </w:pPr>
            <w:r>
              <w:rPr>
                <w:rFonts w:ascii="Arial" w:cs="Arial" w:eastAsia="Arial" w:hAnsi="Arial"/>
                <w:sz w:val="18"/>
                <w:szCs w:val="18"/>
                <w:color w:val="auto"/>
              </w:rPr>
              <w:t>Ongoing.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Daratumumab for the Treatment of Non-MM Indications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to the ongoing studies of daratumumab in MM, Janssen is conducting a number of studies to assess the use of daratumumab in the treatment of other malignant and pre-malignant diseases in which CD38 is over-expressed, including amyloidosis, acute lymphocytic leukemia, or ALL, and NKT-cell lymphoma. Janssen had also started certain studies of daratumumab in solid tumors, but terminated the ongoing studies in May 2018 after the data monitoring committee in a head-to-head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study of daratumumab for the treatment of NSCLC observed no benefit and a numerical increase in mortality-related events in the combination treatment arm of the study. Janssen is also exploring other possible indications of daratumumab.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Amyloidosis</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Amyloidosis is a disease that occurs when amyloid proteins, which are abnormal proteins, accumulate in tissues and organs via clonal expansion of CD38+ plasma cells. When the amyloid proteins cluster together they form deposits which damage the tissues and organs. Amyloidosis most frequently affects the kidneys, heart, nervous system, liver and digestive tract. Amyloidosis can be treated with chemotherapy, dexamethasone, stem cell transplants and supportive therapies, but there is currently no cure. An estimated 16,000 people in the United States suffer from amyloidosis. Approximately 12-15% of MM patients will develop light chain amyloidosis, or AL amyloidosis. AL amyloidosis is the most common type of amyloidosis in United States, with approximately 3,000 to 4,000 new cases diagnosed annually.</w:t>
      </w:r>
    </w:p>
    <w:p>
      <w:pPr>
        <w:spacing w:after="0" w:line="198"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Janssen is currently conducting the Phase III ANDROMEDA study of daratumumab in combination with certain other therapies for the treatment of frontline AL amyloidosis. Based on the safety run-in of this study, Janssen reported that daratumumab in combination with CyBord was observed to be tolerable in patients with AL amyloidosis with a low IRR rate and no new safety signals were observed.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ANDROMEDA (AMY3001)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2912110</wp:posOffset>
            </wp:positionV>
            <wp:extent cx="18688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color w:val="auto"/>
        </w:rPr>
        <w:t>Except for two patients, all remaining patients demonstrated hematologic responses based on IACC Guidelines; IACC, International Amyloidosis Consensus Criteria; LLN, lower limit of normal; iFLC,</w:t>
      </w:r>
    </w:p>
    <w:p>
      <w:pPr>
        <w:spacing w:after="0" w:line="16" w:lineRule="exact"/>
        <w:rPr>
          <w:sz w:val="20"/>
          <w:szCs w:val="20"/>
          <w:color w:val="auto"/>
        </w:rPr>
      </w:pPr>
    </w:p>
    <w:p>
      <w:pPr>
        <w:ind w:right="280"/>
        <w:spacing w:after="0" w:line="204" w:lineRule="auto"/>
        <w:rPr>
          <w:sz w:val="20"/>
          <w:szCs w:val="20"/>
          <w:color w:val="auto"/>
        </w:rPr>
      </w:pPr>
      <w:r>
        <w:rPr>
          <w:rFonts w:ascii="Arial" w:cs="Arial" w:eastAsia="Arial" w:hAnsi="Arial"/>
          <w:sz w:val="13"/>
          <w:szCs w:val="13"/>
          <w:color w:val="auto"/>
        </w:rPr>
        <w:t xml:space="preserve">involved free light chain. </w:t>
      </w:r>
      <w:r>
        <w:rPr>
          <w:rFonts w:ascii="Arial" w:cs="Arial" w:eastAsia="Arial" w:hAnsi="Arial"/>
          <w:sz w:val="22"/>
          <w:szCs w:val="22"/>
          <w:color w:val="auto"/>
          <w:vertAlign w:val="superscript"/>
        </w:rPr>
        <w:t>a</w:t>
      </w:r>
      <w:r>
        <w:rPr>
          <w:rFonts w:ascii="Arial" w:cs="Arial" w:eastAsia="Arial" w:hAnsi="Arial"/>
          <w:sz w:val="13"/>
          <w:szCs w:val="13"/>
          <w:color w:val="auto"/>
        </w:rPr>
        <w:t>Patients with negative serum and urine immunofixation and normalization of involved FLC level; if uninvolved FLC level is below LLN and FLC ratio is abnormal or normal, patient will be assigned to iFLC-CR (involved FLC CR) response category.</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Source: Janssen Presentation at ASCO, June 2018</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520" w:type="dxa"/>
            <w:vAlign w:val="bottom"/>
          </w:tcPr>
          <w:p>
            <w:pPr>
              <w:spacing w:after="0"/>
              <w:rPr>
                <w:sz w:val="17"/>
                <w:szCs w:val="17"/>
                <w:color w:val="auto"/>
              </w:rPr>
            </w:pPr>
          </w:p>
        </w:tc>
      </w:tr>
      <w:tr>
        <w:trPr>
          <w:trHeight w:val="444"/>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520" w:type="dxa"/>
            <w:vAlign w:val="bottom"/>
          </w:tcPr>
          <w:p>
            <w:pPr>
              <w:ind w:left="440"/>
              <w:spacing w:after="0"/>
              <w:rPr>
                <w:sz w:val="20"/>
                <w:szCs w:val="20"/>
                <w:color w:val="auto"/>
              </w:rPr>
            </w:pPr>
            <w:r>
              <w:rPr>
                <w:rFonts w:ascii="Arial" w:cs="Arial" w:eastAsia="Arial" w:hAnsi="Arial"/>
                <w:sz w:val="18"/>
                <w:szCs w:val="18"/>
                <w:color w:val="auto"/>
                <w:w w:val="89"/>
              </w:rPr>
              <w:t>Randomized, open-label Phase III study intended to evaluate the efficacy and safety of daratumumab, or D, in combination with</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w w:val="90"/>
              </w:rPr>
              <w:t>cyclophosphamide, or Cy, bortezomib, or Bor, and dexamethasone, or d, or together CyBord and, together with daratumumab,</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w w:val="90"/>
              </w:rPr>
              <w:t>D-CyBord, compared to CyBord alone in the treatment of frontline AL amyloidosis. Approximately 360 patients are expected to</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w w:val="88"/>
              </w:rPr>
              <w:t>be enrolled in the study. The primary endpoint of the study is overall Complete Hematologic Response, or CHR, according to the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w w:val="93"/>
              </w:rPr>
              <w:t>International Amyloidosis Consensus Criteria, which refers to the normalization of free light chain levels and ratio, negative</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w w:val="89"/>
              </w:rPr>
              <w:t>serum and urine immunofixation, after approximately three years. Secondary endpoints include PFS, Major Organ Deterioration</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20" w:type="dxa"/>
            <w:vAlign w:val="bottom"/>
          </w:tcPr>
          <w:p>
            <w:pPr>
              <w:ind w:left="440"/>
              <w:spacing w:after="0"/>
              <w:rPr>
                <w:sz w:val="20"/>
                <w:szCs w:val="20"/>
                <w:color w:val="auto"/>
              </w:rPr>
            </w:pPr>
            <w:r>
              <w:rPr>
                <w:rFonts w:ascii="Arial" w:cs="Arial" w:eastAsia="Arial" w:hAnsi="Arial"/>
                <w:sz w:val="18"/>
                <w:szCs w:val="18"/>
                <w:color w:val="auto"/>
              </w:rPr>
              <w:t>PFS, or MOD-PFS, ORR, OS, VGPR and time to next treatment.</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0" w:lineRule="exact"/>
        <w:rPr>
          <w:sz w:val="20"/>
          <w:szCs w:val="20"/>
          <w:color w:val="auto"/>
        </w:rPr>
      </w:pPr>
    </w:p>
    <w:p>
      <w:pPr>
        <w:ind w:left="180"/>
        <w:spacing w:after="0" w:line="254" w:lineRule="auto"/>
        <w:rPr>
          <w:sz w:val="20"/>
          <w:szCs w:val="20"/>
          <w:color w:val="auto"/>
        </w:rPr>
      </w:pPr>
      <w:r>
        <w:rPr>
          <w:rFonts w:ascii="Arial" w:cs="Arial" w:eastAsia="Arial" w:hAnsi="Arial"/>
          <w:sz w:val="18"/>
          <w:szCs w:val="18"/>
          <w:i w:val="1"/>
          <w:iCs w:val="1"/>
          <w:color w:val="auto"/>
        </w:rPr>
        <w:t xml:space="preserve">Safety Run-in Results </w:t>
      </w:r>
      <w:r>
        <w:rPr>
          <w:rFonts w:ascii="Arial" w:cs="Arial" w:eastAsia="Arial" w:hAnsi="Arial"/>
          <w:sz w:val="18"/>
          <w:szCs w:val="18"/>
          <w:color w:val="auto"/>
        </w:rPr>
        <w:t>(Presented at American Society of Clinical Oncology, or ASCO, Annual Meeting,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 w:lineRule="exact"/>
        <w:rPr>
          <w:sz w:val="20"/>
          <w:szCs w:val="20"/>
          <w:color w:val="auto"/>
        </w:rPr>
      </w:pPr>
      <w:r>
        <w:rPr>
          <w:sz w:val="20"/>
          <w:szCs w:val="20"/>
          <w:color w:val="auto"/>
        </w:rPr>
        <w:br w:type="column"/>
      </w:r>
    </w:p>
    <w:p>
      <w:pPr>
        <w:ind w:right="140"/>
        <w:spacing w:after="0" w:line="284" w:lineRule="auto"/>
        <w:rPr>
          <w:sz w:val="20"/>
          <w:szCs w:val="20"/>
          <w:color w:val="auto"/>
        </w:rPr>
      </w:pPr>
      <w:r>
        <w:rPr>
          <w:rFonts w:ascii="Arial" w:cs="Arial" w:eastAsia="Arial" w:hAnsi="Arial"/>
          <w:sz w:val="16"/>
          <w:szCs w:val="16"/>
          <w:color w:val="auto"/>
        </w:rPr>
        <w:t>The safety run-in of D-CyBord included 25 eligible patients with 1 or more involved organs and ECOG score lower than or equal to 2. Patients received a concentrated co-formulation of daratumumab (1,800 mg in 15 mL) and recombinant human hyaluronidase enzyme, or rHuPH20 (30,000 U) in a single, pre-mixed vial, given by manual subQ injection QW, in Cycles 1-2,</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Q2W in Cycles 3-6, and Q4W thereafter up to 2 years. Cy 300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PO or IV and Bor 1.3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subQ were given on Days 1, 8, 15, 22 of each 28-day cycle for up to 6 cycles and d 40 mg was given QW. Dosing was staggered more than or equal to</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48 hours between patients to assess IRRs. Safety was evaluated after 10 or more patients received 1 or more treatment cycles. The 25 patients participating in the safety run-in had a median age of 68 (range: 35-83) years and a median of 61 (range: 16-157) days from diagnosis. Patients had a median of 2 (range: 1-3) involved organ, with kidney involvement affecting 60% of patients and 60% of patients with 2 or more organs involved. At baseline, 24% and 56% of patients were grouped into Mayo Clinic cardiac stage I and II, respectively, and 88% of patients had an ECOG score of less than or equal to 1. Patients received a median of 4 (range: 1-7) treatment cycles with a median duration of 3.1 (range: 0.2-5.8) months of treatment.</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safety run, the most common (³20%) TEAEs were diarrhea (48%), peripheral edema (36%), nausea (32%), anemia (32%), lymphopenia (28%), fatigue (28%), constipation (28%), coughing (24%), upper respiratory tract infection (24%), injection site erythema (20%), hyperglycemia (20%) and hypokalemia (20%). Dypnea and peripheral edema were reported in 3 (12%), and 9 (36%), respectively. Grade 3/4 TEAEs of hypertension, diarrhea and anemia occurred in 2 (8%) patients each and serious TEAEs of anemia, peripheral swelling, cellulitis, myopathy and acute kidney injury occurred in 1 (4%) patient each. Grade 1 IRRs occurred in 1 (4%) patient.</w:t>
      </w:r>
    </w:p>
    <w:p>
      <w:pPr>
        <w:spacing w:after="0" w:line="174" w:lineRule="exact"/>
        <w:rPr>
          <w:sz w:val="20"/>
          <w:szCs w:val="20"/>
          <w:color w:val="auto"/>
        </w:rPr>
      </w:pPr>
    </w:p>
    <w:p>
      <w:pPr>
        <w:sectPr>
          <w:pgSz w:w="11900" w:h="16838" w:orient="portrait"/>
          <w:cols w:equalWidth="0" w:num="2">
            <w:col w:w="1840" w:space="320"/>
            <w:col w:w="9080"/>
          </w:cols>
          <w:pgMar w:left="320" w:top="108" w:right="339" w:bottom="1440" w:gutter="0" w:footer="0" w:header="0"/>
          <w:type w:val="continuous"/>
        </w:sect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5"/>
          <w:szCs w:val="15"/>
          <w:color w:val="auto"/>
        </w:rPr>
        <w:t>Janssen announced in June 2018 that randomization had begun.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Lymphocytic Leukemia</w:t>
      </w:r>
    </w:p>
    <w:p>
      <w:pPr>
        <w:spacing w:after="0" w:line="225" w:lineRule="exact"/>
        <w:rPr>
          <w:sz w:val="20"/>
          <w:szCs w:val="20"/>
          <w:color w:val="auto"/>
        </w:rPr>
      </w:pPr>
    </w:p>
    <w:p>
      <w:pPr>
        <w:ind w:right="20" w:firstLine="341"/>
        <w:spacing w:after="0" w:line="285" w:lineRule="auto"/>
        <w:rPr>
          <w:sz w:val="20"/>
          <w:szCs w:val="20"/>
          <w:color w:val="auto"/>
        </w:rPr>
      </w:pPr>
      <w:r>
        <w:rPr>
          <w:rFonts w:ascii="Arial" w:cs="Arial" w:eastAsia="Arial" w:hAnsi="Arial"/>
          <w:sz w:val="16"/>
          <w:szCs w:val="16"/>
          <w:color w:val="auto"/>
        </w:rPr>
        <w:t>Acute lymphocytic leukemia, or ALL, is a type of blood cancer and is also known as acute lymphoblastic leukemia or acute lymphoid leukemia. The risk for developing ALL is highest in children younger than 5 years of age. The risk then declines slowly until the mid-20s, and begins to rise again slowly after age</w:t>
      </w:r>
    </w:p>
    <w:p>
      <w:pPr>
        <w:spacing w:after="0" w:line="1" w:lineRule="exact"/>
        <w:rPr>
          <w:sz w:val="20"/>
          <w:szCs w:val="20"/>
          <w:color w:val="auto"/>
        </w:rPr>
      </w:pPr>
    </w:p>
    <w:p>
      <w:pPr>
        <w:ind w:right="80" w:firstLine="8"/>
        <w:spacing w:after="0" w:line="255"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Overall, about 4 of every 10 cases of ALL are in adults. Although most cases of ALL occur in children, most deaths from ALL (about 4 out of 5) occur in adults. According to the American Cancer Society, about 5,930 people are expected to be diagnosed with ALL and 1,500 people are expected to die from ALL in the United States in 2019. ALL starts from white blood cells in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bone marrow. The bone marrow produces immature cells that develop into leukemic white blood cells called lymphoblasts. These abnormal cells are unable to function properly, and they can build up and crowd out healthy cells. ALL invades the blood and can spread throughout the body to other organs, such as the liver, spleen, and lymph nodes, but it does not normally produce tumors. As an acute type of leukemia, it can progress quickly and, without treatment, can be fatal within a few months. Standard treatment for ALL can include one or more of chemotherapy, targeted therapy to attack specific abnormalities of the cells, radiation therapy and stem cell transplant. In addition, clinical studies for new treatments for ALL are ongoing, including Janssen's Phase II study for daratumumab in the treatment of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ALL2005</w:t>
      </w:r>
    </w:p>
    <w:p>
      <w:pPr>
        <w:sectPr>
          <w:pgSz w:w="11900" w:h="16838" w:orient="portrait"/>
          <w:cols w:equalWidth="0" w:num="1">
            <w:col w:w="11220"/>
          </w:cols>
          <w:pgMar w:left="320" w:top="131" w:right="359" w:bottom="1440" w:gutter="0" w:footer="0" w:header="0"/>
        </w:sect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Design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non-randomized, open-label, multicenter, Phase II, parallel assignment study to evaluate the efficacy and safety of daratumumab in pediatric and young adult subjects with R/R Precursor B-cell or T-cell ALL or Lymphoblastic Lymphoma, or LL. Approximately 69 patients are expected to be enrolled in the study. Participants will be treated in one of two cohorts: Cohort 1 will include participants with B-cell ALL/LL in second or greater R/R to at least 2 prior induction regimens; Cohort 2 will include participants with T-cell ALL/LL in first R/R to at least 1 prior induction/consolidation regimen. Participants in Cohort 1 will receive daratumumab in combination with vincristine and prednisone. Participants in Cohort 2 will receive daratumumab in combination with vincristine, prednisone, doxorubicin and peg-asparaginase in Cycle 1 and daratumumab in combination with cyclophosphamide, cytarabine, 6-mercaptopurine and methotrexate in Cycle 2. Each Cycle is 28 days.</w:t>
      </w:r>
    </w:p>
    <w:p>
      <w:pPr>
        <w:spacing w:after="0" w:line="178" w:lineRule="exact"/>
        <w:rPr>
          <w:sz w:val="20"/>
          <w:szCs w:val="20"/>
          <w:color w:val="auto"/>
        </w:rPr>
      </w:pPr>
    </w:p>
    <w:p>
      <w:pPr>
        <w:sectPr>
          <w:pgSz w:w="11900" w:h="16838" w:orient="portrait"/>
          <w:cols w:equalWidth="0" w:num="2">
            <w:col w:w="1440" w:space="720"/>
            <w:col w:w="9060"/>
          </w:cols>
          <w:pgMar w:left="320" w:top="131" w:right="359" w:bottom="1440" w:gutter="0" w:footer="0" w:header="0"/>
          <w:type w:val="continuous"/>
        </w:sectPr>
      </w:pPr>
    </w:p>
    <w:p>
      <w:pPr>
        <w:ind w:left="2160" w:right="40"/>
        <w:spacing w:after="0" w:line="302" w:lineRule="auto"/>
        <w:rPr>
          <w:sz w:val="20"/>
          <w:szCs w:val="20"/>
          <w:color w:val="auto"/>
        </w:rPr>
      </w:pPr>
      <w:r>
        <w:rPr>
          <w:rFonts w:ascii="Arial" w:cs="Arial" w:eastAsia="Arial" w:hAnsi="Arial"/>
          <w:sz w:val="16"/>
          <w:szCs w:val="16"/>
          <w:color w:val="auto"/>
        </w:rPr>
        <w:t>The primary endpoints of the study are CR for B-cell ALL within 2 Cycles and CR for T-cell ALL at the end of Cycle 1. In each case, CR is defined as less than 5% blasts in the bone marrow; no evidence of circulating blasts or extramedullary disease; full recovery of peripheral blood counts (platelets greater than 100*10</w:t>
      </w:r>
      <w:r>
        <w:rPr>
          <w:rFonts w:ascii="Arial" w:cs="Arial" w:eastAsia="Arial" w:hAnsi="Arial"/>
          <w:sz w:val="13"/>
          <w:szCs w:val="13"/>
          <w:color w:val="auto"/>
        </w:rPr>
        <w:t>9</w:t>
      </w:r>
      <w:r>
        <w:rPr>
          <w:rFonts w:ascii="Arial" w:cs="Arial" w:eastAsia="Arial" w:hAnsi="Arial"/>
          <w:sz w:val="16"/>
          <w:szCs w:val="16"/>
          <w:color w:val="auto"/>
        </w:rPr>
        <w:t>/L and absolute neutrophil count, or ANC, greater than</w:t>
      </w:r>
    </w:p>
    <w:p>
      <w:pPr>
        <w:ind w:left="2160"/>
        <w:spacing w:after="0" w:line="269" w:lineRule="auto"/>
        <w:rPr>
          <w:sz w:val="20"/>
          <w:szCs w:val="20"/>
          <w:color w:val="auto"/>
        </w:rPr>
      </w:pPr>
      <w:r>
        <w:rPr>
          <w:rFonts w:ascii="Arial" w:cs="Arial" w:eastAsia="Arial" w:hAnsi="Arial"/>
          <w:sz w:val="18"/>
          <w:szCs w:val="18"/>
          <w:color w:val="auto"/>
        </w:rPr>
        <w:t>1.0*10</w:t>
      </w:r>
      <w:r>
        <w:rPr>
          <w:rFonts w:ascii="Arial" w:cs="Arial" w:eastAsia="Arial" w:hAnsi="Arial"/>
          <w:sz w:val="14"/>
          <w:szCs w:val="14"/>
          <w:color w:val="auto"/>
        </w:rPr>
        <w:t>9</w:t>
      </w:r>
      <w:r>
        <w:rPr>
          <w:rFonts w:ascii="Arial" w:cs="Arial" w:eastAsia="Arial" w:hAnsi="Arial"/>
          <w:sz w:val="18"/>
          <w:szCs w:val="18"/>
          <w:color w:val="auto"/>
        </w:rPr>
        <w:t>/L). Secondary endpoints include ORR, event-free survival, relapse-free survival, OS, percentage of patients MRD negative, percentage of patients to receive an allogenic hematopoietic stem cell transplant, maximum and minimum observed plasma concentration of daratumumab, number of patients with anti-daratumumab antibodies and concentration of daratumumab in cerebrospinal fluid.</w:t>
      </w:r>
    </w:p>
    <w:p>
      <w:pPr>
        <w:sectPr>
          <w:pgSz w:w="11900" w:h="16838" w:orient="portrait"/>
          <w:cols w:equalWidth="0" w:num="1">
            <w:col w:w="11220"/>
          </w:cols>
          <w:pgMar w:left="320" w:top="131" w:right="359" w:bottom="1440" w:gutter="0" w:footer="0" w:header="0"/>
          <w:type w:val="continuous"/>
        </w:sectPr>
      </w:pP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Study Status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Recruiting.</w:t>
      </w:r>
    </w:p>
    <w:p>
      <w:pPr>
        <w:spacing w:after="0" w:line="200" w:lineRule="exact"/>
        <w:rPr>
          <w:sz w:val="20"/>
          <w:szCs w:val="20"/>
          <w:color w:val="auto"/>
        </w:rPr>
      </w:pPr>
    </w:p>
    <w:p>
      <w:pPr>
        <w:sectPr>
          <w:pgSz w:w="11900" w:h="16838" w:orient="portrait"/>
          <w:cols w:equalWidth="0" w:num="2">
            <w:col w:w="1440" w:space="720"/>
            <w:col w:w="9060"/>
          </w:cols>
          <w:pgMar w:left="320" w:top="131"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Killer / T-cell Lymphoma, Nasal Type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Natural killer / T-cell lymphoma, or NKTCL, Nasal Type is a non-Hodgkin lymphoma, or NHL, that is almost always associated with Epstein-Barr virus. Early-stage, localized nasal disease is highly curable with combination therapy. However, for disseminated and refractory cases, the 5-year survival rate is below 10%. Clinical data from NKTCL patients suggest CD38 as a new prognostic biomarker and novel target for therapy. Janssen is currently conducting a Phase II study of daratumumab for the treatment of patients with R/R NKTCL.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46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450"/>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NKT2001</w:t>
            </w:r>
          </w:p>
        </w:tc>
        <w:tc>
          <w:tcPr>
            <w:tcW w:w="9480" w:type="dxa"/>
            <w:vAlign w:val="bottom"/>
          </w:tcPr>
          <w:p>
            <w:pPr>
              <w:spacing w:after="0"/>
              <w:rPr>
                <w:sz w:val="24"/>
                <w:szCs w:val="24"/>
                <w:color w:val="auto"/>
              </w:rPr>
            </w:pPr>
          </w:p>
        </w:tc>
      </w:tr>
      <w:tr>
        <w:trPr>
          <w:trHeight w:val="426"/>
        </w:trPr>
        <w:tc>
          <w:tcPr>
            <w:tcW w:w="172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480" w:type="dxa"/>
            <w:vAlign w:val="bottom"/>
          </w:tcPr>
          <w:p>
            <w:pPr>
              <w:ind w:left="440"/>
              <w:spacing w:after="0"/>
              <w:rPr>
                <w:sz w:val="20"/>
                <w:szCs w:val="20"/>
                <w:color w:val="auto"/>
              </w:rPr>
            </w:pPr>
            <w:r>
              <w:rPr>
                <w:rFonts w:ascii="Arial" w:cs="Arial" w:eastAsia="Arial" w:hAnsi="Arial"/>
                <w:sz w:val="18"/>
                <w:szCs w:val="18"/>
                <w:color w:val="auto"/>
                <w:w w:val="88"/>
              </w:rPr>
              <w:t>An open-label, Phase II, single group assignment study to assess the clinical efficacy and safety of daratumumab in patients with</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w w:val="95"/>
              </w:rPr>
              <w:t>R/R extranodal NKTCL, nasal type. Approximately 32 patients are expected to participate in the study. Stage 1 enrolled</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w w:val="89"/>
              </w:rPr>
              <w:t>16 patients and stage 2 will enroll another 16. The primary endpoint of the study is ORR from the date of the first daratumumab</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w w:val="88"/>
              </w:rPr>
              <w:t>dose to the date of any response. Secondary endpoints include CR, PFS, DoR, time to response, OS and number of participants</w:t>
            </w:r>
          </w:p>
        </w:tc>
      </w:tr>
      <w:tr>
        <w:trPr>
          <w:trHeight w:val="222"/>
        </w:trPr>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rPr>
              <w:t>with AEs.</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0" w:lineRule="exact"/>
        <w:rPr>
          <w:sz w:val="20"/>
          <w:szCs w:val="20"/>
          <w:color w:val="auto"/>
        </w:rPr>
      </w:pPr>
    </w:p>
    <w:p>
      <w:pPr>
        <w:ind w:left="180"/>
        <w:spacing w:after="0" w:line="298" w:lineRule="auto"/>
        <w:rPr>
          <w:sz w:val="20"/>
          <w:szCs w:val="20"/>
          <w:color w:val="auto"/>
        </w:rPr>
      </w:pPr>
      <w:r>
        <w:rPr>
          <w:rFonts w:ascii="Arial" w:cs="Arial" w:eastAsia="Arial" w:hAnsi="Arial"/>
          <w:sz w:val="16"/>
          <w:szCs w:val="16"/>
          <w:i w:val="1"/>
          <w:iCs w:val="1"/>
          <w:color w:val="auto"/>
        </w:rPr>
        <w:t xml:space="preserve">Initial Stage 1 Results </w:t>
      </w:r>
      <w:r>
        <w:rPr>
          <w:rFonts w:ascii="Arial" w:cs="Arial" w:eastAsia="Arial" w:hAnsi="Arial"/>
          <w:sz w:val="16"/>
          <w:szCs w:val="16"/>
          <w:color w:val="auto"/>
        </w:rPr>
        <w:t>(Presented at ASH, December 2018; data cutoff 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Safety Data</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The primary endpoint of stage 1 was ORR based on blinded independent central review, or BICR. Secondary endpoints included PFS and DoR based on BICR. A protocol-specified interim futility analysis was planned after approximately 15 patients received 1 or more dose of daratumumab and had 1 or more post-baseline disease evaluation. Futility criterion for ORR was defined as at least 1 of 15 patients with CR/PR. A total of 16 patients were treated at the time of clinical cutoff for the interim analysis. Data from stage 1 concluded that daratumumab demonstrated a promising ORR of 35.7% in patients with R/R NKTCL (95% CI: 12.8-64.9) and, at a dosage of 16 mg/kg, was well tolerated with no new or unexpected safety signals and no treatment discontinuations due to TEAEs. Natural killer cell reductions in peripheral blood were observed in all patients after 1 cycle of daratumumab. Stage 2 of the trial is ongoing.</w:t>
      </w:r>
    </w:p>
    <w:p>
      <w:pPr>
        <w:spacing w:after="0" w:line="17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At clinical cutoff, 81.3% of patients discontinued treatment (disease progression: 56.3%, physician decision: 12.5%, patient withdrawal: 12.5%). Median OS was not reached (95% CI: 65-NE), with 6-month OS rate of 58%; all 5 responders remained alive at time of the analysis. There was no clear association between CD38 expression and daratumumab response.</w:t>
      </w:r>
    </w:p>
    <w:p>
      <w:pPr>
        <w:spacing w:after="0" w:line="16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stage 1, 9 (56%) patients had Grade 3/4 TEAEs. The most common were neutropenia, thrombocytopenia, and hypotension (19% each). No patient discontinued treatment due to TEAEs. IRRs occurred in 69% of patients, all during the first infusion, and all patients recovered and IRRs were resolved on the same day. Three (19%) patients died within 30 days of last treatment dose, 2 of which were due to AEs (both pneumonia) unrelated to daratumumab and 1 due to PD.</w:t>
      </w:r>
    </w:p>
    <w:p>
      <w:pPr>
        <w:spacing w:after="0" w:line="166" w:lineRule="exact"/>
        <w:rPr>
          <w:sz w:val="20"/>
          <w:szCs w:val="20"/>
          <w:color w:val="auto"/>
        </w:rPr>
      </w:pPr>
    </w:p>
    <w:p>
      <w:pPr>
        <w:sectPr>
          <w:pgSz w:w="11900" w:h="16838" w:orient="portrait"/>
          <w:cols w:equalWidth="0" w:num="2">
            <w:col w:w="1740" w:space="420"/>
            <w:col w:w="9080"/>
          </w:cols>
          <w:pgMar w:left="320" w:top="108" w:right="339" w:bottom="1440" w:gutter="0" w:footer="0" w:header="0"/>
          <w:type w:val="continuous"/>
        </w:sectPr>
      </w:pPr>
    </w:p>
    <w:p>
      <w:pPr>
        <w:ind w:left="180"/>
        <w:spacing w:after="0"/>
        <w:tabs>
          <w:tab w:leader="none" w:pos="214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6"/>
          <w:szCs w:val="16"/>
          <w:color w:val="auto"/>
        </w:rPr>
        <w:t>Recruiting.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Janssen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Daratumumab is being developed by Janssen under an exclusive worldwide license to develop, manufacture and commercialize daratumumab. In August 2012, we entered into a global license and development agreement for daratumumab with Janssen, one of the Janssen Pharmaceutical Companies of Johnson &amp; Johnson. We recorded an upfront license fee of $55.0 million and Johnson &amp; Johnson Development Corporation, or JJDC, invested DKK 475.2 million (approximately $80.0 million) to subscribe for 5.4 million newly issued shares of Genmab at a price of DKK 88 per share. Under this agreement, we could be entitled to up to approximately $1.0 billion in development, regulatory and sales milestones, in addition to tiered royalties between 12% and 20% based on Janssen's annual net product sales. The 20% royalty tier will be payable on the portion of worldwide net sales in excess of $3.0 billion in any calendar year. The royalties payable by Janssen are limited in time and subject to reduction on a country-by-country basis for customary reduction events, including upon patent expiration or invalidation in the relevant country and upon the first commercial sale of a biosimilar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product patent (as defined in the agreement) covering daratumumab in such country. Although Janssen is fully responsible for developing and commercializing daratumumab under this agreement, and all costs associated therewith, we participate in the development strategy for daratumumab through regular meetings of the joint development and steering committee. See "—Product and Technology Collaborations—Collaborations for our Marketed Products—Janssen Daratumumab License and Development Agreement" for more information regarding our agreement with Janssen.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2012, we have recorded $105.0 million in development milestone payments, $70.0 million in regulatory submission milestone payments,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$246.0 million in first commercial sales milestone payments and $150.0 million in sales milestone payments from Janssen under this agreement. We have also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reported $490.5 million in royalty payments from Janssen since the commercial launch of DARZALEX in 2015. In 2017, we recorded $171.0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and $150.4 million in royalty payments. Based on net sales exceeding $750.0 million in 2017, we moved to the next royalty tier of 13%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issued patents and pending patent applications for daratumumab in numerous jurisdictions, including patents issued in the United States, Europe and Japan. Our issued U.S., European and Japanese patents covering the composition of matter do not begin to expire until March 2026. In addition to our key composition of matter patents, we and Janssen have issued patents and pending patent applications in numerous jurisdictions and for specific formulations, indications and combination therapies that may offer additional protection. See "—Intellectual Property" for more information about our patents and other intellectual property.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Ofatumumab</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Ofatumumab is a human IgG1k mAb that targets an epitope on the CD20 molecule encompassing parts of the small and large extracellular loops. Ofatumumab directs the body's immune system to fight normal and cancerous B-cells. The CD20 molecule is found on the surface of B-cells, the type of cell which is believed to trigger the inflammatory process that leads to MS. The CD20 molecule is not shed from the cell surface and is not internalized following antibody binding. The Fab domain of ofatumumab binds to the CD20 molecule and the Fc domain mediates immune effector functions to result in B-cell lysis </w:t>
      </w:r>
      <w:r>
        <w:rPr>
          <w:rFonts w:ascii="Arial" w:cs="Arial" w:eastAsia="Arial" w:hAnsi="Arial"/>
          <w:sz w:val="18"/>
          <w:szCs w:val="18"/>
          <w:i w:val="1"/>
          <w:iCs w:val="1"/>
          <w:color w:val="auto"/>
        </w:rPr>
        <w:t>in vitro</w:t>
      </w:r>
      <w:r>
        <w:rPr>
          <w:rFonts w:ascii="Arial" w:cs="Arial" w:eastAsia="Arial" w:hAnsi="Arial"/>
          <w:sz w:val="18"/>
          <w:szCs w:val="18"/>
          <w:color w:val="auto"/>
        </w:rPr>
        <w:t>. Data suggest that possible mechanisms of cell lysis include complement-dependent cytotoxicity, or CDC, and antibody-dependent, cell-mediated</w:t>
      </w:r>
      <w:r>
        <w:rPr>
          <w:rFonts w:ascii="Arial" w:cs="Arial" w:eastAsia="Arial" w:hAnsi="Arial"/>
          <w:sz w:val="18"/>
          <w:szCs w:val="18"/>
          <w:i w:val="1"/>
          <w:iCs w:val="1"/>
          <w:color w:val="auto"/>
        </w:rPr>
        <w:t xml:space="preserve"> </w:t>
      </w:r>
      <w:r>
        <w:rPr>
          <w:rFonts w:ascii="Arial" w:cs="Arial" w:eastAsia="Arial" w:hAnsi="Arial"/>
          <w:sz w:val="18"/>
          <w:szCs w:val="18"/>
          <w:color w:val="auto"/>
        </w:rPr>
        <w:t>cytotoxicity, or ADCC.</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November 2002, we announced the launch of our ofatumumab program. From 2002 to 2006, we developed ofatumumab in-house, including obtaining FTD from the FDA in December 2004 and initiating a pivotal Phase III study of ofatumumab in July 2006 for the treatment of patients with CLL who had failed treatment with fludarabine and alemtuzumab or who had failed fludarabine and were intolerant to or ineligible for alemtuzumab. In December 2006, we entered into a co-development and collaboration agreement with GSK, pursuant to which GSK obtained exclusive worldwide rights to develop and commercialize ofatumumab. In 2015, GSK transferred the ofatumumab collaboration for oncology and autoimmune diseases to Novartis. Novartis is now responsible for the development and commercialization of ofatumumab in all potential indications. Under this agreement, we are entitled to royalties of 20% of worldwide net sales of ofatumumab for the treatment of cancer and low double-digit royalties of worldwide net sales of ofatumumab for non-cancer treatments, as well as certain potential regulatory and sales milestones, of which only certain sales milestones remain. Novartis is fully responsible for all costs associated with developing and commercializing ofatumumab.</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GSK and Novartis have obtained marketing approvals for ofatumumab, marketed as Arzerra, for the treatment of certain CLL indications in the United States, the European Union and a number of other countries. Due to significant competition in the CLL treatment space and low and decreasing global demand for Arzerra, on January 22, 2018, Novartis announced that it intends to transition Arzerra from commercial availability to limited availability in non-U.S. markets through managed access programs or alternative solutions for approved CLL indications where applicable and allowed by local regulations, but will continue to market Arzerra for approved CLL indications in the United States and Japan.</w:t>
      </w:r>
    </w:p>
    <w:p>
      <w:pPr>
        <w:spacing w:after="0" w:line="16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Novartis is currently investigating a subQ formulation of ofatumumab for the treatment of relapsing MS, or RMS, in the Phase III ASCLEPIOS I and II clinical studies. Novartis reported that it completed recruitment for these studies in May 2018 and expects to complete the studies during 2019. Subject to study completion and achievement of positive results, Novartis has indicated that it plans to evaluate the potential for a regulatory filing soon thereafter.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would allow for more convenient and less disruptive dosing options for MS patients compared to IV-administered therapies. In addition, the Phase II MIRROR study assessing dose-response effects of ofatumumab on efficacy and safety outcomes in patients with RMS, published in May 2018, showed that treatment with ofatumumab resulted in rapid dose-dependent B-cell depletion, which correlated with efficacy outcomes, with no new or unexpected safety findings.</w:t>
      </w:r>
    </w:p>
    <w:p>
      <w:pPr>
        <w:spacing w:after="0" w:line="17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indicated, data for all ofatumumab clinical studies presented are based on reports we have received from Novartis, reports Novartis has published or presented regarding these studies or information published on clinicaltrials.gov. In addition, our expectations regarding timelines for clinical trial progression or regulatory developments for ofatumumab are generally based on information we have received from Novartis through our collaboration.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Arzerra for the Treatment of Chronic Lymphocytic Leukemia</w:t>
      </w:r>
    </w:p>
    <w:p>
      <w:pPr>
        <w:spacing w:after="0" w:line="225"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Ofatumumab, marketed as Arzerra, has been approved for the treatment of certain CLL indications in the United States, the European Union and a number of other countries. In the United States, Arzerra solution for infusion is approved for use in combination with chlorambucil for the treatment of previously untreated patients with CLL for whom fludarabine-based therapy is considered inappropriate, for use in combination with fludarabine and cyclophosphamide for the treatment of patients with relapsed CLL, and for extended treatment of patients who are in complete or partial response after at least two lines of therapy for recurrent or progressive CLL. In the United States, Arzerra is also indicated as a monotherapy for the treatment of patients with CLL who are refractory to fludarabine and alemtuzumab. In January 2018,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but will continue to market Arzerra for approved CLL indications in the United States and Japan. Novartis announced that it will work with regulatory authorities to establish managed access programs or alternative solutions so that patients benefiting from Arzerra can remain on treatment.</w:t>
      </w:r>
    </w:p>
    <w:p>
      <w:pPr>
        <w:spacing w:after="0" w:line="16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overall safety profile of Arzerra in CLL is based on exposure in clinical trials and the post-marketing setting. The most common side effects for Arzerra include AEs associated with IRRs, cytopenias (neutropenia, anemia, thrombocytopenia), and infections (lower respiratory tract infection, including pneumonia, upper respiratory tract infection, sepsis, including neutropenic sepsis and septic shock, herpes viral infection and urinary tract infection). In addition, the prescribing information for Arzerra includes a warning that Arzerra may cause HBV infection to reoccur, which may cause serious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liver problems and death, and may cause PML, a rare brain infection that causes severe disability and can lead to death.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Ofatumumab for the Treatment of Relapsing Multiple Sclerosis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Sclerosis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Multiple sclerosis, or MS, is a chronic inflammatory, demyelinating and neurodegenerative disorder of the central nervous system that affects the white and grey matter of the brain and spinal cord. MS is one of the most common causes of non-traumatic disability among young and middle-aged adults. There are several different forms of MS. Approximately 85% of patients present with a relapsing-remitting MS disease course at onset, which is characterized by unpredictable recurrent attacks where the symptoms usually evolve over days and are followed by either complete, partial or no neurological recovery. After tissue damage accumulates over many years and reaches a critical threshold, about two-thirds of patients transition to secondary progressive MS, or SPMS, where pre-existing neurologic deficits gradually worsen over time. Relapses can be seen during the early stages of SPMS, but are uncommon as the disease progresses further. About 10% to 15% of patients have gradually worsening manifestations from the onset without clinical relapses, known as primary progressive MS, or PPMS. Patients with PPMS tend to be older, have fewer abnormalities on brain MRI, and generally respond less effectively to standard MS therapies. In 2016, it was estimated that MS affects approximately 400,000 individuals in the United States and 2.5 million worldwide. Initial symptoms typically occur between 20 and 50 years of age, and women are three times more likely to develop MS than men.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Ofatumumab and the Treatment of Multiple Sclerosis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There is currently no cure for MS. Treatment typically focuses on speeding recovery from attacks, slowing the progression of the disease and managing MS symptoms. As noted above, approximately 85% of MS patients initially present with RMS before progressing to SPMS in certain cases. Acute treatment of MS attacks typically includes corticosteroids, such as prednisone and methylprednisolone, and plasmapheresis, in which plasma is removed and separated from blood cells, which are mixed with a protein solution and reinjected into the body. Patients rely on a number of disease-modifying therapies, or DMTs, to modify the progression of MS, including beta interferons and B-cell therapies. The FDA has approved more than a dozen DMTs for the treatment of RMS. The only FDA approved DMT for PPMS is ocrelizumab. Treatment to manage MS symptoms also include physical therapy, muscle relaxants and medications to reduce fatigue, depression, pain or other symptoms.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Novartis is currently assessing the efficacy and safety of a subQ formulation of ofatumumab for the treatment of patients with RMS in the Phase III ASCLEPIOS I and II clinical studies. We believe that ofatumumab may potentially offer a number of competitive advantages in the MS treatment market compared to current B-cell therapies. In particular, if its efficacy and safety can be demonstrated in clinical trials, the low-dose subQ administration of ofatumumab currently in clinical testing would allow for more convenient and less disruptive dosing options for MS patients compared to IV-administered therapies. In addition, the Phase II MIRROR study assessing dose-response effects of ofatumumab on efficacy and safety outcomes for the treatment of patients with RMS, published in May 2018, showed that treatment with ofatumumab resulted in rapid dose-dependent B-cell depletion, which correlated with efficacy outcomes. The MIRROR study also showed manageable safety for the low-dose subQ formulation, with the most common AEs being IRRs, mostly of mild to moderate severity, and the only SAEs to occur during the treatment phase were IRRs occurring in three patients. The majority of SAEs occurred in patients receiving the highest dose of 60 mg of ofatumumab every 12 weeks or every 4 weeks, with fewer SAEs occurring in patients receiving smaller doses of ofatumumab or at lower frequency. The ongoing Phase III ASCLEPIOS I and II trials are testing these efficacy and safety findings in over 1,800 RMS patients receiving 20 mg of ofatumumab every 4 weeks. Novartis reported that it expects to complete the studies during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Novartis is currently conducting two Phase III clinical studies to test the efficacy and safety of a subQ formulation of ofatumumab for the treatment of patients with RMS, ASCLEPIOS I and II. The results of the Phase II MIRROR safety and efficacy study of ofatumumab in patients with MS supported Novartis' decision to proceed with the ASCLEPIOS I and II studies. Novartis reported that it completed recruitment for the ASCLEPIOS I and II studies in May 2018 and expects to complete the studies during 2019. Subject to study completion and achievement of positive results, Novartis has indicated that it plans to evaluate the potential for a regulatory filing soon thereafter. Each of these studies is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MIRROR</w:t>
            </w:r>
          </w:p>
        </w:tc>
        <w:tc>
          <w:tcPr>
            <w:tcW w:w="10180" w:type="dxa"/>
            <w:vAlign w:val="bottom"/>
          </w:tcPr>
          <w:p>
            <w:pPr>
              <w:spacing w:after="0"/>
              <w:rPr>
                <w:sz w:val="19"/>
                <w:szCs w:val="19"/>
                <w:color w:val="auto"/>
              </w:rPr>
            </w:pPr>
          </w:p>
        </w:tc>
      </w:tr>
      <w:tr>
        <w:trPr>
          <w:trHeight w:val="426"/>
        </w:trPr>
        <w:tc>
          <w:tcPr>
            <w:tcW w:w="1060" w:type="dxa"/>
            <w:vAlign w:val="bottom"/>
          </w:tcPr>
          <w:p>
            <w:pPr>
              <w:ind w:left="180"/>
              <w:spacing w:after="0"/>
              <w:rPr>
                <w:sz w:val="20"/>
                <w:szCs w:val="20"/>
                <w:color w:val="auto"/>
              </w:rPr>
            </w:pPr>
            <w:r>
              <w:rPr>
                <w:rFonts w:ascii="Arial" w:cs="Arial" w:eastAsia="Arial" w:hAnsi="Arial"/>
                <w:sz w:val="18"/>
                <w:szCs w:val="18"/>
                <w:i w:val="1"/>
                <w:iCs w:val="1"/>
                <w:color w:val="auto"/>
              </w:rPr>
              <w:t>Study</w:t>
            </w:r>
          </w:p>
        </w:tc>
        <w:tc>
          <w:tcPr>
            <w:tcW w:w="10180" w:type="dxa"/>
            <w:vAlign w:val="bottom"/>
          </w:tcPr>
          <w:p>
            <w:pPr>
              <w:ind w:left="80"/>
              <w:spacing w:after="0"/>
              <w:rPr>
                <w:sz w:val="20"/>
                <w:szCs w:val="20"/>
                <w:color w:val="auto"/>
              </w:rPr>
            </w:pPr>
            <w:r>
              <w:rPr>
                <w:rFonts w:ascii="Arial" w:cs="Arial" w:eastAsia="Arial" w:hAnsi="Arial"/>
                <w:sz w:val="18"/>
                <w:szCs w:val="18"/>
                <w:color w:val="auto"/>
                <w:w w:val="91"/>
              </w:rPr>
              <w:t>232-patient Phase IIb double-blind study assessing dose-response effects of ofatumumab on efficacy and safety outcomes in patients with</w:t>
            </w:r>
          </w:p>
        </w:tc>
      </w:tr>
      <w:tr>
        <w:trPr>
          <w:trHeight w:val="222"/>
        </w:trPr>
        <w:tc>
          <w:tcPr>
            <w:tcW w:w="1060" w:type="dxa"/>
            <w:vAlign w:val="bottom"/>
          </w:tcPr>
          <w:p>
            <w:pPr>
              <w:ind w:left="180"/>
              <w:spacing w:after="0"/>
              <w:rPr>
                <w:sz w:val="20"/>
                <w:szCs w:val="20"/>
                <w:color w:val="auto"/>
              </w:rPr>
            </w:pPr>
            <w:r>
              <w:rPr>
                <w:rFonts w:ascii="Arial" w:cs="Arial" w:eastAsia="Arial" w:hAnsi="Arial"/>
                <w:sz w:val="18"/>
                <w:szCs w:val="18"/>
                <w:i w:val="1"/>
                <w:iCs w:val="1"/>
                <w:color w:val="auto"/>
              </w:rPr>
              <w:t>Design</w:t>
            </w:r>
          </w:p>
        </w:tc>
        <w:tc>
          <w:tcPr>
            <w:tcW w:w="10180" w:type="dxa"/>
            <w:vAlign w:val="bottom"/>
          </w:tcPr>
          <w:p>
            <w:pPr>
              <w:ind w:left="80"/>
              <w:spacing w:after="0"/>
              <w:rPr>
                <w:sz w:val="20"/>
                <w:szCs w:val="20"/>
                <w:color w:val="auto"/>
              </w:rPr>
            </w:pPr>
            <w:r>
              <w:rPr>
                <w:rFonts w:ascii="Arial" w:cs="Arial" w:eastAsia="Arial" w:hAnsi="Arial"/>
                <w:sz w:val="18"/>
                <w:szCs w:val="18"/>
                <w:color w:val="auto"/>
                <w:w w:val="94"/>
              </w:rPr>
              <w:t>RMS. The primary endpoint of the study was the cumulative number of new gadolinium-enhancing lesions (per brain MRI) at week 12.</w:t>
            </w:r>
          </w:p>
        </w:tc>
      </w:tr>
      <w:tr>
        <w:trPr>
          <w:trHeight w:val="426"/>
        </w:trPr>
        <w:tc>
          <w:tcPr>
            <w:tcW w:w="1060" w:type="dxa"/>
            <w:vAlign w:val="bottom"/>
          </w:tcPr>
          <w:p>
            <w:pPr>
              <w:ind w:left="180"/>
              <w:spacing w:after="0"/>
              <w:rPr>
                <w:sz w:val="20"/>
                <w:szCs w:val="20"/>
                <w:color w:val="auto"/>
              </w:rPr>
            </w:pPr>
            <w:r>
              <w:rPr>
                <w:rFonts w:ascii="Arial" w:cs="Arial" w:eastAsia="Arial" w:hAnsi="Arial"/>
                <w:sz w:val="18"/>
                <w:szCs w:val="18"/>
                <w:i w:val="1"/>
                <w:iCs w:val="1"/>
                <w:color w:val="auto"/>
              </w:rPr>
              <w:t>Results</w:t>
            </w:r>
          </w:p>
        </w:tc>
        <w:tc>
          <w:tcPr>
            <w:tcW w:w="10180" w:type="dxa"/>
            <w:vAlign w:val="bottom"/>
          </w:tcPr>
          <w:p>
            <w:pPr>
              <w:ind w:left="80"/>
              <w:spacing w:after="0"/>
              <w:rPr>
                <w:sz w:val="20"/>
                <w:szCs w:val="20"/>
                <w:color w:val="auto"/>
              </w:rPr>
            </w:pPr>
            <w:r>
              <w:rPr>
                <w:rFonts w:ascii="Arial" w:cs="Arial" w:eastAsia="Arial" w:hAnsi="Arial"/>
                <w:sz w:val="18"/>
                <w:szCs w:val="18"/>
                <w:color w:val="auto"/>
                <w:w w:val="88"/>
              </w:rPr>
              <w:t>Imaging showed that all subQ ofatumumab doses demonstrated efficacy (most robust: cumulative doses ³30 mg/12 wk). The study determined</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(Published</w:t>
            </w:r>
          </w:p>
        </w:tc>
        <w:tc>
          <w:tcPr>
            <w:tcW w:w="10180" w:type="dxa"/>
            <w:vAlign w:val="bottom"/>
          </w:tcPr>
          <w:p>
            <w:pPr>
              <w:ind w:left="80"/>
              <w:spacing w:after="0"/>
              <w:rPr>
                <w:sz w:val="20"/>
                <w:szCs w:val="20"/>
                <w:color w:val="auto"/>
              </w:rPr>
            </w:pPr>
            <w:r>
              <w:rPr>
                <w:rFonts w:ascii="Arial" w:cs="Arial" w:eastAsia="Arial" w:hAnsi="Arial"/>
                <w:sz w:val="18"/>
                <w:szCs w:val="18"/>
                <w:color w:val="auto"/>
                <w:w w:val="91"/>
              </w:rPr>
              <w:t>that this treatment effect also occurred with dosage regimens that only partially depleted circulating B-cells. The cumulative number of new</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in</w:t>
            </w:r>
          </w:p>
        </w:tc>
        <w:tc>
          <w:tcPr>
            <w:tcW w:w="10180" w:type="dxa"/>
            <w:vAlign w:val="bottom"/>
          </w:tcPr>
          <w:p>
            <w:pPr>
              <w:ind w:left="80"/>
              <w:spacing w:after="0"/>
              <w:rPr>
                <w:sz w:val="20"/>
                <w:szCs w:val="20"/>
                <w:color w:val="auto"/>
              </w:rPr>
            </w:pPr>
            <w:r>
              <w:rPr>
                <w:rFonts w:ascii="Arial" w:cs="Arial" w:eastAsia="Arial" w:hAnsi="Arial"/>
                <w:sz w:val="18"/>
                <w:szCs w:val="18"/>
                <w:color w:val="auto"/>
                <w:w w:val="88"/>
              </w:rPr>
              <w:t>lesions was reduced by 65% for all ofatumumab dose groups vs placebo (p &lt; 0.001). Post hoc analysis (excluding weeks 1-4) estimated a ³90%</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w w:val="98"/>
              </w:rPr>
              <w:t>Neurology,</w:t>
            </w:r>
          </w:p>
        </w:tc>
        <w:tc>
          <w:tcPr>
            <w:tcW w:w="10180" w:type="dxa"/>
            <w:vAlign w:val="bottom"/>
          </w:tcPr>
          <w:p>
            <w:pPr>
              <w:ind w:left="80"/>
              <w:spacing w:after="0"/>
              <w:rPr>
                <w:sz w:val="20"/>
                <w:szCs w:val="20"/>
                <w:color w:val="auto"/>
              </w:rPr>
            </w:pPr>
            <w:r>
              <w:rPr>
                <w:rFonts w:ascii="Arial" w:cs="Arial" w:eastAsia="Arial" w:hAnsi="Arial"/>
                <w:sz w:val="18"/>
                <w:szCs w:val="18"/>
                <w:color w:val="auto"/>
                <w:w w:val="91"/>
              </w:rPr>
              <w:t>suppression of new lesions vs placebo (week 12) for all cumulative ofatumumab doses ³30 mg/12 wk. Relapses and safety/tolerability were</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May 2018)</w:t>
            </w:r>
          </w:p>
        </w:tc>
        <w:tc>
          <w:tcPr>
            <w:tcW w:w="10180" w:type="dxa"/>
            <w:vAlign w:val="bottom"/>
          </w:tcPr>
          <w:p>
            <w:pPr>
              <w:ind w:left="80"/>
              <w:spacing w:after="0"/>
              <w:rPr>
                <w:sz w:val="20"/>
                <w:szCs w:val="20"/>
                <w:color w:val="auto"/>
              </w:rPr>
            </w:pPr>
            <w:r>
              <w:rPr>
                <w:rFonts w:ascii="Arial" w:cs="Arial" w:eastAsia="Arial" w:hAnsi="Arial"/>
                <w:sz w:val="18"/>
                <w:szCs w:val="18"/>
                <w:color w:val="auto"/>
                <w:w w:val="93"/>
              </w:rPr>
              <w:t>assessed, and CD19+ peripheral blood B-lymphocyte counts measured. Dose-dependent CD19 B-cell depletion was observed. Notably,</w:t>
            </w:r>
          </w:p>
        </w:tc>
      </w:tr>
      <w:tr>
        <w:trPr>
          <w:trHeight w:val="222"/>
        </w:trPr>
        <w:tc>
          <w:tcPr>
            <w:tcW w:w="1060" w:type="dxa"/>
            <w:vAlign w:val="bottom"/>
          </w:tcPr>
          <w:p>
            <w:pPr>
              <w:spacing w:after="0"/>
              <w:rPr>
                <w:sz w:val="19"/>
                <w:szCs w:val="19"/>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rPr>
              <w:t>complete depletion was not necessary for a robust treatment effect.</w:t>
            </w:r>
          </w:p>
        </w:tc>
      </w:tr>
      <w:tr>
        <w:trPr>
          <w:trHeight w:val="426"/>
        </w:trPr>
        <w:tc>
          <w:tcPr>
            <w:tcW w:w="1060" w:type="dxa"/>
            <w:vAlign w:val="bottom"/>
          </w:tcPr>
          <w:p>
            <w:pPr>
              <w:ind w:left="180"/>
              <w:spacing w:after="0"/>
              <w:rPr>
                <w:sz w:val="20"/>
                <w:szCs w:val="20"/>
                <w:color w:val="auto"/>
              </w:rPr>
            </w:pPr>
            <w:r>
              <w:rPr>
                <w:rFonts w:ascii="Arial" w:cs="Arial" w:eastAsia="Arial" w:hAnsi="Arial"/>
                <w:sz w:val="18"/>
                <w:szCs w:val="18"/>
                <w:i w:val="1"/>
                <w:iCs w:val="1"/>
                <w:color w:val="auto"/>
              </w:rPr>
              <w:t>Safety</w:t>
            </w:r>
          </w:p>
        </w:tc>
        <w:tc>
          <w:tcPr>
            <w:tcW w:w="10180" w:type="dxa"/>
            <w:vAlign w:val="bottom"/>
          </w:tcPr>
          <w:p>
            <w:pPr>
              <w:ind w:left="80"/>
              <w:spacing w:after="0"/>
              <w:rPr>
                <w:sz w:val="20"/>
                <w:szCs w:val="20"/>
                <w:color w:val="auto"/>
              </w:rPr>
            </w:pPr>
            <w:r>
              <w:rPr>
                <w:rFonts w:ascii="Arial" w:cs="Arial" w:eastAsia="Arial" w:hAnsi="Arial"/>
                <w:sz w:val="18"/>
                <w:szCs w:val="18"/>
                <w:color w:val="auto"/>
                <w:w w:val="90"/>
              </w:rPr>
              <w:t>The safety profile was observed to be consistent with existing ofatumumab data. The most common AEs were IRRs that were largely mild to</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i w:val="1"/>
                <w:iCs w:val="1"/>
                <w:color w:val="auto"/>
              </w:rPr>
              <w:t>Data</w:t>
            </w:r>
          </w:p>
        </w:tc>
        <w:tc>
          <w:tcPr>
            <w:tcW w:w="10180" w:type="dxa"/>
            <w:vAlign w:val="bottom"/>
          </w:tcPr>
          <w:p>
            <w:pPr>
              <w:ind w:left="80"/>
              <w:spacing w:after="0"/>
              <w:rPr>
                <w:sz w:val="20"/>
                <w:szCs w:val="20"/>
                <w:color w:val="auto"/>
              </w:rPr>
            </w:pPr>
            <w:r>
              <w:rPr>
                <w:rFonts w:ascii="Arial" w:cs="Arial" w:eastAsia="Arial" w:hAnsi="Arial"/>
                <w:sz w:val="18"/>
                <w:szCs w:val="18"/>
                <w:color w:val="auto"/>
                <w:w w:val="89"/>
              </w:rPr>
              <w:t>moderate in severity in 97% of patients, most commonly associated with the first dose and diminishing on subsequent dosing. The only SAEs</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95"/>
              </w:rPr>
              <w:t>to occur in ³1 patient during the treatment phase were IRRs, occurring in 3 patients; all continued in the study, including 1 patient who</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93"/>
              </w:rPr>
              <w:t>reportedly experienced a cytokine-release syndrome within hours of the first ofatumumab (60 mg) dose. Other SAEs occurring in single</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90"/>
              </w:rPr>
              <w:t>patients were cholelithiasis and hypokalemia (both with 60 mg ofatumumab every 4 weeks) and angioedema and urticaria (both in the same</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92"/>
              </w:rPr>
              <w:t>patient receiving 3 mg ofatumumab). There was no pattern of SAEs in the 24-week follow up phase. During the individualized follow up, 2</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89"/>
              </w:rPr>
              <w:t>(2%) patients, both in the ofatumumab 60 mg every 4 weeks group, reported a total of 2 SAEs: head injury and malignant melanoma stage IV.</w:t>
            </w:r>
          </w:p>
        </w:tc>
      </w:tr>
      <w:tr>
        <w:trPr>
          <w:trHeight w:val="216"/>
        </w:trPr>
        <w:tc>
          <w:tcPr>
            <w:tcW w:w="1060" w:type="dxa"/>
            <w:vAlign w:val="bottom"/>
          </w:tcPr>
          <w:p>
            <w:pPr>
              <w:spacing w:after="0"/>
              <w:rPr>
                <w:sz w:val="18"/>
                <w:szCs w:val="18"/>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w w:val="95"/>
              </w:rPr>
              <w:t>The latter was considered treatment related, and the patient recovered. Safety monitoring continued weeks 24 to 48 with subsequent</w:t>
            </w:r>
          </w:p>
        </w:tc>
      </w:tr>
      <w:tr>
        <w:trPr>
          <w:trHeight w:val="222"/>
        </w:trPr>
        <w:tc>
          <w:tcPr>
            <w:tcW w:w="1060" w:type="dxa"/>
            <w:vAlign w:val="bottom"/>
          </w:tcPr>
          <w:p>
            <w:pPr>
              <w:spacing w:after="0"/>
              <w:rPr>
                <w:sz w:val="19"/>
                <w:szCs w:val="19"/>
                <w:color w:val="auto"/>
              </w:rPr>
            </w:pPr>
          </w:p>
        </w:tc>
        <w:tc>
          <w:tcPr>
            <w:tcW w:w="10180" w:type="dxa"/>
            <w:vAlign w:val="bottom"/>
          </w:tcPr>
          <w:p>
            <w:pPr>
              <w:ind w:left="80"/>
              <w:spacing w:after="0"/>
              <w:rPr>
                <w:sz w:val="20"/>
                <w:szCs w:val="20"/>
                <w:color w:val="auto"/>
              </w:rPr>
            </w:pPr>
            <w:r>
              <w:rPr>
                <w:rFonts w:ascii="Arial" w:cs="Arial" w:eastAsia="Arial" w:hAnsi="Arial"/>
                <w:sz w:val="18"/>
                <w:szCs w:val="18"/>
                <w:color w:val="auto"/>
              </w:rPr>
              <w:t>individualized follow-up evaluating B-cell repletion.</w:t>
            </w:r>
          </w:p>
        </w:tc>
      </w:tr>
      <w:tr>
        <w:trPr>
          <w:trHeight w:val="432"/>
        </w:trPr>
        <w:tc>
          <w:tcPr>
            <w:tcW w:w="1060" w:type="dxa"/>
            <w:vAlign w:val="bottom"/>
          </w:tcPr>
          <w:p>
            <w:pPr>
              <w:spacing w:after="0"/>
              <w:rPr>
                <w:sz w:val="24"/>
                <w:szCs w:val="24"/>
                <w:color w:val="auto"/>
              </w:rPr>
            </w:pPr>
          </w:p>
        </w:tc>
        <w:tc>
          <w:tcPr>
            <w:tcW w:w="10180" w:type="dxa"/>
            <w:vAlign w:val="bottom"/>
          </w:tcPr>
          <w:p>
            <w:pPr>
              <w:ind w:left="4440"/>
              <w:spacing w:after="0"/>
              <w:rPr>
                <w:sz w:val="20"/>
                <w:szCs w:val="20"/>
                <w:color w:val="auto"/>
              </w:rPr>
            </w:pPr>
            <w:r>
              <w:rPr>
                <w:rFonts w:ascii="Arial" w:cs="Arial" w:eastAsia="Arial" w:hAnsi="Arial"/>
                <w:sz w:val="18"/>
                <w:szCs w:val="18"/>
                <w:color w:val="auto"/>
              </w:rPr>
              <w:t>131</w:t>
            </w:r>
          </w:p>
        </w:tc>
      </w:tr>
      <w:tr>
        <w:trPr>
          <w:trHeight w:val="228"/>
        </w:trPr>
        <w:tc>
          <w:tcPr>
            <w:tcW w:w="1060" w:type="dxa"/>
            <w:vAlign w:val="bottom"/>
            <w:tcBorders>
              <w:bottom w:val="single" w:sz="8" w:color="808080"/>
            </w:tcBorders>
          </w:tcPr>
          <w:p>
            <w:pPr>
              <w:spacing w:after="0"/>
              <w:rPr>
                <w:sz w:val="19"/>
                <w:szCs w:val="19"/>
                <w:color w:val="auto"/>
              </w:rPr>
            </w:pPr>
          </w:p>
        </w:tc>
        <w:tc>
          <w:tcPr>
            <w:tcW w:w="10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ASCLEPIOS I AND II</w:t>
      </w:r>
    </w:p>
    <w:p>
      <w:pPr>
        <w:sectPr>
          <w:pgSz w:w="11900" w:h="16838" w:orient="portrait"/>
          <w:cols w:equalWidth="0" w:num="1">
            <w:col w:w="11220"/>
          </w:cols>
          <w:pgMar w:left="320" w:top="131" w:right="359" w:bottom="1440" w:gutter="0" w:footer="0" w:header="0"/>
        </w:sect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Study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Design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Randomized, multicenter, Phase III, double-blind, double-dummy active-controlled, studies comparing the efficacy and safety of subQ ofatumumab versus teriflunomide, a standard treatment in MS, in approximately 900 patients with RMS per study. Patients will be randomized to receive either 20 mg subQ injections of ofatumumab every four weeks or 14 mg of teriflunomide orally once daily. In order to blind for the different formulations, double-dummy masking will be used (i.e. all patients will take injections (containing either active ofatumumab or placebo) and oral capsules (containing either active teriflunomide or placebo)). The primary endpoint of the studies is annualized relapse rate which is the number of confirmed relapses in a 12 month period. Key secondary endpoints include 3-and 6-month confirmed disability worsening and MRI-related outcomes.</w:t>
      </w:r>
    </w:p>
    <w:p>
      <w:pPr>
        <w:spacing w:after="0" w:line="172" w:lineRule="exact"/>
        <w:rPr>
          <w:sz w:val="20"/>
          <w:szCs w:val="20"/>
          <w:color w:val="auto"/>
        </w:rPr>
      </w:pPr>
    </w:p>
    <w:p>
      <w:pPr>
        <w:sectPr>
          <w:pgSz w:w="11900" w:h="16838" w:orient="portrait"/>
          <w:cols w:equalWidth="0" w:num="2">
            <w:col w:w="680" w:space="520"/>
            <w:col w:w="10020"/>
          </w:cols>
          <w:pgMar w:left="320" w:top="131" w:right="359" w:bottom="1440" w:gutter="0" w:footer="0" w:header="0"/>
          <w:type w:val="continuous"/>
        </w:sectPr>
      </w:pPr>
    </w:p>
    <w:p>
      <w:pPr>
        <w:ind w:left="180"/>
        <w:spacing w:after="0"/>
        <w:rPr>
          <w:sz w:val="20"/>
          <w:szCs w:val="20"/>
          <w:color w:val="auto"/>
        </w:rPr>
      </w:pPr>
      <w:r>
        <w:rPr>
          <w:rFonts w:ascii="Arial" w:cs="Arial" w:eastAsia="Arial" w:hAnsi="Arial"/>
          <w:sz w:val="18"/>
          <w:szCs w:val="18"/>
          <w:i w:val="1"/>
          <w:iCs w:val="1"/>
          <w:color w:val="auto"/>
        </w:rPr>
        <w:t>Patient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Profile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by Novartis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following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completion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recruitment,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May 2018)</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Baseline characteristics of patients enrolled in ASCLEPIOS I and II are consistent with a typical RMS population and broadly comparable with other registration trials in RMS, with a relatively high proportion of enrolled patients being previously exposed to one or more DMTs. Patients enrolled in ASCLEPIOS I and II were aged 18-55 years with an Expanded Disability Status Scale, or EDSS, score of 0 to 5.5 at screening. In total, 1884 patients have been enrolled across 385 centers in 37 countries (ASCLEPIOS I=928 and ASCLEPIOS II=956). The enrolled patients represent a typical RMS population: mostly female (&gt;65%), and Caucasian (90%), with more than half having received prior DMT (60%). The mean baseline age for ASCLEPIOS I and II is 38.6 and 38.1 years, the mean duration of MS since first symptom is 8.5 and 8.1 years, and the mean EDSS score is 2.9 and 2.8, respectively. Approximately 40% of patients showed gadolinium-enhancing lesions on brain MRI at screening in each trial.</w:t>
      </w:r>
    </w:p>
    <w:p>
      <w:pPr>
        <w:spacing w:after="0" w:line="375" w:lineRule="exact"/>
        <w:rPr>
          <w:sz w:val="20"/>
          <w:szCs w:val="20"/>
          <w:color w:val="auto"/>
        </w:rPr>
      </w:pPr>
    </w:p>
    <w:p>
      <w:pPr>
        <w:sectPr>
          <w:pgSz w:w="11900" w:h="16838" w:orient="portrait"/>
          <w:cols w:equalWidth="0" w:num="2">
            <w:col w:w="1040" w:space="160"/>
            <w:col w:w="10020"/>
          </w:cols>
          <w:pgMar w:left="320" w:top="131" w:right="359" w:bottom="1440" w:gutter="0" w:footer="0" w:header="0"/>
          <w:type w:val="continuous"/>
        </w:sectPr>
      </w:pP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Study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Status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Expected to be completed in 2019.</w:t>
      </w:r>
    </w:p>
    <w:p>
      <w:pPr>
        <w:spacing w:after="0" w:line="422" w:lineRule="exact"/>
        <w:rPr>
          <w:sz w:val="20"/>
          <w:szCs w:val="20"/>
          <w:color w:val="auto"/>
        </w:rPr>
      </w:pPr>
    </w:p>
    <w:p>
      <w:pPr>
        <w:sectPr>
          <w:pgSz w:w="11900" w:h="16838" w:orient="portrait"/>
          <w:cols w:equalWidth="0" w:num="2">
            <w:col w:w="620" w:space="580"/>
            <w:col w:w="10020"/>
          </w:cols>
          <w:pgMar w:left="320" w:top="131" w:right="3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Novartis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December 2006, we entered into a co-development and collaboration agreement with GSK,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the treatment of cancer, and low double-digit royalties of worldwide net sales of ofatumumab for non-cancer treatments, as well as certain potential regulatory and sales milestones, of which only certain sales milestones remain. 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9 months' prior written notice.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January 2018, due to significant competition in the CLL treatment space and low and decreasing global demand for Arzerra,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but will continue to market Arzerra for approved CLL indications in the United States and Japan. We recorded a one-time payment of $50.0 million from Novartis for lost potential milestones and royalties.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have issued patents and pending patent applications for ofatumumab in numerous jurisdictions, including in the United States, Europe and Japan. Our issued U.S., European and Japanese patents covering the composition of matter do not begin to expire until October 2023, with the U.S. composition of matter patent extended to May 2031. See "—Intellectual Property" for more information about our patents and other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Tisotumab Vedotin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Tisotumab vedotin is an ADC created to target tissue factor, or TF, a protein involved in tumor signaling and angiogenesis. TF is a transmembrane protein that is the main physiological initiator of coagulation and is involved in angiogenesis, cell adhesion, motility and cell survival. TF is expressed on many solid tumors, including cervical, ovarian, pancreatic, prostate and bladder tumors. The presence of TF is associated with poor prognosis. Based on its high expression on many solid tumors and its rapid internalization, we believe that TF is a suitable target for an ADC approach. Tisotumab vedotin combines our human mAb that binds to TF and Seattle Genetics' ADC technology that utilizes a cleavable linker and the cytotoxic drug monomethyl auristatin E, or MMAE. ADCs are mAbs that are linked to cytotoxic or cell-killing agents. Seattle Genetics' ADC technology utilizes mAbs that internalize within target cells after binding to a specified cell-surface receptor. Enzymes present inside the cell catalyze the release of the cytotoxic agent from the mAb, which then results in the desired activity, specific killing of the target cell. The following image illustrates the intended mechanism of action of tisotumab vedotin on TF expressing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118110</wp:posOffset>
            </wp:positionV>
            <wp:extent cx="5246370" cy="2451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4637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developing tisotumab vedotin in collaboration with Seattle Genetics under an agreement in which we share all costs and profits for the product on a 50:50 basis. We and Seattle Genetics are currently evaluating tisotumab vedotin for the treatment of cervical cancer and other solid tumors in five clinical studies, including the potentially registrational innovaTV 204 Phase II trial in patients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recurrent or metastatic cervical cancer, Phase II trials for the treatment of ovarian cancer and solid tumors, the Phase I/II innovaTV 201 study of tisotumab vedotin for the treatment of eight types of solid tumors and a Phase I/II combination trial for the treatment of cervical cancer. In October 2018, we released data from the innovaTV 201 trial indicating that treatment with tisotumab vedotin resulted in encouraging activity in relapsed, recurrent and/or metastatic cervical cancer. We expect to complete enrollment for the innovaTV 204 study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Tisotumab Vedotin for the Treatment of Cervical Cancer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Cervical Cancer</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Cervical cancer originates in the cells lining the cervix, which connects the uterus to the birth canal. Various strains of the human papillomavirus, or HPV, play a role in causing most cervical cancer. When exposed to HPV, a woman's immune system typically prevents the virus from doing harm. In a small group of women, however, the virus survives for years, contributing to the process that causes some cells on the surface of the cervix to become cancer cells. Routine medical examinations and HPV vaccines have had a positive impact on the incidence of cervical cancer in the developed world, but have not eliminated it. SEER estimated that 13,240 women would be diagnosed with cervical cancer in the United States in 2018, and that 4,170 would die from cervical cancer. The 5-year survival rate for cervical cancer in the United States is 66.2%, based on 2008-2014 SEER data. Globally, the WHO estimated that 570,000 women would be diagnosed with cervical cancer in 2018, the vast majority of those women being in low- and middle-income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Cervical Cancer</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Treatment for cervical cancer depends on the type and stage of cancer. For the earliest stages of cervical cancer, either surgery or radiation combined with chemotherapy may be used. For later stages, radiation combined with chemotherapy is usually the main treatment. Chemotherapy alone is often used to treat advanced cervical cancer. In addition to standard treatments, targeted therapies, such as mAbs, may be used in connection with chemotherapy or as a monotherapy after chemotherapy treatment. Current treatment for cervical cancer can yield cures in 80% to 90% of women with early stage I and II cervical cancer and 60% in stage II. However, the prognosis for women with advanced or recurrent cervical cancer remains poor. Standard therapies for previously treated recurrent/metastatic cervical cancer generally result in response rates of less than 15% and a median overall survival of 6 to 8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 of Tisotumab Vedotin for the Treatment of Cervical Cancer</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June 2018, we and Seattle Genetics dosed the first patient in the potentially registrational innovaTV 204 Phase II clinical trial of tisotumab vedotin for the treatment of patients with recurrent and/or metastatic cervical cancer. We expect to complete enrolment for this study in 2019. Data from the innovaTV 201 Phase I/II trial that evaluated tisotumab vedotin for the treatment of solid tumors, including cervical cancer, supported our decision to move forward with the potentially registrational Phase II innovaTV 204 trial. In December 2018, we and Seattle Genetics announced the innovaTV 205 Phase I/II study of tisotumab vedotin in combination with bevacizumab, pembrolizumab, or carboplatin for the treatment of recurrent or stage IVB cervical cancer. We are conducting the clinical studies in cervical cancer and Seattle Genetics is conducting studies in other solid tumors.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innovaTV 201</w:t>
      </w:r>
    </w:p>
    <w:p>
      <w:pPr>
        <w:sectPr>
          <w:pgSz w:w="11900" w:h="16838" w:orient="portrait"/>
          <w:cols w:equalWidth="0" w:num="1">
            <w:col w:w="11240"/>
          </w:cols>
          <w:pgMar w:left="320" w:top="131" w:right="339" w:bottom="1440" w:gutter="0" w:footer="0" w:header="0"/>
        </w:sect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Study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Design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Two-part Phase I/II study of tisotumab vedotin in eight types of solid tumors: ovarian, cervical, endometrial, bladder, prostate, esophageal, lung, and head and neck. Estimated enrollment is 170 patients. Part 1 is a classical 3+3 dose escalation design testing various doses of tisotumab vedotin once every three weeks to establish the recommended Phase II dose, or RP2D, and maximum tolerated dose as well as the safety profile of tisotumab vedotin. Part 2 of the study investigates all eight indications in parallel expansion cohorts. Patients receive 2.0 mg/kg (=RP2D) of tisotumab vedotin once every three weeks. The primary objective of this part of the study is to further investigate the safety profile of tisotumab vedotin and its preliminary efficacy.</w:t>
      </w:r>
    </w:p>
    <w:p>
      <w:pPr>
        <w:spacing w:after="0" w:line="198" w:lineRule="exact"/>
        <w:rPr>
          <w:sz w:val="20"/>
          <w:szCs w:val="20"/>
          <w:color w:val="auto"/>
        </w:rPr>
      </w:pPr>
    </w:p>
    <w:p>
      <w:pPr>
        <w:sectPr>
          <w:pgSz w:w="11900" w:h="16838" w:orient="portrait"/>
          <w:cols w:equalWidth="0" w:num="2">
            <w:col w:w="680" w:space="360"/>
            <w:col w:w="10200"/>
          </w:cols>
          <w:pgMar w:left="320" w:top="131" w:right="339" w:bottom="1440" w:gutter="0" w:footer="0" w:header="0"/>
          <w:type w:val="continuous"/>
        </w:sectPr>
      </w:pPr>
    </w:p>
    <w:p>
      <w:pPr>
        <w:ind w:left="180"/>
        <w:spacing w:after="0" w:line="317" w:lineRule="auto"/>
        <w:rPr>
          <w:sz w:val="20"/>
          <w:szCs w:val="20"/>
          <w:color w:val="auto"/>
        </w:rPr>
      </w:pPr>
      <w:r>
        <w:rPr>
          <w:rFonts w:ascii="Arial" w:cs="Arial" w:eastAsia="Arial" w:hAnsi="Arial"/>
          <w:sz w:val="15"/>
          <w:szCs w:val="15"/>
          <w:i w:val="1"/>
          <w:iCs w:val="1"/>
          <w:color w:val="auto"/>
        </w:rPr>
        <w:t xml:space="preserve">Phase IIa Data </w:t>
      </w:r>
      <w:r>
        <w:rPr>
          <w:rFonts w:ascii="Arial" w:cs="Arial" w:eastAsia="Arial" w:hAnsi="Arial"/>
          <w:sz w:val="15"/>
          <w:szCs w:val="15"/>
          <w:color w:val="auto"/>
        </w:rPr>
        <w:t>(Released October 2018)</w:t>
      </w:r>
    </w:p>
    <w:p>
      <w:pPr>
        <w:spacing w:after="0" w:line="20" w:lineRule="exact"/>
        <w:rPr>
          <w:sz w:val="20"/>
          <w:szCs w:val="20"/>
          <w:color w:val="auto"/>
        </w:rPr>
      </w:pPr>
      <w:r>
        <w:rPr>
          <w:sz w:val="20"/>
          <w:szCs w:val="20"/>
          <w:color w:val="auto"/>
        </w:rPr>
        <w:br w:type="column"/>
      </w:r>
    </w:p>
    <w:p>
      <w:pPr>
        <w:ind w:right="60"/>
        <w:spacing w:after="0" w:line="298" w:lineRule="auto"/>
        <w:rPr>
          <w:sz w:val="20"/>
          <w:szCs w:val="20"/>
          <w:color w:val="auto"/>
        </w:rPr>
      </w:pPr>
      <w:r>
        <w:rPr>
          <w:rFonts w:ascii="Arial" w:cs="Arial" w:eastAsia="Arial" w:hAnsi="Arial"/>
          <w:sz w:val="16"/>
          <w:szCs w:val="16"/>
          <w:color w:val="auto"/>
        </w:rPr>
        <w:t>Data from Phase IIa indicated that tisotumab vedotin had encouraging activity in previously treated recurrent or metastatic cervical cancer. An expansion cohort of 55 patients with relapsed, recurrent and/or metastatic cervical cancer showed a combined confirmed and unconfirmed ORR of 31%, including confirmed PR in 11 patients and unconfirmed PR in five patients. Median time to response was 1.4 months. Median DoR was 4.9 months (95% CI: 2.8-9.7) and median PFS was 4.1 months (95% CI: 2.1-5.3). Median duration of follow up was 3.5 months.</w:t>
      </w:r>
    </w:p>
    <w:p>
      <w:pPr>
        <w:spacing w:after="0" w:line="382" w:lineRule="exact"/>
        <w:rPr>
          <w:sz w:val="20"/>
          <w:szCs w:val="20"/>
          <w:color w:val="auto"/>
        </w:rPr>
      </w:pPr>
    </w:p>
    <w:p>
      <w:pPr>
        <w:sectPr>
          <w:pgSz w:w="11900" w:h="16838" w:orient="portrait"/>
          <w:cols w:equalWidth="0" w:num="2">
            <w:col w:w="880" w:space="160"/>
            <w:col w:w="10200"/>
          </w:cols>
          <w:pgMar w:left="320" w:top="131" w:right="339" w:bottom="1440" w:gutter="0" w:footer="0" w:header="0"/>
          <w:type w:val="continuous"/>
        </w:sectPr>
      </w:pPr>
    </w:p>
    <w:p>
      <w:pPr>
        <w:ind w:left="1040"/>
        <w:spacing w:after="0" w:line="298" w:lineRule="auto"/>
        <w:rPr>
          <w:sz w:val="20"/>
          <w:szCs w:val="20"/>
          <w:color w:val="auto"/>
        </w:rPr>
      </w:pPr>
      <w:r>
        <w:rPr>
          <w:rFonts w:ascii="Arial" w:cs="Arial" w:eastAsia="Arial" w:hAnsi="Arial"/>
          <w:sz w:val="16"/>
          <w:szCs w:val="16"/>
          <w:color w:val="auto"/>
        </w:rPr>
        <w:t>Among the 55 female patients enrolled in the cervical cancer cohort, the median age was 46 years, the majority had ECOG performance status of 1 (73%), and the most frequent histology was squamous cell carcinoma (51%). Most patients were heavily pre-treated, with 28 patients (51%) having received two or more prior systemic therapies. 67% of patients had previously received the GOG 240 regimen, which is defined as bevacizumab plus doublet chemotherapy (cisplatin plus paclitaxel or topotecan plus paclitaxel).</w:t>
      </w:r>
    </w:p>
    <w:p>
      <w:pPr>
        <w:sectPr>
          <w:pgSz w:w="11900" w:h="16838" w:orient="portrait"/>
          <w:cols w:equalWidth="0" w:num="1">
            <w:col w:w="11240"/>
          </w:cols>
          <w:pgMar w:left="320" w:top="131" w:right="339" w:bottom="1440" w:gutter="0" w:footer="0" w:header="0"/>
          <w:type w:val="continuous"/>
        </w:sectPr>
      </w:pPr>
    </w:p>
    <w:p>
      <w:pPr>
        <w:spacing w:after="0" w:line="166"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Safety</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Data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TEAEs were reported in 55 patients (100%) and grade ³3 TEAEs were reported in 31 patients (56%). The most common serious AEs (³5%) were vomiting (7%) and constipation (5%). The most common AEs of special interest, or AESIs, were neuropathy (any grade, 53%; grade 3, 11%), bleeding-related AESIs (any grade, 73%; grade 3, 5%) and ocular AESIs (any grade, 62%; grade 3, 2%).</w:t>
      </w:r>
    </w:p>
    <w:p>
      <w:pPr>
        <w:spacing w:after="0" w:line="181" w:lineRule="exact"/>
        <w:rPr>
          <w:sz w:val="20"/>
          <w:szCs w:val="20"/>
          <w:color w:val="auto"/>
        </w:rPr>
      </w:pPr>
    </w:p>
    <w:p>
      <w:pPr>
        <w:sectPr>
          <w:pgSz w:w="11900" w:h="16838" w:orient="portrait"/>
          <w:cols w:equalWidth="0" w:num="2">
            <w:col w:w="620" w:space="420"/>
            <w:col w:w="10200"/>
          </w:cols>
          <w:pgMar w:left="320" w:top="13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innovaTV 204</w:t>
      </w:r>
    </w:p>
    <w:p>
      <w:pPr>
        <w:spacing w:after="0" w:line="231"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6"/>
          <w:szCs w:val="16"/>
          <w:i w:val="1"/>
          <w:iCs w:val="1"/>
          <w:color w:val="auto"/>
        </w:rPr>
        <w:t>Study</w:t>
      </w:r>
      <w:r>
        <w:rPr>
          <w:sz w:val="20"/>
          <w:szCs w:val="20"/>
          <w:color w:val="auto"/>
        </w:rPr>
        <w:tab/>
      </w:r>
      <w:r>
        <w:rPr>
          <w:rFonts w:ascii="Arial" w:cs="Arial" w:eastAsia="Arial" w:hAnsi="Arial"/>
          <w:sz w:val="16"/>
          <w:szCs w:val="16"/>
          <w:color w:val="auto"/>
        </w:rPr>
        <w:t>A single arm, multicenter, international Phase II trial of tisotumab vedotin in patients with cervical cancer who have relapsed or progressed on or</w:t>
      </w:r>
    </w:p>
    <w:p>
      <w:pPr>
        <w:spacing w:after="0" w:line="38" w:lineRule="exact"/>
        <w:rPr>
          <w:sz w:val="20"/>
          <w:szCs w:val="20"/>
          <w:color w:val="auto"/>
        </w:rPr>
      </w:pPr>
    </w:p>
    <w:p>
      <w:pPr>
        <w:ind w:left="1040" w:right="320" w:hanging="859"/>
        <w:spacing w:after="0" w:line="361" w:lineRule="auto"/>
        <w:tabs>
          <w:tab w:leader="none" w:pos="1020" w:val="left"/>
        </w:tabs>
        <w:rPr>
          <w:sz w:val="20"/>
          <w:szCs w:val="20"/>
          <w:color w:val="auto"/>
        </w:rPr>
      </w:pPr>
      <w:r>
        <w:rPr>
          <w:rFonts w:ascii="Arial" w:cs="Arial" w:eastAsia="Arial" w:hAnsi="Arial"/>
          <w:sz w:val="15"/>
          <w:szCs w:val="15"/>
          <w:i w:val="1"/>
          <w:iCs w:val="1"/>
          <w:color w:val="auto"/>
        </w:rPr>
        <w:t>Design</w:t>
      </w:r>
      <w:r>
        <w:rPr>
          <w:sz w:val="20"/>
          <w:szCs w:val="20"/>
          <w:color w:val="auto"/>
        </w:rPr>
        <w:tab/>
      </w:r>
      <w:r>
        <w:rPr>
          <w:rFonts w:ascii="Arial" w:cs="Arial" w:eastAsia="Arial" w:hAnsi="Arial"/>
          <w:sz w:val="15"/>
          <w:szCs w:val="15"/>
          <w:color w:val="auto"/>
        </w:rPr>
        <w:t>after platinum-containing chemotherapy and who have received or are ineligible for bevacizumab. Estimated enrollment is 100 patients. The primary endpoint of the study is ORR as assessed by an independent review committee. The trial will also assess DoR, PFS, OS and safety.</w:t>
      </w:r>
    </w:p>
    <w:p>
      <w:pPr>
        <w:spacing w:after="0" w:line="123"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i w:val="1"/>
          <w:iCs w:val="1"/>
          <w:color w:val="auto"/>
        </w:rPr>
        <w:t>Study</w:t>
      </w:r>
      <w:r>
        <w:rPr>
          <w:sz w:val="20"/>
          <w:szCs w:val="20"/>
          <w:color w:val="auto"/>
        </w:rPr>
        <w:tab/>
      </w:r>
      <w:r>
        <w:rPr>
          <w:rFonts w:ascii="Arial" w:cs="Arial" w:eastAsia="Arial" w:hAnsi="Arial"/>
          <w:sz w:val="18"/>
          <w:szCs w:val="18"/>
          <w:color w:val="auto"/>
        </w:rPr>
        <w:t>We expect to complete enrollment for this potentially registrational study in 2019.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300" w:type="dxa"/>
            <w:vAlign w:val="bottom"/>
          </w:tcPr>
          <w:p>
            <w:pPr>
              <w:spacing w:after="0"/>
              <w:rPr>
                <w:sz w:val="17"/>
                <w:szCs w:val="17"/>
                <w:color w:val="auto"/>
              </w:rPr>
            </w:pPr>
          </w:p>
        </w:tc>
        <w:tc>
          <w:tcPr>
            <w:tcW w:w="9600" w:type="dxa"/>
            <w:vAlign w:val="bottom"/>
          </w:tcPr>
          <w:p>
            <w:pPr>
              <w:spacing w:after="0"/>
              <w:rPr>
                <w:sz w:val="17"/>
                <w:szCs w:val="17"/>
                <w:color w:val="auto"/>
              </w:rPr>
            </w:pPr>
          </w:p>
        </w:tc>
      </w:tr>
      <w:tr>
        <w:trPr>
          <w:trHeight w:val="450"/>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innovaTV 205</w:t>
            </w:r>
          </w:p>
        </w:tc>
        <w:tc>
          <w:tcPr>
            <w:tcW w:w="9600" w:type="dxa"/>
            <w:vAlign w:val="bottom"/>
          </w:tcPr>
          <w:p>
            <w:pPr>
              <w:spacing w:after="0"/>
              <w:rPr>
                <w:sz w:val="24"/>
                <w:szCs w:val="24"/>
                <w:color w:val="auto"/>
              </w:rPr>
            </w:pPr>
          </w:p>
        </w:tc>
      </w:tr>
      <w:tr>
        <w:trPr>
          <w:trHeight w:val="426"/>
        </w:trPr>
        <w:tc>
          <w:tcPr>
            <w:tcW w:w="1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600" w:type="dxa"/>
            <w:vAlign w:val="bottom"/>
          </w:tcPr>
          <w:p>
            <w:pPr>
              <w:ind w:left="320"/>
              <w:spacing w:after="0"/>
              <w:rPr>
                <w:sz w:val="20"/>
                <w:szCs w:val="20"/>
                <w:color w:val="auto"/>
              </w:rPr>
            </w:pPr>
            <w:r>
              <w:rPr>
                <w:rFonts w:ascii="Arial" w:cs="Arial" w:eastAsia="Arial" w:hAnsi="Arial"/>
                <w:sz w:val="18"/>
                <w:szCs w:val="18"/>
                <w:color w:val="auto"/>
                <w:w w:val="89"/>
              </w:rPr>
              <w:t>Phase I/II study of tisotumab vedotin in combination with bevacizumab, pembrolizumab, or carboplatin in subjects with recurrent or</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w w:val="89"/>
              </w:rPr>
              <w:t>stage IVB cervical cancer. The trial consists of a dose escalation part and an expansion part. The expansion part of the trial will be</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w w:val="87"/>
              </w:rPr>
              <w:t>initiated once the RP2D of the combinations have been determined in the dose escalation part. The primary endpoint of Part 1 of the</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w w:val="90"/>
              </w:rPr>
              <w:t>study is Dose Limiting Toxicities, or DLTs, to establish the Maximum Tolerated Dose, or MTD, and RP2D of tisotumab vedotin in</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w w:val="89"/>
              </w:rPr>
              <w:t>combination. The primary endpoint of Part 2 of this study is ORR. Secondary endpoints include AEs, ORR, DoR, time to response,</w:t>
            </w:r>
          </w:p>
        </w:tc>
      </w:tr>
      <w:tr>
        <w:trPr>
          <w:trHeight w:val="222"/>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0" w:type="dxa"/>
            <w:vAlign w:val="bottom"/>
          </w:tcPr>
          <w:p>
            <w:pPr>
              <w:ind w:left="320"/>
              <w:spacing w:after="0"/>
              <w:rPr>
                <w:sz w:val="20"/>
                <w:szCs w:val="20"/>
                <w:color w:val="auto"/>
              </w:rPr>
            </w:pPr>
            <w:r>
              <w:rPr>
                <w:rFonts w:ascii="Arial" w:cs="Arial" w:eastAsia="Arial" w:hAnsi="Arial"/>
                <w:sz w:val="18"/>
                <w:szCs w:val="18"/>
                <w:color w:val="auto"/>
              </w:rPr>
              <w:t>PFS and OS.</w:t>
            </w:r>
          </w:p>
        </w:tc>
      </w:tr>
      <w:tr>
        <w:trPr>
          <w:trHeight w:val="432"/>
        </w:trPr>
        <w:tc>
          <w:tcPr>
            <w:tcW w:w="1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600" w:type="dxa"/>
            <w:vAlign w:val="bottom"/>
          </w:tcPr>
          <w:p>
            <w:pPr>
              <w:ind w:left="32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Tisotumab Vedotin for the Treatment of Other Solid Tumors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Beyond recurrent and/or metastatic cervical cancer, we believe there may be opportunities for tisotumab vedotin in earlier lines of cervical cancer and in other solid tumors that express TF. We and Seattle Genetics announced two key clinical trials in 2018 intended to assess the activity, safety, and tolerability of tisotumab vedotin for the treatment of selected solid tumors and to determine the safety profile and efficacy of tisotumab vedotin for the treatment of platinum-resistant ovarian cancer.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20"/>
                <w:szCs w:val="20"/>
                <w:color w:val="auto"/>
              </w:rPr>
            </w:pPr>
            <w:r>
              <w:rPr>
                <w:rFonts w:ascii="Arial" w:cs="Arial" w:eastAsia="Arial" w:hAnsi="Arial"/>
                <w:sz w:val="18"/>
                <w:szCs w:val="18"/>
                <w:b w:val="1"/>
                <w:bCs w:val="1"/>
                <w:color w:val="auto"/>
              </w:rPr>
              <w:t>innovaTV 207</w:t>
            </w:r>
          </w:p>
        </w:tc>
        <w:tc>
          <w:tcPr>
            <w:tcW w:w="9740" w:type="dxa"/>
            <w:vAlign w:val="bottom"/>
          </w:tcPr>
          <w:p>
            <w:pPr>
              <w:spacing w:after="0"/>
              <w:rPr>
                <w:sz w:val="19"/>
                <w:szCs w:val="19"/>
                <w:color w:val="auto"/>
              </w:rPr>
            </w:pPr>
          </w:p>
        </w:tc>
      </w:tr>
      <w:tr>
        <w:trPr>
          <w:trHeight w:val="426"/>
        </w:trPr>
        <w:tc>
          <w:tcPr>
            <w:tcW w:w="1500" w:type="dxa"/>
            <w:vAlign w:val="bottom"/>
          </w:tcPr>
          <w:p>
            <w:pPr>
              <w:ind w:left="180"/>
              <w:spacing w:after="0"/>
              <w:rPr>
                <w:sz w:val="20"/>
                <w:szCs w:val="20"/>
                <w:color w:val="auto"/>
              </w:rPr>
            </w:pPr>
            <w:r>
              <w:rPr>
                <w:rFonts w:ascii="Arial" w:cs="Arial" w:eastAsia="Arial" w:hAnsi="Arial"/>
                <w:sz w:val="18"/>
                <w:szCs w:val="18"/>
                <w:i w:val="1"/>
                <w:iCs w:val="1"/>
                <w:color w:val="auto"/>
              </w:rPr>
              <w:t>Study Design</w:t>
            </w:r>
          </w:p>
        </w:tc>
        <w:tc>
          <w:tcPr>
            <w:tcW w:w="9740" w:type="dxa"/>
            <w:vAlign w:val="bottom"/>
          </w:tcPr>
          <w:p>
            <w:pPr>
              <w:ind w:left="380"/>
              <w:spacing w:after="0"/>
              <w:rPr>
                <w:sz w:val="20"/>
                <w:szCs w:val="20"/>
                <w:color w:val="auto"/>
              </w:rPr>
            </w:pPr>
            <w:r>
              <w:rPr>
                <w:rFonts w:ascii="Arial" w:cs="Arial" w:eastAsia="Arial" w:hAnsi="Arial"/>
                <w:sz w:val="18"/>
                <w:szCs w:val="18"/>
                <w:color w:val="auto"/>
                <w:w w:val="91"/>
              </w:rPr>
              <w:t>Open-label, multicenter, Phase II study of tisotumab vedotin for locally advanced or metastatic solid tumors. The primary goal of</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94"/>
              </w:rPr>
              <w:t>this global trial is to assess the activity, safety and tolerability of tisotumab vedotin for the treatment of selected solid tumors.</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92"/>
              </w:rPr>
              <w:t>Patients who meet eligibility criteria will be enrolled into one of 4 cohorts of tumor types known to express TF: colorectal cancer,</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87"/>
              </w:rPr>
              <w:t>squamous NSCLC, exocrine pancreatic adenocarcinoma, and squamous cell carcinoma of the head and neck. We expect to enroll up</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92"/>
              </w:rPr>
              <w:t>to approximately 200 patients for this study. Patients will be treated with single agent tisotumab vedotin every three weeks. The</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w w:val="90"/>
              </w:rPr>
              <w:t>primary endpoint of this study is ORR, based on the proportion of patients who achieve a confirmed CR or PR as assessed by the</w:t>
            </w:r>
          </w:p>
        </w:tc>
      </w:tr>
      <w:tr>
        <w:trPr>
          <w:trHeight w:val="222"/>
        </w:trPr>
        <w:tc>
          <w:tcPr>
            <w:tcW w:w="1500" w:type="dxa"/>
            <w:vAlign w:val="bottom"/>
          </w:tcPr>
          <w:p>
            <w:pPr>
              <w:spacing w:after="0"/>
              <w:rPr>
                <w:sz w:val="19"/>
                <w:szCs w:val="19"/>
                <w:color w:val="auto"/>
              </w:rPr>
            </w:pPr>
          </w:p>
        </w:tc>
        <w:tc>
          <w:tcPr>
            <w:tcW w:w="9740" w:type="dxa"/>
            <w:vAlign w:val="bottom"/>
          </w:tcPr>
          <w:p>
            <w:pPr>
              <w:ind w:left="380"/>
              <w:spacing w:after="0"/>
              <w:rPr>
                <w:sz w:val="20"/>
                <w:szCs w:val="20"/>
                <w:color w:val="auto"/>
              </w:rPr>
            </w:pPr>
            <w:r>
              <w:rPr>
                <w:rFonts w:ascii="Arial" w:cs="Arial" w:eastAsia="Arial" w:hAnsi="Arial"/>
                <w:sz w:val="18"/>
                <w:szCs w:val="18"/>
                <w:color w:val="auto"/>
              </w:rPr>
              <w:t>investigator.</w:t>
            </w:r>
          </w:p>
        </w:tc>
      </w:tr>
      <w:tr>
        <w:trPr>
          <w:trHeight w:val="432"/>
        </w:trPr>
        <w:tc>
          <w:tcPr>
            <w:tcW w:w="1500" w:type="dxa"/>
            <w:vAlign w:val="bottom"/>
          </w:tcPr>
          <w:p>
            <w:pPr>
              <w:ind w:left="180"/>
              <w:spacing w:after="0"/>
              <w:rPr>
                <w:sz w:val="20"/>
                <w:szCs w:val="20"/>
                <w:color w:val="auto"/>
              </w:rPr>
            </w:pPr>
            <w:r>
              <w:rPr>
                <w:rFonts w:ascii="Arial" w:cs="Arial" w:eastAsia="Arial" w:hAnsi="Arial"/>
                <w:sz w:val="18"/>
                <w:szCs w:val="18"/>
                <w:i w:val="1"/>
                <w:iCs w:val="1"/>
                <w:color w:val="auto"/>
              </w:rPr>
              <w:t>Study Status</w:t>
            </w:r>
          </w:p>
        </w:tc>
        <w:tc>
          <w:tcPr>
            <w:tcW w:w="9740" w:type="dxa"/>
            <w:vAlign w:val="bottom"/>
          </w:tcPr>
          <w:p>
            <w:pPr>
              <w:ind w:left="380"/>
              <w:spacing w:after="0"/>
              <w:rPr>
                <w:sz w:val="20"/>
                <w:szCs w:val="20"/>
                <w:color w:val="auto"/>
              </w:rPr>
            </w:pPr>
            <w:r>
              <w:rPr>
                <w:rFonts w:ascii="Arial" w:cs="Arial" w:eastAsia="Arial" w:hAnsi="Arial"/>
                <w:sz w:val="18"/>
                <w:szCs w:val="18"/>
                <w:color w:val="auto"/>
              </w:rPr>
              <w:t>Recruiting.</w:t>
            </w:r>
          </w:p>
        </w:tc>
      </w:tr>
      <w:tr>
        <w:trPr>
          <w:trHeight w:val="432"/>
        </w:trPr>
        <w:tc>
          <w:tcPr>
            <w:tcW w:w="1500" w:type="dxa"/>
            <w:vAlign w:val="bottom"/>
          </w:tcPr>
          <w:p>
            <w:pPr>
              <w:spacing w:after="0"/>
              <w:rPr>
                <w:sz w:val="24"/>
                <w:szCs w:val="24"/>
                <w:color w:val="auto"/>
              </w:rPr>
            </w:pPr>
          </w:p>
        </w:tc>
        <w:tc>
          <w:tcPr>
            <w:tcW w:w="9740" w:type="dxa"/>
            <w:vAlign w:val="bottom"/>
          </w:tcPr>
          <w:p>
            <w:pPr>
              <w:ind w:left="4000"/>
              <w:spacing w:after="0"/>
              <w:rPr>
                <w:sz w:val="20"/>
                <w:szCs w:val="20"/>
                <w:color w:val="auto"/>
              </w:rPr>
            </w:pPr>
            <w:r>
              <w:rPr>
                <w:rFonts w:ascii="Arial" w:cs="Arial" w:eastAsia="Arial" w:hAnsi="Arial"/>
                <w:sz w:val="18"/>
                <w:szCs w:val="18"/>
                <w:color w:val="auto"/>
              </w:rPr>
              <w:t>136</w:t>
            </w:r>
          </w:p>
        </w:tc>
      </w:tr>
      <w:tr>
        <w:trPr>
          <w:trHeight w:val="228"/>
        </w:trPr>
        <w:tc>
          <w:tcPr>
            <w:tcW w:w="1500" w:type="dxa"/>
            <w:vAlign w:val="bottom"/>
            <w:tcBorders>
              <w:bottom w:val="single" w:sz="8" w:color="808080"/>
            </w:tcBorders>
          </w:tcPr>
          <w:p>
            <w:pPr>
              <w:spacing w:after="0"/>
              <w:rPr>
                <w:sz w:val="19"/>
                <w:szCs w:val="19"/>
                <w:color w:val="auto"/>
              </w:rPr>
            </w:pPr>
          </w:p>
        </w:tc>
        <w:tc>
          <w:tcPr>
            <w:tcW w:w="9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300" w:type="dxa"/>
            <w:vAlign w:val="bottom"/>
          </w:tcPr>
          <w:p>
            <w:pPr>
              <w:spacing w:after="0"/>
              <w:rPr>
                <w:sz w:val="17"/>
                <w:szCs w:val="17"/>
                <w:color w:val="auto"/>
              </w:rPr>
            </w:pPr>
          </w:p>
        </w:tc>
        <w:tc>
          <w:tcPr>
            <w:tcW w:w="9660" w:type="dxa"/>
            <w:vAlign w:val="bottom"/>
          </w:tcPr>
          <w:p>
            <w:pPr>
              <w:spacing w:after="0"/>
              <w:rPr>
                <w:sz w:val="17"/>
                <w:szCs w:val="17"/>
                <w:color w:val="auto"/>
              </w:rPr>
            </w:pPr>
          </w:p>
        </w:tc>
      </w:tr>
      <w:tr>
        <w:trPr>
          <w:trHeight w:val="883"/>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innovaTV 208</w:t>
            </w:r>
          </w:p>
        </w:tc>
        <w:tc>
          <w:tcPr>
            <w:tcW w:w="9660" w:type="dxa"/>
            <w:vAlign w:val="bottom"/>
          </w:tcPr>
          <w:p>
            <w:pPr>
              <w:spacing w:after="0"/>
              <w:rPr>
                <w:sz w:val="24"/>
                <w:szCs w:val="24"/>
                <w:color w:val="auto"/>
              </w:rPr>
            </w:pPr>
          </w:p>
        </w:tc>
      </w:tr>
      <w:tr>
        <w:trPr>
          <w:trHeight w:val="426"/>
        </w:trPr>
        <w:tc>
          <w:tcPr>
            <w:tcW w:w="1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Design</w:t>
            </w:r>
          </w:p>
        </w:tc>
        <w:tc>
          <w:tcPr>
            <w:tcW w:w="9660" w:type="dxa"/>
            <w:vAlign w:val="bottom"/>
          </w:tcPr>
          <w:p>
            <w:pPr>
              <w:ind w:left="320"/>
              <w:spacing w:after="0"/>
              <w:rPr>
                <w:sz w:val="20"/>
                <w:szCs w:val="20"/>
                <w:color w:val="auto"/>
              </w:rPr>
            </w:pPr>
            <w:r>
              <w:rPr>
                <w:rFonts w:ascii="Arial" w:cs="Arial" w:eastAsia="Arial" w:hAnsi="Arial"/>
                <w:sz w:val="18"/>
                <w:szCs w:val="18"/>
                <w:color w:val="auto"/>
                <w:w w:val="88"/>
              </w:rPr>
              <w:t>Randomized, open-label, Phase II study to determine the safety of tisotumab vedotin and to assess its efficacy for platinum-resistant</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88"/>
              </w:rPr>
              <w:t>ovarian cancer. In this study, we will be testing different doses of tisotumab vedotin administered at different times. We will compare</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89"/>
              </w:rPr>
              <w:t>the safety profiles and ability to treat tumors of these different doses and schedules. This study will include safety run-in group of up</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89"/>
              </w:rPr>
              <w:t>to 12 patients with a dose-dense treatment schedule. In a dose-dense schedule, smaller doses are given more frequently. After the</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89"/>
              </w:rPr>
              <w:t>run-in period is completed, two additional groups will be included in the study. One group will receive tisotumab vedotin once every</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91"/>
              </w:rPr>
              <w:t>3 weeks (21 day cycles). The other group will receive tisotumab vedotin once a week for 3 weeks followed by 1 week off (28-day</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91"/>
              </w:rPr>
              <w:t>cycles). We expect to recruit up to approximately 142 patients in this study. The primary endpoints of this study are incidence of</w:t>
            </w: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w w:val="94"/>
              </w:rPr>
              <w:t>dose limiting toxicities in the run-in phase and confirmed ORR in Part 2 of the study, based on the proportion of patients who</w:t>
            </w:r>
          </w:p>
        </w:tc>
      </w:tr>
      <w:tr>
        <w:trPr>
          <w:trHeight w:val="222"/>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60" w:type="dxa"/>
            <w:vAlign w:val="bottom"/>
          </w:tcPr>
          <w:p>
            <w:pPr>
              <w:ind w:left="320"/>
              <w:spacing w:after="0"/>
              <w:rPr>
                <w:sz w:val="20"/>
                <w:szCs w:val="20"/>
                <w:color w:val="auto"/>
              </w:rPr>
            </w:pPr>
            <w:r>
              <w:rPr>
                <w:rFonts w:ascii="Arial" w:cs="Arial" w:eastAsia="Arial" w:hAnsi="Arial"/>
                <w:sz w:val="18"/>
                <w:szCs w:val="18"/>
                <w:color w:val="auto"/>
              </w:rPr>
              <w:t>achieve a confirmed CR or PR as assessed by the investigator.</w:t>
            </w:r>
          </w:p>
        </w:tc>
      </w:tr>
      <w:tr>
        <w:trPr>
          <w:trHeight w:val="432"/>
        </w:trPr>
        <w:tc>
          <w:tcPr>
            <w:tcW w:w="1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Study Status</w:t>
            </w:r>
          </w:p>
        </w:tc>
        <w:tc>
          <w:tcPr>
            <w:tcW w:w="9660" w:type="dxa"/>
            <w:vAlign w:val="bottom"/>
          </w:tcPr>
          <w:p>
            <w:pPr>
              <w:ind w:left="320"/>
              <w:spacing w:after="0"/>
              <w:rPr>
                <w:sz w:val="20"/>
                <w:szCs w:val="20"/>
                <w:color w:val="auto"/>
              </w:rPr>
            </w:pPr>
            <w:r>
              <w:rPr>
                <w:rFonts w:ascii="Arial" w:cs="Arial" w:eastAsia="Arial" w:hAnsi="Arial"/>
                <w:sz w:val="18"/>
                <w:szCs w:val="18"/>
                <w:color w:val="auto"/>
              </w:rPr>
              <w:t>Recruiting.</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Seattle Genetics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October 2011, we entered into a license and collaboration agreement with Seattle Genetics granting us an exclusive right to utilize Seattle Genetics' ADC technology with our HuMax-TF antibody in return for milestone payments and royalties. We also granted Seattle Genetics a right to exercise a co-development and co-commercialization option at the end of Phase I clinical development for tisotumab vedotin. In August 2017, Seattle Genetics exercised this option to co-develop and co-commercialize tisotumab vedotin with us. Seattle Genetics will be responsible for tisotumab vedotin commercialization activities in the United States, Canada and Mexico, while we will be responsible for commercialization activities in all other territories. We are currently in discussions with Seattle Genetics regarding the detailed terms on which we will work together to commercialize tisotumab vedotin under this agreement. All costs and profits for tisotumab vedotin will be shared on a 50:50 basis. However, either party may opt out of co-development and profit-sharing in return for receiving milestone payments and royalties from the continuing party. See "—Product and Technology Collaborations—Collaborations for our Proprietary Product Candidates—Seattle Genetics Tisotumab Vedotin Collaboration" for more information regarding our agreement with Seattle Genetics.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have issued patents and pending patent applications for tisotumab vedotin in numerous jurisdictions, including the United States, Europe and Japan. Our issued U.S., European and Japanese patents covering the composition of matter do not begin to expire until December 2029. In addition to our key composition of matter patents, we have issued patents and pending patent applications in numerous jurisdictions relating to specific formulations, indications and combination therapies that may offer additional protection. See "—Intellectual Property" for more information about our patents and other intellectual property.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Enapotamab Vedotin (HuMax-AXL-ADC)</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Enapotamab vedotin (HuMax-AXL-ADC) is an ADC created to target to AXL (from </w:t>
      </w:r>
      <w:r>
        <w:rPr>
          <w:rFonts w:ascii="Arial" w:cs="Arial" w:eastAsia="Arial" w:hAnsi="Arial"/>
          <w:sz w:val="18"/>
          <w:szCs w:val="18"/>
          <w:i w:val="1"/>
          <w:iCs w:val="1"/>
          <w:color w:val="auto"/>
        </w:rPr>
        <w:t>anexelekto</w:t>
      </w:r>
      <w:r>
        <w:rPr>
          <w:rFonts w:ascii="Arial" w:cs="Arial" w:eastAsia="Arial" w:hAnsi="Arial"/>
          <w:sz w:val="18"/>
          <w:szCs w:val="18"/>
          <w:color w:val="auto"/>
        </w:rPr>
        <w:t>, or uncontrolled growth), a signaling molecule expressed on many solid cancers and implicated in tumor biology. AXL is a unique receptor tyrosine kinase, or RTK, that is aberrantly expressed in many solid tumor types and is implicated in tumor cell proliferation, migration and invasion. AXL was first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described as a transforming gene in chronic myeloid leukemia. It is a RTK that belongs to the Tyro3, AXL and Mer, or TAM, family. AXL function in normal physiology includes tissue homeostasis, regulation of inflammation and autoimmune responses and sperm production. AXL contributes to tumor progression and has been associated with poor clinical prognosis in many cancer types. Over-expression has been described in solid cancers, including lung, esophageal, ovarian, breast, cervical, thyroid, endometrial and pancreatic cancers. AXL is emerging as a marker in tumors with resistance to therapy (e.g., tyrosine kinase inhibitors, chemotherapy). In addition, over-expression of AXL is observed in advanced tumors with epithelial-mesenchymal transition, or EMT-like features.</w:t>
      </w:r>
    </w:p>
    <w:p>
      <w:pPr>
        <w:spacing w:after="0" w:line="15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Enapotamab vedotin is currently in Phase I/II development for the treatment of multiple types of solid tumors, including ovarian, cervical, endometrial, thyroid, NSCLC, melanoma and sarcoma. Enapotamab vedotin is fully owned by Genmab, and the ADC technology used with enapotamab vedotin has been licensed from Seattle Genetics.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Studies</w:t>
      </w:r>
    </w:p>
    <w:p>
      <w:pPr>
        <w:spacing w:after="0" w:line="225"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In December 2016, we announced a Phase I/II clinical trial to evaluate the safety of enapotamab vedotin the treatment of patients with solid tumors. We launched Part 1 of the study in December 2016 and Part 2a in April 2018. In May 2018, we started the NSCLC, melanoma and sarcoma expansion cohorts of the study. In September 2018, based on encouraging signs of early activity, we expanded one of the lung cancer cohorts, and announced our plans to include additional cohorts in the study. We expect to report preliminary efficacy data from the expansion cohort phase in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GCT1021-01</w:t>
      </w:r>
    </w:p>
    <w:p>
      <w:pPr>
        <w:spacing w:after="0" w:line="231" w:lineRule="exact"/>
        <w:rPr>
          <w:sz w:val="20"/>
          <w:szCs w:val="20"/>
          <w:color w:val="auto"/>
        </w:rPr>
      </w:pPr>
    </w:p>
    <w:p>
      <w:pPr>
        <w:ind w:left="1660" w:hanging="1479"/>
        <w:spacing w:after="0" w:line="286" w:lineRule="auto"/>
        <w:tabs>
          <w:tab w:leader="none" w:pos="16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Open-label, dose-escalation clinical trial with expansion cohorts to evaluate the safety of enapotamab vedotin in patients with solid tumors. We expect to enroll up to approximately 292 patients in the study. The purpose of the trial is to determine the maximum tolerated dose and to establish the safety profile of enapotamab vedotin in a mixed population of patients with specified solid tumors, as well as preliminary indications of efficacy. The trial consists of two parts; a dose escalation part (Part 1, first in-human, or FIH) and an expansion part (Part 2a). The dose escalation part has two dose escalation arms: the first arm investigates a once every 3 weeks dosing schedule and the second arm investigates a three administrations over 4 weeks dosing schedule. The expansion part of the trial will further explore the RP2D and dosing regimens of enapotamab vedotin as determined in Part 1, as well as preliminary indications of efficacy. The primary endpoints of this study are, in Part 1, DLTs to assess the recommended Part 2a dose of enapotamab vedotin and, in both phases, AEs to determine the safety and tolerability of enapotamab vedotin throughout the treatment periods of the patients participating in the trial. Secondary endpoints are efficacy measures, including tumor shrinkage and pharmacokinetic parameters of serum max concentration, or Cmax, and area under the curve, or AUC.</w:t>
      </w:r>
    </w:p>
    <w:p>
      <w:pPr>
        <w:spacing w:after="0" w:line="180" w:lineRule="exact"/>
        <w:rPr>
          <w:sz w:val="20"/>
          <w:szCs w:val="20"/>
          <w:color w:val="auto"/>
        </w:rPr>
      </w:pPr>
    </w:p>
    <w:p>
      <w:pPr>
        <w:ind w:left="180"/>
        <w:spacing w:after="0"/>
        <w:tabs>
          <w:tab w:leader="none" w:pos="1640" w:val="left"/>
          <w:tab w:leader="none" w:pos="260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8"/>
          <w:szCs w:val="18"/>
          <w:color w:val="auto"/>
        </w:rPr>
        <w:t>Recruiting.</w:t>
      </w:r>
      <w:r>
        <w:rPr>
          <w:sz w:val="20"/>
          <w:szCs w:val="20"/>
          <w:color w:val="auto"/>
        </w:rPr>
        <w:tab/>
      </w:r>
      <w:r>
        <w:rPr>
          <w:rFonts w:ascii="Arial" w:cs="Arial" w:eastAsia="Arial" w:hAnsi="Arial"/>
          <w:sz w:val="15"/>
          <w:szCs w:val="15"/>
          <w:color w:val="auto"/>
        </w:rPr>
        <w:t>We expect to report preliminary efficacy data from the expansion cohort phase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ADC Technology License from Seattle Genetics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September 2014, we entered into an ADC license agreement with Seattle Genetics. Under this agreement, we paid an upfront fee of $11.0 million for exclusive rights to utilize Seattle Genetics' ADC technology with our HuMax-AXL antibody. Pursuant to this agreement, Seattle Genetics is also entitled to receive more than $200.0 million in potential milestone payments and mid-to-high single digit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royalties on worldwide net sales of any resulting products. In addition, prior to our initiation of a Phase III study for any resulting products, Seattle Genetics has the right to exercise an option to increase the royalties to low double-digits in exchange for a reduction of the milestone payments owed by us. Irrespective of any exercise of this option, we remain in full control of the development and commercialization of any resulting products. See "—Product and Technology Collaborations—Collaborations for our Proprietary Product Candidates—Seattle Genetics ADC Technology License" for more information regarding our agreement with Seattle Genetics. Since 2014, we have paid $10.0 million in milestone payments to Seattle Genetics under this agreement. In 2017, we paid $3.0 million in milestone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HexaBody-DR5/DR5 (GEN1029)</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HexaBody-DR5/DR5 is a proprietary antibody therapeutic candidate created with our proprietary HexaBody technology. HexaBody-DR5/DR5 consists of two non-competing HexaBody molecules that are designed to target two distinct epitopes on death receptor 5, or DR5, a cell surface receptor that mediates a process called programmed cell death. Increased expression of DR5 has been reported in several types of tumors. We believe that HexaBody-DR5/DR5 may have potential in treatment of a number of solid cancers. HexaBody-DR5/DR5 is the first HexaBody molecule to enter the clinic.</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2018, we initiated a Phase I/II clinical trial of HexaBody-DR5/DR5 for the treatment of solid tumors, with the first patient dosed in May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GCT1029-01</w:t>
      </w:r>
    </w:p>
    <w:p>
      <w:pPr>
        <w:spacing w:after="0" w:line="231" w:lineRule="exact"/>
        <w:rPr>
          <w:sz w:val="20"/>
          <w:szCs w:val="20"/>
          <w:color w:val="auto"/>
        </w:rPr>
      </w:pPr>
    </w:p>
    <w:p>
      <w:pPr>
        <w:ind w:left="1660" w:right="20" w:hanging="1479"/>
        <w:spacing w:after="0" w:line="254" w:lineRule="auto"/>
        <w:tabs>
          <w:tab w:leader="none" w:pos="16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8"/>
          <w:szCs w:val="18"/>
          <w:color w:val="auto"/>
        </w:rPr>
        <w:t>Open-label, multi-center, Phase I/II clinical trial to evaluate the safety of HexaBody-DR5/DR5 in a mixed population of patients with specified solid tumors. The trial is expected to include up to approximately 188 patients. The trial consists of two parts, a Part 1 FIH dose escalation part and a Part 2a expansion part. The expansion phase of the trial will be initiated once the RP2D has been determined. The primary endpoints of this study are, in Part 1, DLTs to assess the recommended Part 2a dose of HexaBody-DR5/DR5 and, in both phases, treatment-related AEs to determine the safety and tolerability of HexaBody-DR5/DR5 throughout the treatment periods of the patients participating in the trial.</w:t>
      </w:r>
    </w:p>
    <w:p>
      <w:pPr>
        <w:spacing w:after="0" w:line="198" w:lineRule="exact"/>
        <w:rPr>
          <w:sz w:val="20"/>
          <w:szCs w:val="20"/>
          <w:color w:val="auto"/>
        </w:rPr>
      </w:pPr>
    </w:p>
    <w:p>
      <w:pPr>
        <w:ind w:left="180"/>
        <w:spacing w:after="0"/>
        <w:tabs>
          <w:tab w:leader="none" w:pos="1640" w:val="left"/>
          <w:tab w:leader="none" w:pos="260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8"/>
          <w:szCs w:val="18"/>
          <w:color w:val="auto"/>
        </w:rPr>
        <w:t>Recruiting.</w:t>
      </w:r>
      <w:r>
        <w:rPr>
          <w:sz w:val="20"/>
          <w:szCs w:val="20"/>
          <w:color w:val="auto"/>
        </w:rPr>
        <w:tab/>
      </w:r>
      <w:r>
        <w:rPr>
          <w:rFonts w:ascii="Arial" w:cs="Arial" w:eastAsia="Arial" w:hAnsi="Arial"/>
          <w:sz w:val="16"/>
          <w:szCs w:val="16"/>
          <w:color w:val="auto"/>
        </w:rPr>
        <w:t>We expect to report initial clinical data from this study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IDD Biotech Asset Purchase Agreement</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March 2015, we entered into an asset purchase agreement with IDD Biotech SAS, or IDD Biotech, to acquire DR5 antibodies and the intellectual property rights associated therewith in connection with our development of HexaBody-DR5/DR5. We obtained all right, title and interest in the antibodies and related technology of HexaBody-DR5/DR5 in exchange for an upfront payment of €2.5 million and a subsequent selection milestone payment of €3.5 million for the selection of a clinical candidate. We are also subject to meeting development and sales milestones that, if all achieved, would require us to make payments totaling approximately €100.0 million. Upon the first commercial sale of a product derived from the purchased antibodies, we would also make, on a country-by-country basis, low-single digit quarterly royalty payments on net sales of such product. We can develop and commercialize the purchased antibodies for use in any field except the diagnostic field and we are entitled to out-license the antibodies to any third party for development and commercialization. Patents for the purchased antibodies have been assigned to us and we are the sole owner of any intellectual property rights related to these antibodies. See "—Product and Technology Collaborations—Collaborations for our Proprietary Product Candidates—IDD Biotech Asset Purchase Agreement" for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more information regarding our agreement with IDD Biotech. Since 2015, we have paid €3.5 million in milestone payments to IDD Biotech. In 2017, there were no milestone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DuoBody-CD3xCD20 (GEN3013)</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DuoBody-CD3xCD20 is a proprietary bispecific antibody therapeutic candidate created using our proprietary DuoBody technology. DuoBody-CD3xCD20 is designed to target CD3, which is expressed on all T-cell subtypes and is part of the T-cell receptor, and CD20, a clinically well-validated therapeutic target. CD20 is expressed in a majority of B-cell malignancies, including CLL, diffuse large B-cell lymphoma, follicular lymphoma and mantle cell lymphoma. Binding CD20 on B-cells and CD3 on T-cells can engage T-cells and redirect their activity against B-cells. T-cell activation—a result of the CD20-CD3 interaction—promotes the proliferation/expansion of pre-existing T-cells, which may further contribute to the depletion of B-cells. In a number of laboratory models, DuoBody-CD3xCD20 has shown high potency in killing CD20+ tumors and induced potent tumor cell lysis across a panel of B-cell tumor lines. A variety of B-cell xenograft models also indicated that DuoBody-CD3xCD20 induces tumor cell regression. In addition, in cynomolgus monkeys, both subQ and IV formulations of DuoBody-CD3XCD20 resulted in rapid and sustained B-cell depletion in the periphery and the lymph nodes. We believe that DuoBody-CD3xCD20 could also have potential to treat B-cell malignancies.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dosed the first patient in a Phase I/II study of a subQ formulation of DuoBody-CD3xCD20 for the treatment of B-cell malignancies in July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GCT3013-01</w:t>
      </w:r>
    </w:p>
    <w:p>
      <w:pPr>
        <w:spacing w:after="0" w:line="231" w:lineRule="exact"/>
        <w:rPr>
          <w:sz w:val="20"/>
          <w:szCs w:val="20"/>
          <w:color w:val="auto"/>
        </w:rPr>
      </w:pPr>
    </w:p>
    <w:p>
      <w:pPr>
        <w:ind w:left="1660" w:right="120" w:hanging="1479"/>
        <w:spacing w:after="0" w:line="290" w:lineRule="auto"/>
        <w:tabs>
          <w:tab w:leader="none" w:pos="1640" w:val="left"/>
        </w:tabs>
        <w:rPr>
          <w:sz w:val="20"/>
          <w:szCs w:val="20"/>
          <w:color w:val="auto"/>
        </w:rPr>
      </w:pPr>
      <w:r>
        <w:rPr>
          <w:rFonts w:ascii="Arial" w:cs="Arial" w:eastAsia="Arial" w:hAnsi="Arial"/>
          <w:sz w:val="18"/>
          <w:szCs w:val="18"/>
          <w:i w:val="1"/>
          <w:iCs w:val="1"/>
          <w:color w:val="auto"/>
        </w:rPr>
        <w:t>Study Design</w:t>
      </w:r>
      <w:r>
        <w:rPr>
          <w:sz w:val="20"/>
          <w:szCs w:val="20"/>
          <w:color w:val="auto"/>
        </w:rPr>
        <w:tab/>
      </w:r>
      <w:r>
        <w:rPr>
          <w:rFonts w:ascii="Arial" w:cs="Arial" w:eastAsia="Arial" w:hAnsi="Arial"/>
          <w:sz w:val="16"/>
          <w:szCs w:val="16"/>
          <w:color w:val="auto"/>
        </w:rPr>
        <w:t>Open-label, multi-center, Phase I/II trial to determine the maximum tolerated dose and the RP2D, as well as to establish the safety profile of DuoBody-CD3xCD20, in patients with relapsed, progressive or refractory B-cell lymphoma. The trial is expected to include up to approximately 110 patients. The trial consists of two parts: a FIH Part 1 dose escalation and a Part 2a expansion. The expansion part of the trial will be initiated once the RP2D has been determined. The primary endpoints of this study are, in Part 1, DLTs to assess the recommended Part 2a dose of DuoBody-CD3xCD20 and, in both phases, treatment-related AEs. Secondary endpoints are efficacy measures, including cytokine measures, area under the concentration time curve, or AUCO-C, maximum plasma concentration and reduction in tumor size, and immunogenicity measures.</w:t>
      </w:r>
    </w:p>
    <w:p>
      <w:pPr>
        <w:spacing w:after="0" w:line="172" w:lineRule="exact"/>
        <w:rPr>
          <w:sz w:val="20"/>
          <w:szCs w:val="20"/>
          <w:color w:val="auto"/>
        </w:rPr>
      </w:pPr>
    </w:p>
    <w:p>
      <w:pPr>
        <w:ind w:left="180"/>
        <w:spacing w:after="0"/>
        <w:tabs>
          <w:tab w:leader="none" w:pos="1640" w:val="left"/>
          <w:tab w:leader="none" w:pos="2600" w:val="left"/>
        </w:tabs>
        <w:rPr>
          <w:sz w:val="20"/>
          <w:szCs w:val="20"/>
          <w:color w:val="auto"/>
        </w:rPr>
      </w:pPr>
      <w:r>
        <w:rPr>
          <w:rFonts w:ascii="Arial" w:cs="Arial" w:eastAsia="Arial" w:hAnsi="Arial"/>
          <w:sz w:val="18"/>
          <w:szCs w:val="18"/>
          <w:i w:val="1"/>
          <w:iCs w:val="1"/>
          <w:color w:val="auto"/>
        </w:rPr>
        <w:t>Study Status</w:t>
      </w:r>
      <w:r>
        <w:rPr>
          <w:sz w:val="20"/>
          <w:szCs w:val="20"/>
          <w:color w:val="auto"/>
        </w:rPr>
        <w:tab/>
      </w:r>
      <w:r>
        <w:rPr>
          <w:rFonts w:ascii="Arial" w:cs="Arial" w:eastAsia="Arial" w:hAnsi="Arial"/>
          <w:sz w:val="18"/>
          <w:szCs w:val="18"/>
          <w:color w:val="auto"/>
        </w:rPr>
        <w:t>Recruiting.</w:t>
      </w:r>
      <w:r>
        <w:rPr>
          <w:sz w:val="20"/>
          <w:szCs w:val="20"/>
          <w:color w:val="auto"/>
        </w:rPr>
        <w:tab/>
      </w:r>
      <w:r>
        <w:rPr>
          <w:rFonts w:ascii="Arial" w:cs="Arial" w:eastAsia="Arial" w:hAnsi="Arial"/>
          <w:sz w:val="16"/>
          <w:szCs w:val="16"/>
          <w:color w:val="auto"/>
        </w:rPr>
        <w:t>We expect to report preliminary data from this study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Pre-Clinical Pipeline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our marketed products and clinical product candidates, we have approximately 20 active in-house and partnered pre-clinical programs. Our pre-clinical pipeline builds on our proprietary technologies and may include naked antibodies, immune effector function enhanced antibodies developed with our HexaBody technology, bispecific antibodies created with our DuoBody platform and bispecific antibodies with target-mediated enhanced hexamerization created with our DuoHexaBody platform, as well as various ADC formats. We anticipate submitting INDs to the FDA and/or CTAs to the EMA for three of our proprietary pre-clinical products in 2019, DuoHexaBody-CD37, DuoBody-CD40x4-1BB and DuoBody-PD-L1x4-1BB. A number of the pre-clinical programs are carried out in cooperation with our partners, including the DuoBody-CD40x4-1BB and DuoBody-PD-L1x4-1BB immune-oncology programs with BioNTech and our new research collaboration and exclusive license agreement with Immatics. See "—Product and Technology Collaborations" below for more information about our partnerships.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most advanced proprietary pre-clinical programs are:</w:t>
      </w:r>
    </w:p>
    <w:p>
      <w:pPr>
        <w:spacing w:after="0" w:line="239" w:lineRule="exact"/>
        <w:rPr>
          <w:sz w:val="20"/>
          <w:szCs w:val="20"/>
          <w:color w:val="auto"/>
        </w:rPr>
      </w:pPr>
    </w:p>
    <w:p>
      <w:pPr>
        <w:ind w:left="1080" w:right="80" w:hanging="532"/>
        <w:spacing w:after="0" w:line="28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DuoHexaBody-CD37</w:t>
      </w:r>
      <w:r>
        <w:rPr>
          <w:rFonts w:ascii="Arial" w:cs="Arial" w:eastAsia="Arial" w:hAnsi="Arial"/>
          <w:sz w:val="16"/>
          <w:szCs w:val="16"/>
          <w:color w:val="auto"/>
        </w:rPr>
        <w:t>. DuoHexaBody-CD37 is a bispecific IgG1 with an E430G hexamerization-enhancing mutation in the IgG Fc domain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created with our proprietary DuoHexaBody technology platform. DuoHexaBody-CD37 is designed to target two non-overlapping epitopes on CD37. In pre-clinical settings DuoHexaBody-CD37 has been shown to induce potent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anti-tumor activity through superior CDC and potent ADCC across a broad panel of lymphoma cell lines expressing various levels of CD37. In whole blood, DuoHexaBody-CD37 depleted B-cells, but not other leukocyte populations. B-cells were the highest expressors of CD37. In xenograft models of DuoHexaBody-CD37 on Burkitt's lymphoma, CLL and B-cell lymphoma, DuoHexaBody-CD37 inhibited tumor growth at levels as low as 0.1 mg/kg. Treatment results in potent tumor cell lysis studies in a variety of B-cell malignancies also indicated that DuoHexaBody-CD37 may be more potent than CD20 antibodies on the same types of cells. We expect to submit an IND to the FDA and/or a CTA to the EMA in 2019 to test DuoHexaBody-CD37 in a clinical study.</w:t>
      </w:r>
    </w:p>
    <w:p>
      <w:pPr>
        <w:spacing w:after="0" w:line="199"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DuoBody-CD40x4-1BB</w:t>
      </w:r>
      <w:r>
        <w:rPr>
          <w:rFonts w:ascii="Arial" w:cs="Arial" w:eastAsia="Arial" w:hAnsi="Arial"/>
          <w:sz w:val="16"/>
          <w:szCs w:val="16"/>
          <w:color w:val="auto"/>
        </w:rPr>
        <w:t>. DuoBody-CD40x4-1BB is a bispecific antibody designed to target CD40 and 4-1BB (CD137) using an inert Fc</w:t>
      </w:r>
      <w:r>
        <w:rPr>
          <w:rFonts w:ascii="Arial" w:cs="Arial" w:eastAsia="Arial" w:hAnsi="Arial"/>
          <w:sz w:val="16"/>
          <w:szCs w:val="16"/>
          <w:i w:val="1"/>
          <w:iCs w:val="1"/>
          <w:color w:val="auto"/>
        </w:rPr>
        <w:t xml:space="preserve"> </w:t>
      </w:r>
      <w:r>
        <w:rPr>
          <w:rFonts w:ascii="Arial" w:cs="Arial" w:eastAsia="Arial" w:hAnsi="Arial"/>
          <w:sz w:val="16"/>
          <w:szCs w:val="16"/>
          <w:color w:val="auto"/>
        </w:rPr>
        <w:t>backbone, which we created in collaboration with BioNTech using our proprietary DuoBody technology platform and BioNTech's CD40 and 4-1BB antibodies. We are conducting our research on DuoBody-CD40x4-1BB for potential treatment of solid cancers in collaboration with our partner BioNTech. DuoBody-CD40x4-1BB is designed to target CD40 and 4-1BB enhanced both DC- and antigen-dependent T-cell activation, using an inert DuoBody format. In pre-clinical settings, DuoBody-CD40x4-1BB simultaneously activated APC and enhance T-cell activation. Pre-clinical studies also indicated the conditional activation and expansion of previously activated cytotoxic CD8+ T-cells, clonal expansion of T-cells and cytokine production resulting from DuoBody-CD40x4-1BB. We expect to submit an IND to the FDA and/or a CTA to the EMA in 2019 to test DuoBody-CD40x4-1BB in a clinical study. See "—Product and Technology Collaborations—Collaborations for our Proprietary Product Candidates—BioNTech DuoBody Collaboration" for more information regarding our collaboration with BioNTech.</w:t>
      </w:r>
    </w:p>
    <w:p>
      <w:pPr>
        <w:spacing w:after="0" w:line="186" w:lineRule="exact"/>
        <w:rPr>
          <w:rFonts w:ascii="Arial" w:cs="Arial" w:eastAsia="Arial" w:hAnsi="Arial"/>
          <w:sz w:val="16"/>
          <w:szCs w:val="16"/>
          <w:color w:val="auto"/>
        </w:rPr>
      </w:pPr>
    </w:p>
    <w:p>
      <w:pPr>
        <w:ind w:left="1080" w:right="220" w:hanging="532"/>
        <w:spacing w:after="0" w:line="285"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DuoBody-PD-L1x4-1BB</w:t>
      </w:r>
      <w:r>
        <w:rPr>
          <w:rFonts w:ascii="Arial" w:cs="Arial" w:eastAsia="Arial" w:hAnsi="Arial"/>
          <w:sz w:val="16"/>
          <w:szCs w:val="16"/>
          <w:color w:val="auto"/>
        </w:rPr>
        <w:t>. DuoBody-PD-L1x4-1BB is a bispecific antibody designed to target PD-L1 and 4-1BB using an inert Fc backbone,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created in collaboration with BioNTech using our proprietary DuoBody technology platform and BioNTech's PD-L1 and 4-</w:t>
      </w:r>
    </w:p>
    <w:p>
      <w:pPr>
        <w:spacing w:after="0" w:line="1" w:lineRule="exact"/>
        <w:rPr>
          <w:rFonts w:ascii="Arial" w:cs="Arial" w:eastAsia="Arial" w:hAnsi="Arial"/>
          <w:sz w:val="16"/>
          <w:szCs w:val="16"/>
          <w:color w:val="auto"/>
        </w:rPr>
      </w:pPr>
    </w:p>
    <w:p>
      <w:pPr>
        <w:ind w:left="1080" w:right="20"/>
        <w:spacing w:after="0" w:line="287" w:lineRule="auto"/>
        <w:rPr>
          <w:rFonts w:ascii="Arial" w:cs="Arial" w:eastAsia="Arial" w:hAnsi="Arial"/>
          <w:sz w:val="16"/>
          <w:szCs w:val="16"/>
          <w:color w:val="auto"/>
        </w:rPr>
      </w:pPr>
      <w:r>
        <w:rPr>
          <w:rFonts w:ascii="Arial" w:cs="Arial" w:eastAsia="Arial" w:hAnsi="Arial"/>
          <w:sz w:val="16"/>
          <w:szCs w:val="16"/>
          <w:color w:val="auto"/>
        </w:rPr>
        <w:t>1BB antibodies. We are conducting our research on DuoBody-PD-L1x4-1BB for potential treatment of solid cancers in collaboration with our partner BioNTech. DuoBody-PD-L1x4-1BB is designed to target PD-L1 and 4-1BB to block the inhibitory PD-1/PD-L1 axis and simultaneously activate essential co-stimulatory activity via 4-1BB using an inert DuoBody antibody format. In pre-clinical settings, DuoBody-PD-L1x4-1BB promoted conditional T-cell activation in a tumor-specific manner by simultaneous activation and release of the key inhibitory brake. Pre-clinical studies also indicated a release of T-cell inhibition through the PD-1/PD-L1 axis, including in the absence of 4-1BB, strong co-stimulation via the agonistic activity of 4-1BB and T-cell clonal expansion. We expect to submit an IND to the FDA and/or a CTA to the EMA in 2019 to test DuoBody-CD40x4-1BB in a clinical study. See "—Product and Technology Collaborations—Collaborations for our Proprietary Product Candidates—BioNTech DuoBody Collaboration" for more information regarding our collaboration with BioNTech.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Partnered Programs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to our two marketed products and four proprietary clinical product candidates, our partners are conducting clinical development programs with antibodies created by us or created using our DuoBody bispecific antibody technology. The following chart summarizes the disease indications and most advanced development status for each of the partnered product candidates in our clinical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pipeline. Our partnered product pipeline also includes a number of product candidates in pre-clinical development by our partners. See "—Product and Technology Collaborations" below for more information about our partnerships. Unless otherwise indicated, data for all clinical studies for partnered programs presented below are based on reports we have received from our partners, reports our partners have published or presented regarding these studies or information published on clinicaltrials.gov.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497955" cy="2922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9795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Horizon Pharma is conducting clinical development of teprotumumab under a sublicense from Roche.</w:t>
      </w:r>
    </w:p>
    <w:p>
      <w:pPr>
        <w:ind w:left="540" w:right="180" w:hanging="532"/>
        <w:spacing w:after="0" w:line="227" w:lineRule="auto"/>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Created using our proprietary DuoBody technology through our DuoBody collaboration with Janssen. See "—Product and Technology Collaborations—Collaborations and Other Agreements for our Partnered Product Candidates—Janssen DuoBody Collaboration" for more information regarding our DuoBody collaboration with Janssen.</w:t>
      </w:r>
    </w:p>
    <w:p>
      <w:pPr>
        <w:ind w:left="540" w:hanging="532"/>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 June 2018, this study was put on clinical hold by the FDA due to the occurrence of a Grade 3 adverse event. The clinical hold has since been lifted and the study is currently ongoing.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developed proprietary antibody technology platforms that provide the foundation for our research, a resource for the development of new product candidates, an income stream from technology licensing and an opportunity to contribute to the development of new antibody therapies through our licensing partners. Our proprietary technologies include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We believe these technologies may be the next step towards the development of effective treatments in the already successful field of antibody therapeutics.</w:t>
      </w:r>
    </w:p>
    <w:p>
      <w:pPr>
        <w:spacing w:after="0" w:line="17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also license technologies from a number of other companies that we use or have used to contribute to the antibody products in our pipeline. Key technologies include Seattle Genetics' ADC technologies, the OmniAb® transgenic mouse and rat platforms from Open Monoclonal Technology, Inc. (acquired by Ligand Pharmaceuticals Incorporated), or OMT, certain transgenic mouse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technologies from Medarex, Inc., a wholly owned subsidiary of BMS, or Medarex, the rabbit antibody platform from MAB Discovery GmbH and certain expression systems used by Lonza for production of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DuoBody Platform</w:t>
      </w:r>
    </w:p>
    <w:p>
      <w:pPr>
        <w:spacing w:after="0" w:line="225"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DuoBody platform is our innovative proprietary platform for the creation and development of bispecific antibodies. Bispecific antibodies bind to two different epitopes (or "docking" sites) either on the same, or on different targets (also known as dual-targeting). We believe that dual-targeting may improve binding specificity and enhance therapeutic efficacy or bring two different cells together (for example engaging a T-cell to kill a tumor cell). Bispecific antibodies generated with our DuoBody platform can be used for the development of potential therapeutics for cancer, hemophilia and autoimmune, infectious, cardiovascular and central nervous system diseases. DuoBody molecules are designed to combine the benefits of bispecificity with the strengths of conventional antibodies, which may allow DuoBody molecules to be administered and dosed in the same way as other antibody therapeutics. Based on a proof-of-concept study, we believe that our DuoBody platform generates bispecific antibodies via a versatile and broadly applicable process which has the potential to be easily performed at high throughput, at standard bench, as well as on a commercial manufacturing scale. We use the DuoBody platform to create our own bispecific antibody programs and we actively seek partners interested in developing antibody therapeutics using our DuoBody technology. We currently have four commercial partners for the DuoBody technology, Janssen, BioNTech, Novo Nordisk and Gilead Sciences. See "—Product and Technology Collaborations —Collaborations and Other Agreements for our Partnered Products" for more information about our current licenses and collaborations.</w:t>
      </w:r>
    </w:p>
    <w:p>
      <w:pPr>
        <w:spacing w:after="0" w:line="16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DuoBody-CD3xCD20 is our first proprietary bispecific antibody created with DuoBody technology to reach clinical development. A Phase I/II study of DuoBody-CD3xCD20 for the treatment of B-cell malignancies is ongoing. See "—Our Products and Product Candidates—DuoBody-CD3xCD20 (GEN3013)" above for more information about DuoBody-CD3xCD20. In addition, we anticipate submitting INDs and/or CTAs in 2019 for two proprietary product candidates developed through our DuoBody collaboration with BioNTech, DuoBody-CD40x4-1BB and DuoBody-PD-L1x4-1BB. See "—Our Products and Product Candidates—Proprietary Pre-Clinical Pipeline" for more information about these product candidates and "—Product and Technology Collaborations— Collaborations for our Proprietary Product Candidates—BioNTech DuoBody Collaboration" for more information about our collaboration with BioNTech. In addition, Janssen has progressed a number of product candidates into clinical development through our DuoBody partnership. See "—Our Products and Product Candidates—Collaborations and Other Agreements for our Partnered Product Candidates—Janssen DuoBody Collaboration" for more information about our DuoBody collaboration with Janssen.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HexaBody Platform</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complement-mediated killing design, allowing antibodies with limited or absent killing capacity to be transformed into potent, cytotoxic antibodies. In addition to complement-mediated killing, the clustering of membrane receptors by the HexaBody platform may lead to subsequent outside-in signaling (e.g. in the case of our HexaBody-DR5/DR5 product leading to cell death). The HexaBody technology creates opportunities to explore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new product candidates, to repurpose drug candidates unsuccessful in previous clinical trials due to insufficient potency and may provide a useful strategy in product life cycle management. We believe that the HexaBody technology is broadly applicable and may be combined with our DuoBody platform as well as other antibody technologies. The technology has the potential to enhance antibody therapeutics for a broad range of applications in cancer and infectious diseases.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HexaBody-DR5/DR5 is our first proprietary antibody created with HexaBody technology to reach clinical development. A Phase I/II clinical trial of HexaBody-DR5/DR5 for the treatment of solid tumors is ongoing. See "—Our Products and Product Candidates—HexaBody-DR5/DR5 (GEN1029)" above for more information about HexaBody-DR5/DR5. We actively seek new partners interested in developing antibody therapeutics using our Hexabody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DuoHexaBody Platform</w:t>
      </w:r>
    </w:p>
    <w:p>
      <w:pPr>
        <w:spacing w:after="0" w:line="225" w:lineRule="exact"/>
        <w:rPr>
          <w:sz w:val="20"/>
          <w:szCs w:val="20"/>
          <w:color w:val="auto"/>
        </w:rPr>
      </w:pPr>
    </w:p>
    <w:p>
      <w:pPr>
        <w:ind w:right="80" w:firstLine="348"/>
        <w:spacing w:after="0" w:line="317" w:lineRule="auto"/>
        <w:rPr>
          <w:sz w:val="20"/>
          <w:szCs w:val="20"/>
          <w:color w:val="auto"/>
        </w:rPr>
      </w:pPr>
      <w:r>
        <w:rPr>
          <w:rFonts w:ascii="Arial" w:cs="Arial" w:eastAsia="Arial" w:hAnsi="Arial"/>
          <w:sz w:val="15"/>
          <w:szCs w:val="15"/>
          <w:color w:val="auto"/>
        </w:rPr>
        <w:t>The DuoHexaBody platform is a novel proprietary technology that combines the dual targeting design of our DuoBody technology with the potential enhanced potency of our HexaBody technology, creating bispecific antibodies with a target-mediated enhanced hexamerization design. We currently have one proprietary bispecific antibody created with DuoHexaBody technology in pre-clinical development, DuoHexaBody-CD37. We expect to submit an IND and/or a CTA in 2019 to test DuoHexaBody-CD37 in a clinical study. See "—Our Products and Product Candidates—Proprietary Pre-Clinical Pipeline" above for more information about DuoHexaBody-CD37. We actively seek partners interested in developing antibody therapeutics using our DuoHexaBody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HexElect Platform</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HexElect platform is a novel proprietary technology that combines two HexaBody molecules in order to selectively hit only those cells that express both targets. The HexElect platform maximizes potency while minimizing potential toxicity, potentially leading to more potent and safer products. We actively seek partners interested in developing antibody therapeutics using our HexElect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Technologies and Collaboration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Antibody-Drug Conjugates</w:t>
      </w:r>
    </w:p>
    <w:p>
      <w:pPr>
        <w:spacing w:after="0" w:line="225"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Certain of our product candidates use ADC technology licensed from our partners. ADCs are mAbs designed to be coupled with potent toxic agents. By using antibodies designed to recognize specific targets on tumor cells, these toxic agents can be preferentially delivered to these cells. In this way, only malignant cells would be killed leaving the healthy cells intact. We have entered into an ADC license and collaboration agreement with Seattle Genetics in connection with tisotumab vedotin, which we are developing in collaboration with Seattle Genetics, and we license Seattle Genetics' ADC technology for use in our development of enapotamab vedotin. We also license ADC Therapeutics' PBD-based warhead and linker technology for camidanlumab tesirine, a product candidate currently in clinical development by ADC Therapeutics. For more information about these agreements, see "—Product and Technology Collaborations"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 Generation and Production Technology Platforms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license technologies from a number of other companies that we use or have used to generate or produce antibodies for our product pipeline. Key technologies include the OmniAb transgenic mouse and rat platforms from OMT, certain transgenic mouse technologies from Medarex, the rabbit antibody platform from MAB Discovery GmbH and certain expression systems used by Lonza for production of our product candidates. See "—Product and Technology Collaborations" for more information about our technology licenses.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Translational Research Capabilities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Leveraging our expertise in antibody technologies and product development, we are expanding our translational research capabilities with the goal of building a library of antibody therapeutics that can be tailored to patients. Our translational research capabilities will be designed to profile and catalog patient tumor and immune genotype/phenotype and match our antibody therapies with appropriate patient populations. In addition, we intend to expand our data science capabilities to be able to probe our clinical and translational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Since inception, we have devoted significant time and resources to create and develop daratumumab, ofatumumab, our product candidates and our antibody-based technologies. For the year ended December 31, 2017, we recorded DKK 874.3 million in research and development expenses. We expect our research and development expenses, along with our other operating expenses, to increase substantially over the next few years as we advance our proprietary product pipeline through clinical development and towards regulatory approval and commercialization.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do not currently manufacture the drug products that we need to conduct our clinical trials, and we therefore rely on our partners or contract manufacturing organizations, or CMOs, to supply drug product for our IND-enabling studies, clinical trials and process validation batches and related activities for BLA and other regulatory submissions, and we expect to rely on such partners or CMOs for production of commercial supply of our products in the future. 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172"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have no involvement with the manufacturing process for our marketed products, DARZALEX and Arzerra, which are handled by Janssen and Novartis, respectively, under the applicable agreements. Currently, the majority of the drug products required for our clinical trials and pre-clinical studies are manufactured by Lonza. In addition, we rely on other third parties to perform additional steps in the manufacturing process, including fill and finish, shipping and storage of drug products and our product candidates. To meet our expected needs for commercial manufacturing in connection with the anticipated commercial launch of tisotumab vedotin, we are currently in negotiations with a CMO to manufacture commercial quantities of tisotumab vedotin, subject to regulatory approval. We currently have no plans to build our own clinical or commercial scale manufacturing capabilities. Although we rely on our cGMP manufacturers and suppliers, we have personnel with substantial manufacturing and production experience to oversee our relationships with such manufacturers and suppliers.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While we believe that Lonza and our other CMOs are capable of producing sufficient quantities of drug product to support our currently planned commercialization, clinical trials and pre-clinical studies, we also believe that there are a number of alternative third-party manufacturers that have similar capabilities that would be capable of providing sufficient quantities of commercial products and drug product for our planned clinical trials and pre-clinical studies. However, should Lonza and/or our other CMOs not be able to provide sufficient quantities of commercial products or drug product for our planned commercialization, clinical trials or pre-clinical studies, we would be required to seek other CMOs to provide this drug product, potentially resulting in a delay in such trials or delivery of our commercialized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marketed products, DARZALEX and Arzerra, are marketed by Janssen and Novartis, respectively, under worldwide license agreements with us. We receive royalties from Janssen and Novartis based on net sales of DARZALEX and Arzerra, but we are not involved with commercialization activities or strategy.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with oncology products in the United States, Europe and Japan, with an initial focus on achieving commercial launch readiness in Western Europe and Japan to support the potential launch of tisotumab vedotin for the treatment of cervical cancer in these jurisdictions, subject to obtaining regulatory approval and, where applicable, reimbursement approval. We view Japan as a promising commercial opportunity where a modest commercial and medical affairs infrastructure has the potential to become a high value investment. Given the low rate of cancer screening and HPV vaccinations in Japan, cervical cancer presents a significant unmet need in the Japanese medical market. With respect to the U.S. launch of tisotumab vedotin, under our collaboration agreement, Seattle Genetics is responsible for commercialization activities in the United States, Canada, and Mexico, and we are responsible for commercialization activities in all other territories. We are currently in discussions with Seattle Genetics regarding the detailed terms on which we will work together to commercialize tisotumab vedotin under this agreement.</w:t>
      </w:r>
    </w:p>
    <w:p>
      <w:pPr>
        <w:spacing w:after="0" w:line="17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Moving forward, we may choose to commercialize new products, fully by ourselves or partially, or we may rely on our partners to commercialize new products. This will be determined on a product-by-product or indication-by-indication basis in each proposed market and will depend on the agreements we have with our partners and our assessment of the most effective commercialization plan to benefit patients and create value for our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description of competition in certain of our products and product candidates.</w:t>
      </w:r>
    </w:p>
    <w:p>
      <w:pPr>
        <w:spacing w:after="0" w:line="225" w:lineRule="exact"/>
        <w:rPr>
          <w:sz w:val="20"/>
          <w:szCs w:val="20"/>
          <w:color w:val="auto"/>
        </w:rPr>
      </w:pPr>
    </w:p>
    <w:p>
      <w:pPr>
        <w:ind w:right="200" w:firstLine="348"/>
        <w:spacing w:after="0" w:line="304" w:lineRule="auto"/>
        <w:rPr>
          <w:sz w:val="20"/>
          <w:szCs w:val="20"/>
          <w:color w:val="auto"/>
        </w:rPr>
      </w:pPr>
      <w:r>
        <w:rPr>
          <w:rFonts w:ascii="Arial" w:cs="Arial" w:eastAsia="Arial" w:hAnsi="Arial"/>
          <w:sz w:val="15"/>
          <w:szCs w:val="15"/>
          <w:color w:val="auto"/>
        </w:rPr>
        <w:t>With respect to daratumumab, there are numerous other FDA-approved drugs for the treatment of MM, including immunomodulating agents such as Celgene's Revlimid and Pomalyst®; PIs such as Janssen and Takeda's Velcade®, Amgen's Kyprolis®, and Takeda's Ninlaro®; histone deacetylase inhibitors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such as Novartis' Farydak®; and mAbs such as BMS' Empliciti</w:t>
      </w:r>
      <w:r>
        <w:rPr>
          <w:rFonts w:ascii="Arial" w:cs="Arial" w:eastAsia="Arial" w:hAnsi="Arial"/>
          <w:sz w:val="26"/>
          <w:szCs w:val="26"/>
          <w:color w:val="auto"/>
          <w:vertAlign w:val="superscript"/>
        </w:rPr>
        <w:t>TM</w:t>
      </w:r>
      <w:r>
        <w:rPr>
          <w:rFonts w:ascii="Arial" w:cs="Arial" w:eastAsia="Arial" w:hAnsi="Arial"/>
          <w:sz w:val="16"/>
          <w:szCs w:val="16"/>
          <w:color w:val="auto"/>
        </w:rPr>
        <w:t>. Several of these drugs are used in combination with chemotherapy and corticosteroids. The competition daratumumab faces from these and other therapies is intensifying. Additionally, Sanofi is conducting several Phase III clinical trials with isatuximab, a CD38 antibody, for the treatment of MM. We are also aware of numerous additional investigational agents that are currently being studied. If any of these investigational agents are successful they may compete with daratumumab in the future. Data have also been presented on several developing technologies and related potential products, including bispecific antibodies, ADCs and CAR-Ts that may compete with daratumumab in the future.</w:t>
      </w:r>
    </w:p>
    <w:p>
      <w:pPr>
        <w:spacing w:after="0" w:line="19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Ofatumumab is currently being investigated by Novartis in a low dose subQ formulation for the treatment of RMS in the Phase III ASCLEPIOS I and II clinical studies. Competition in the MS market is intense. There are numerous FDA-approved drugs for the treatment of the various forms of MS, including Biogen Inc.'s Tecfidera®, Novartis' GILENYA®, Sanofi's AUBAGIO® and several mAbs such as Genentech's OCREVUS® (a CD20 antibody), Sanofi's LEMTRADA®, Biogen's TYSABRI®; glatiramer acetate-based therapies such as Teva Pharmaceutical Industries Limited's COPAXONE® and Sandoz's Glatopa®; and interferon-beta-based therapies such as Biogen's AVONEX® and PLEGRIDY®, Bayer AG's BETASERON®/Betaferon®, Novartis' EXTAVIA®, and Merck KGaA's Rebif®. A number of companies are also working to develop additional potential treatments for MS that may in the future further intensify the competition in the MS market, such as Celgene's Ozanimod and Novartis' Siponimod currently being evaluated in Phase III clinical trials. Potential future sales may also be negatively impacted by the introduction of generics, prodrugs of existing therapeutics or biosimilars of existing products and other technologies.</w:t>
      </w:r>
    </w:p>
    <w:p>
      <w:pPr>
        <w:spacing w:after="0" w:line="173"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With respect to tisotumab vedotin, we are aware of other companies that currently have products in development for the treatment of late-stage cervical cancer which could be competitive with tisotumab vedotin, including checkpoint inhibitors from Agenus Inc., Regeneron Pharmaceuticals Inc., BMS, Merck, Roche, and Innovent Biologics, Inc. as well as other drugs in development from companies such as Immunomedics.</w:t>
      </w:r>
    </w:p>
    <w:p>
      <w:pPr>
        <w:spacing w:after="0" w:line="16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antibody, CAR-T and RNA-based technologies. In addition, our DuoBody and other technology partners may develop compounds utilizing our technology that may compete with product candidates that we are developing.</w:t>
      </w:r>
    </w:p>
    <w:p>
      <w:pPr>
        <w:spacing w:after="0" w:line="1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in the United States, the Biologics Price Competition and Innovation Act of 2009 created an abbreviated approval pathway for biological products that are demonstrated to be "highly similar" or "biosimilar" to or "interchangeable" with an FDA-approved biological product. This pathway allows competitors to reference the FDA's prior approvals regarding innovative biological</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In the European Union,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17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our products, product candidates and technology platforms;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license additional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complete clinical trials which position our products for regulatory and commercial success;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a proprietary position in our technologies and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required government and other public and private approvals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attract and retain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commercialize effectively;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reimbursement for our products in approved indications;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efficient manufacturing processes and supply chain;</w:t>
      </w:r>
    </w:p>
    <w:p>
      <w:pPr>
        <w:spacing w:after="0" w:line="238" w:lineRule="exact"/>
        <w:rPr>
          <w:rFonts w:ascii="Arial" w:cs="Arial" w:eastAsia="Arial" w:hAnsi="Arial"/>
          <w:sz w:val="18"/>
          <w:szCs w:val="18"/>
          <w:color w:val="auto"/>
        </w:rPr>
      </w:pPr>
    </w:p>
    <w:p>
      <w:pPr>
        <w:ind w:left="1080" w:right="1120" w:hanging="532"/>
        <w:spacing w:after="0" w:line="33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 into additional collaborations to advance the development and commercialization of our product candidates.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Technology Collaborations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enter into collaborations with biotechnology and pharmaceutical companies to advance the development and commercialization of our product candidates and to supplement our internal pipeline.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seek collaborations that will allow us to retain significant future participation in product sales through either profit-sharing or royalties paid on net sales. We also have licensed our DuoBody technology to partners for use in the development of their own antibodies. These technology collaborations benefit us in many ways, including generating cash flow and revenues that partially offset expenditures on our internal research and development programs, expanding our knowledge base regarding antibody technology across multiple targets and antibodies provided by our partners, and providing us with future pipeline opportunities through co-development or opt-in rights to new product candidates created using our technology.</w:t>
      </w:r>
    </w:p>
    <w:p>
      <w:pPr>
        <w:spacing w:after="0" w:line="169"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also license technologies from a number of other companies that we use or have used to contribute to the antibody products in our pipeline. Key technologies include Seattle Genetics' ADC technologies, the OmniAb transgenic mouse and rat platforms from OMT, certain transgenic mouse technologies from Medarex, the rabbit antibody platform from MAB Discovery GmbH and certain expression systems used by Lonza for production of our product candidates. Pursuant to certain of these licenses, we or our partners are or may be obligated to pay small royalties for certain products generated or produced using these technologies upon commercialization of such products or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for our Marketed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Janssen Daratumumab License and Development Agreement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August 2012, we entered into a global license, development and commercialization agreement, or the Janssen Agreement, with Janssen Biotech Inc., one of the Janssen Pharmaceutical Companies of Johnson &amp; Johnson, or Janssen, granting Janssen an exclusive, sublicensable license to certain of our patents, know-how and materials, owned by or licensed to us, to research, develop, make, offer and sell worldwide certain licensed products containing the human mAb denoted "daratumumab," also known as HuMax-CD38 and DARZALEX. With respect to the licensed technology, we have given up the ability to develop or commercialize other products with affinity to the CD38 antigen target. We recorded an upfront license fee of $55.0 million and Johnson &amp; Johnson Development Corporation, or JJDC, invested DKK 475.2 million (approximately $80.0 million) to subscribe for 5.4 million newly issued shares of Genmab at a price of DKK 88 per share. Janssen is fully responsible for developing and commercializing the licensed products and all costs associated therewith.</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this agreement, we could be entitled to up to approximately $1.0 billion in development, regulatory and sales milestones, in addition to tiered double digit royalties between 12% and 20% of net sales. The 20% royalty tier will be payable on the portion of worldwide net sales above $3.0 billion in a calendar year.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product patent (as defined in the agreement) covering daratumumab in such country. Janssen may fully or partially terminate the agreement at any time upon 150 days' prior written notice to us. Our issued U.S., European and Japanese patents covering the composition of matter for daratumumab do not begin to expire until March 2026. Upon Janssen's termination of the agreement, we are granted an exclusive, perpetual, sublicensable license under any intellectual property controlled by Janssen or its affiliates to the extent necessary to make, have made, import, use, offer to sell or sell the terminated licensed product in such territory where the license has been terminated. If certain milestones have been met by Janssen prior to the termination, then we must pay royalties to Janssen for 10 years from our first commercial sale of a licensed product.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Novartis Ofatumumab Collaboration</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December 2006, we entered into a co-development and collaboration agreement with GSK,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 ofatumumab in all potential indications. Novartis is fully responsible for all costs associated with developing and commercializing ofatumumab. Under the current agreement with Novartis, we are entitled to royalties of 20% of worldwide net sales of ofatumumab for the treatment of cancer, and low double-digit royalties of worldwide net sales of ofatumumab for non-cancer treatments, as well as certain potential regulatory and sales milestones, of which only certain sales milestones remain. The royalties are on a country-by-country basis subject to reduction in a specified amount based on the market share of competing products or a joint committee determination that a license of intellectual property owned by a third party is necessary for commercialization. Novartis can terminate the agreement in its entirety or on a country-by-country basis at any time on 9 months' prior written notice. In January 2018, due to significant competition in the CLL treatment space and low and decreasing global demand for Arzerra, Novartis announced that it intends to transition the commercial availability of Arzerra to limited availability through managed access programs or alternative solutions for the treatment of approved CLL indications in non-U.S. markets where applicable and allowed by local regulations, but will continue to market Arzerra for approved CLL indications in the United States and Japan. We recorded a one-time payment of $50.0 million from Novartis as payment for lost potential milestones and royalties.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for our Proprietary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Seattle Genetics Tisotumab Vedotin Collaboration</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October 2011, we entered into a license and collaboration agreement with Seattle Genetics granting us an exclusive right to utilize Seattle Genetics' ADC technology with our HuMax-TF antibody in return for milestone payments and royalties. We also granted Seattle Genetics a right to exercise a co-development and co-commercialization option at the end of Phase I clinical development for tisotumab vedotin. In August 2017, Seattle Genetics exercised this option to co-develop and co-commercialize tisotumab vedotin with us. Seattle Genetics will be responsible for tisotumab vedotin commercialization activities in the United States, Canada and Mexico, while we will be responsible for commercialization activities in all other territories. We are currently in discussions with Seattle Genetics regarding the detailed terms on which we will work together to commercialize tisotumab vedotin under this agreement. All costs and profits for tisotumab vedotin will be shared on a 50:50 basis. However, either party may opt out of co-development and profit-sharing in return for receiving milestone payments and royalties from the continuing party.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Seattle Genetics ADC Technology License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September 2014, we entered into an ADC license agreement with Seattle Genetics. Under this agreement, we paid an upfront fee of $11.0 million for exclusive rights to utilize Seattle Genetics' ADC technology with our HuMax-AXL antibody. Pursuant to this agreement, Seattle Genetics is also entitled to receive more than $200.0 million in potential milestone payments and mid-to-high single digit royalties on worldwide net sales of any resulting products. In addition, prior to our initiation of a Phase III study for any resulting products, Seattle Genetics has the right to exercise an option to increase the royalties to low double-digits in exchange for a reduction of the milestone payments owed by us. Irrespective of any exercise of this option, we remain in full control of the development and commercialization of any resulting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IDD Biotech Asset Purchase Agreement</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March 2015, we entered into an asset purchase agreement with IDD Biotech to acquire DR5 antibodies and the intellectual property rights associated therewith in connection with our development of HexaBody-DR5/DR5. We obtained all right, title and interest in the antibodies and related technology of HexaBody-DR5/DR5 in exchange for an upfront payment of €2.5 million and a subsequent selection milestone payment of €3.5 million for the selection of a clinical candidate. We are also subject to meeting development and sales milestones that, if all achieved, would require us to make payments totaling approximately €100.0 million. Upon the first commercial sale of a product derived from the purchased antibodies, we would also make, on a country-by-country basis, low-single digit quarterly royalty payments on net sales of such product. We can develop and commercialize the purchased antibodies for use in any field except the diagnostic field and we are entitled to out-license the antibodies to any third party for development and commercialization. Patents for the purchased antibodies have been assigned to us and we are the sole owner of any intellectual property rights related to these antibodies.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BioNTech DuoBody Collaboration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In May 2015, we entered into an agreement with BioNTech AG, or BioNTech to jointly research, develop and commercialize bispecific antibody products using our DuoBody technology platform and antibodies. Under the terms of the agreement, BioNTech provides proprietary antibodies against key immunomodulatory targets, while we provide access to our DuoBody technology platform. We paid an upfront fee of $10.0 million to BioNTech and an additional $2.0 million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pre-clinical development in connection with this agreement, DuoBody-CD40x4-1BB and DuoBody-PD-L1x4-1BB, and we expect to submit INDs and/or CTAs for these product candidates in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Other Agreements for our Partnered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Janssen DuoBody Collaboration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July 2012, we entered into a collaboration with Janssen to create and develop bispecific antibodies using our DuoBody platform. Under this agreement, Janssen received an exclusive worldwide license to use the DuoBody technology to create panels of bispecific antibodies (up to 10 DuoBody programs) to multiple disease target combinations. We recorded an upfront payment of $3.5 million from Janssen and will potentially be entitled to milestone and license payments of up to approximately $175.0 million, as well as royalties for each commercialized DuoBody product. Janssen may terminate this agreement in whole or with respect to any particular target binding pair upon providing 120 days' prior written notice to us in accordance with the terms of the agreement. Under the terms of a December 2013 amendment, Janssen was entitled to work on up to 10 additional programs. In exchange, we recorded an initial payment of $2.0 million from Janssen and are potentially entitled to receive average milestone and license payments of approximately $191.0 million if Janssen successfully initiates, develops and commercializes all such additional programs. In addition, we will be entitled to royalties on net sales of any commercialized products. All research work is funded by Janssen. As of December 31, 2018, Janssen has exercised 14 licenses under this collaboration and we have recorded $60.0 million in milestone payments to date. No further options remain for potential use by Janssen. Four product candidates are currently in clinical development by Janssen under this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ADC Therapeutics ADC Collaboration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June 2013, we entered an agreement to develop camidanlumab tesirine, or ADCT-301, a new ADC product combining our HuMax-TAC antibody with ADC Therapeutics' PBD-based warhead and linker technology. We and ADC Therapeutics each initially had an equal share in the product. ADC Therapeutics will lead and fund pre-clinical development. Prior to submission of an IND filing, we had the right to elect to retain equal ownership of the product. In March 2015, we decided not to exercise our co-development right for camidanlumab tesirine and now have a 25% ownership stake in the product. Following the completion of the ongoing Phase I study, a divestment of the program shall be initiated, with Genmab having a first opportunity to bid on the program. We are not currently, and have not been, responsible for any development costs under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BMS HuMax-IL8 Collaboration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May 2012, we granted an exclusive, worldwide license to HuMax-IL8 to Cormorant Pharmaceuticals AB, or Cormorant, which was acquired by BMS in 2016. Under the terms of the agreement, we received an undisclosed upfront payment and are entitled to milestone payments and royalties on net sales. BMS will be responsible for all future costs of developing, manufacturing and commercializing HuMax-IL8. We are entitled to receive up to a total of €10.0 million in licensing and sales milestones and royalty payments in the low-single digits on net sales of the HuMax-IL8 product by BMS and mid-single digit royalties and mid-double digits royalties of license income from BMS' sublicensees.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Roche Teprotumumab Collaboration</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 May 2001, we entered into a collaboration agreement with Roche to develop human antibodies to disease targets identified by Roche. In 2002, this alliance was expanded and Roche made an equity investment in Genmab. Under the agreement, we are entitled to milestones as well as mid-single digit royalties on successful products. Horizon Pharma is currently conducting clinical development of teprotumumab under a sublicense from Roche pursuant to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Lundbeck CNS and Technology Collaboration</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October 2010, we entered into an agreement with Lundbeck to create and develop human antibody therapeutics for disorders of the central nervous system. Pursuant to this agreement, we agreed to create novel human antibodies to three targets identified by Lundbeck, with Lundbeck responsible for fully funding the development of each antibody. The agreement also granted Lundbeck access to our antibody creation and development capabilities. Under the terms of the agreement, we recorded an upfront payment of €7.5 million. If all milestones in the agreement are achieved, the total value of the agreement to us would be approximately €38.0 million, plus low-single digit royalties on net sales. We also received research funding from Lundbeck and Lundbeck is responsible for any and all third-party payments. The most advanced product candidate resulting from this collaboration is Lu AF82422, which is currently in clinical development by Lundbeck.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Amgen AMG 714 Collaboration</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2001, we obtained a direct license from Immunex Corporation, or Immunex, for exclusive, worldwide rights to Immunex's patent estate relating to antibodies to IL15 and the IL15 receptor. In 2002, Amgen acquired Immunex. In July 2003, we recorded a payment of $10.0 million when Amgen exercised its commercialization options for the HuMax-IL15 antibody program (now AMG 714). We are entitled to receive up to $20.0 million in milestone payments if all milestone events are met for AMG 714, in addition to sales milestone payments of up to $65.0 million and royalties with rates in the double-digits. In July 2014, we agreed with Amgen that if Amgen grants an exclusive sublicense to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third party for the development of AMG 714, we are entitled to receive 35% of any net compensation received by Amgen for such sublicense. In 2015, Amgen sublicensed AMG 714 to a private company, Celimmune, LLC, which conducted two Phase II studies of AMG 714 for nonresponsive and refractory celiac disease. Amgen subsequently exercised an option to acquire Celimmune and AMG 714 in 2017. In November 2018, Amgen and Provention Bio, Inc., or Provention, announced that Amgen had sublicensed AMG 714 to Provention and indicated that Provention plans to lead the next phase of development and regulatory activities for the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Immatics Research Collaboration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July 2018, we entered into a research collaboration and exclusive license agreement with Immatics to discover and develop next-generation bispecific immunotherapies to target multiple cancer indications. We received an exclusive license to three proprietary targets disclosed and developed from Immatics' XPRESIDENT targets and T-cell receptor technology, with an option to license up to two additional targets at predetermined economics. We and Immatics will conduct joint research, funded by us, on multiple antibody and/or T-cell receptor-based bispecific therapeutic product concepts. We may elect to progress any resulting product candidates, and will be responsible for development, manufacturing and worldwide commercialization. For any products that are commercialized by us, Immatics will have an option to limited co-promotion efforts in selected countries in the European Union. Under the terms of the agreement, we paid Immatics an upfront fee of $54.0 million and Immatics is eligible to receive up to $550.0 million in development, regulatory and commercial milestone payments for each product, as well as tiered royalties on net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Novo Nordisk DuoBody Collaboration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August 2015, we entered into an agreement to grant Novo Nordisk commercial licenses to use the DuoBody technology platform to create and develop bispecific antibody candidates for two therapeutic programs. The bispecific antibodies are intended to target a disease area outside of cancer therapeutics. Under the terms of the agreement, we recorded an upfront payment of $2.0 million from Novo Nordisk. After an initial period of exclusivity for the two target combinations, Novo Nordisk has an option to maintain exclusivity or take the licenses forward on a non-exclusive basis. The rights granted to Novo Nordisk may also be sublicensed, in whole or in part, to an affiliate or third party. Under the agreement, we are entitled to milestones as well as mid-single digit royalties on successful products. The agreement may be terminated at any time by Novo Nordisk upon 60 days' prior notice.</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December 2017, we entered into a new agreement with Novo Nordisk for up to an additional five potential target pair combinations which may be reserved on either an exclusive or non-exclusive basis and three commercial license options. We recorded an upfront payment of $2.0 million from Novo Nordisk and will be entitled to milestones payments and royalties for each product upon eventual product sales on similar terms as the initial agreement. This agreement contains similar termination provisions as the initial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Gilead Sciences DuoBody Collaboration</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August 2016, we entered into an agreement to grant Gilead Sciences an exclusive license and an option on a second exclusive license to use the DuoBody technology platform to create and develop bispecific antibody candidates for a therapeutic program targeting HIV. Gilead Sciences has sole responsibility for research, development, marketing and sale of the licensed antibody. Under the terms of the agreement, we recorded an upfront payment of $5.0 million from Gilead Sciences. We are entitled to potential development, regulatory and sales milestones of up to $277.0 million for the first product and further milestones for subsequent products. In addition, we will be entitled to royalties in the mid-single digits on Gilead Sciences' net sales of any commercialized products. Similar terms would apply if Gilead Sciences exercises the option to the second license.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Enabling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Medarex UltiMAb® System License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1999, we entered into a license agreement with Medarex, now a wholly 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16 fully paid-up antigen-exclusive licenses in exchange for Genmab shares. Our principal obligation under this agreement is to make milestone and royalty payments in connection with any such antibody-exclusive licenses, or use of the KM Mouse technology under this agreement, other than those licenses that are fully paid-up. We used technology licensed from Medarex to generate daratumumab, ofatumumab, tisotumab, forming part of tisotumab vedotin, enapotamab, forming part of enapotamab vedotin, the CD20 antibody forming part of HuMax-CD3xCD20, and certain of our other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January 10, 2019, we held more than 1,000 patents and patent applications, including more than 30 issued U.S. patents and more than 70 U.S. patent applications. All of our current issued patents and patent applications are projected to expire between 2019 and 2038.</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owned and licensed patents and patent applications are directed to daratumumab, ofatumumab, our product candidates, antibodies, our proprietary technologies and other antibody-based and/or enabling technologies. We commonly seek patent claims directed to compositions of matter, including antibodies, bispecific antibodies, and antibody drug conjugates, as well as methods of using such compositions. When appropriate, we also seek claims to related technologies, such as antibody format technologies. For daratumumab, ofatumumab and each of our product candidates, we or our partners have filed or expect to file multiple patent applications. We maintain patents and prosecute applications worldwide for technologies that we have out-licensed, such as our DuoBody technology. Similarly, for partnered products and product candidates, such as daratumumab, ofatumumab and tisotumab vedotin, we seek to work closely with our development partners to coordinate patent efforts, including patent application filings, prosecution, term extension, defense and enforcement. As daratumumab, ofatumumab and our development product candidates advance through research and development, we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spacing w:after="0" w:line="17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With respect to daratumumab, we have issued patents and pending patent applications in numerous jurisdictions, including patents issued in the United States, Europe and Japan. Our issued U.S., European and Japanese patents covering the composition of matter for daratumumab do not begin to expire until March 2026. In addition to our key composition of matter patents for daratumumab, we and Janssen have issued patents and pending patent applications in numerous jurisdictions and for specific formulations, indications and combination therapies that may offer additional protection. With respect to ofatumumab, we have issued patents and pending patent applications in numerous jurisdictions, including in the United States, Europe and Japan. Our issued U.S., European and Japanese patents covering the composition of matter for ofatumumab do not begin to expire until October 2023, with the U.S. composition of matter patent extended to May 2031. With respect to tisotumab vedotin, we have issued patents and pending patent applications in numerous jurisdictions, including the United States, Europe and Japan. Our issued U.S., European and Japanese patents covering the composition of matter for tisotumab vedotin do not begin to expire until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331" w:lineRule="auto"/>
        <w:rPr>
          <w:sz w:val="20"/>
          <w:szCs w:val="20"/>
          <w:color w:val="auto"/>
        </w:rPr>
      </w:pPr>
      <w:r>
        <w:rPr>
          <w:rFonts w:ascii="Arial" w:cs="Arial" w:eastAsia="Arial" w:hAnsi="Arial"/>
          <w:sz w:val="16"/>
          <w:szCs w:val="16"/>
          <w:color w:val="auto"/>
        </w:rPr>
        <w:t>December 2029.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4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that may confer additional patent protection. We also have pending patent applications that may give rise to new patents related to one or more of these product candidates, technologies, formulations and uses.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partners may not be able to develop patentable products or processes or obtain patents from pending patent applications. In the event of patent issuance, the patents may not be sufficient to protect the proprietary technology owned by or licensed to us or our partners. Our or our partners'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partners. Our partners' patents may also be circumvented, which may allow third parties to use similar technologies without a license from us or our partners.</w:t>
      </w:r>
    </w:p>
    <w:p>
      <w:pPr>
        <w:spacing w:after="0" w:line="17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 technologies owned or licensed to us or to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partners. Our challenges to patents of other organizations may not be successful, which may affect our and our partners' ability to commercialize daratumumab or ofatumumab or our ability to commercialize our product candidates. We cannot determine with certainty whether patents or patent applications of other parties may materially affect our or our partners' ability to make, use or sell daratumumab, ofatumumab or any other products or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80" w:firstLine="341"/>
        <w:spacing w:after="0" w:line="283" w:lineRule="auto"/>
        <w:rPr>
          <w:sz w:val="20"/>
          <w:szCs w:val="20"/>
          <w:color w:val="auto"/>
        </w:rPr>
      </w:pPr>
      <w:r>
        <w:rPr>
          <w:rFonts w:ascii="Arial" w:cs="Arial" w:eastAsia="Arial" w:hAnsi="Arial"/>
          <w:sz w:val="16"/>
          <w:szCs w:val="16"/>
          <w:color w:val="auto"/>
        </w:rPr>
        <w:t>As of January 1, 2019 we and/or our subsidiaries own approximately 184 international trademark registrations and applications, and 10 U.S. trademark registrations, including: Genmab®; the Y-shaped Genmab logo®; Genmab in combination with the Y-shaped Genmab logo®; HuMax®; DuoBody®; DuoBody in combination with the DuoBody logo®; HexaBody®; HexaBody in combination with the HexaBody logo®; and UniBody®. Arzerra® is a trademark of Novartis Pharma AG or its affiliates. DARZALEX® is a trademark of Janssen Pharmaceutica NV. We have also filed applications with the</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USPTO and in several other countries, including Canada and Denmark to secure trademark registration for HexElect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DuoHexaBody</w:t>
      </w:r>
      <w:r>
        <w:rPr>
          <w:rFonts w:ascii="Arial" w:cs="Arial" w:eastAsia="Arial" w:hAnsi="Arial"/>
          <w:sz w:val="28"/>
          <w:szCs w:val="28"/>
          <w:color w:val="auto"/>
          <w:vertAlign w:val="superscript"/>
        </w:rPr>
        <w:t>TM</w:t>
      </w:r>
      <w:r>
        <w:rPr>
          <w:rFonts w:ascii="Arial" w:cs="Arial" w:eastAsia="Arial" w:hAnsi="Arial"/>
          <w:sz w:val="17"/>
          <w:szCs w:val="17"/>
          <w:color w:val="auto"/>
        </w:rPr>
        <w:t>.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partners require them to have a similar policy and agreements with their employees, consultants and advisors to ensure the agreed upon allotment of intellectual property rights can be enforced. Our policy and agreements and those of our partners may not sufficiently protect our confidential information, or third parties may independently develop equivalent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FDA, the EMA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post-approval reporting of biologics such as those we are developing. We, along with our partners and third-party contractors, are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statutes and regulations require the expenditure of substantial time and financial resources. The following sections outline the approval process and other rules and regulations applicable to biologics in the United States and the European Union. While the regulatory process in many countries is similar to the United States or the European Union, each jurisdiction has its own regulations, and approval in one jurisdiction does not guarantee approval in any other jurisdiction.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Biologic Products in the United States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Our product candidates must be approved by the FDA before they may be legally marketed in the United States.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right="2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cGLP, regulation;</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site before the trial is begun;</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preparation of and submission to the FDA of a Biologics License Application, or BLA, after completion of all pivotal clinical trials;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210"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Prior to beginning the first clinical trial with a product candidate, we or our partner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6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or data monitoring committee,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2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—The investigational product is initially introduced into human patients with the target disease or condition. These studies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test the safety, dosage tolerance, absorption, metabolism and distribution of the investigational product in humans, the side effects associated with increasing doses, and, if possible, to gain early evidence on effectiveness.</w:t>
      </w:r>
    </w:p>
    <w:p>
      <w:pPr>
        <w:spacing w:after="0" w:line="220" w:lineRule="exact"/>
        <w:rPr>
          <w:rFonts w:ascii="Arial" w:cs="Arial" w:eastAsia="Arial" w:hAnsi="Arial"/>
          <w:sz w:val="18"/>
          <w:szCs w:val="18"/>
          <w:color w:val="auto"/>
        </w:rPr>
      </w:pPr>
    </w:p>
    <w:p>
      <w:pPr>
        <w:jc w:val="both"/>
        <w:ind w:left="1080" w:right="520" w:hanging="532"/>
        <w:spacing w:after="0" w:line="30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3" w:lineRule="exact"/>
        <w:rPr>
          <w:rFonts w:ascii="Arial" w:cs="Arial" w:eastAsia="Arial" w:hAnsi="Arial"/>
          <w:sz w:val="16"/>
          <w:szCs w:val="16"/>
          <w:color w:val="auto"/>
        </w:rPr>
      </w:pPr>
    </w:p>
    <w:p>
      <w:pPr>
        <w:ind w:left="1080" w:right="22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testing and approval process requires substantial time, effort and financial resources, and each may take several years to complete. The FDA may not grant approval on a timely basis, or at all,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may encounter difficulties or unanticipated costs in our efforts to secure necessary governmental approvals, which could delay or preclude us or our partners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or FTD,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3"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a sponsor may seek FDA breakthrough therapy designation, or BTD, of its product candidate if the product candidate is intended, alone or in combination with one or more other drugs or biologics, to treat a serious or life-threatening disease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BTD also allows the sponsor to submit sections of the BLA for review on a rolling basis.</w:t>
      </w:r>
    </w:p>
    <w:p>
      <w:pPr>
        <w:spacing w:after="0" w:line="180"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FDA is also exploring other options to expedite processing of certain applications. For example, in 2018 the FDA started using real-time review of drug applications to evaluate clinical data as soon as the trial results become available. This means that the FDA can approve a new indication soon after an applicant files a marketing application. Currently, this approach is only being implemented by the FDA's Oncology Center of Excellence through two pilot programs for supplemental applications to already-approved cancer drugs, including the FDA's Real-Time Oncology Review, or RTOR, Pilot Program, which is currently available for certain supplemental applications for already-approved cancer drugs.</w:t>
      </w:r>
    </w:p>
    <w:p>
      <w:pPr>
        <w:spacing w:after="0" w:line="16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FTD, priority review, BTD, and pilot review programs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225" w:lineRule="exact"/>
        <w:rPr>
          <w:sz w:val="20"/>
          <w:szCs w:val="20"/>
          <w:color w:val="auto"/>
        </w:rPr>
      </w:pPr>
    </w:p>
    <w:p>
      <w:pPr>
        <w:ind w:right="160" w:firstLine="341"/>
        <w:spacing w:after="0" w:line="288" w:lineRule="auto"/>
        <w:rPr>
          <w:sz w:val="20"/>
          <w:szCs w:val="20"/>
          <w:color w:val="auto"/>
        </w:rPr>
      </w:pPr>
      <w:r>
        <w:rPr>
          <w:rFonts w:ascii="Arial" w:cs="Arial" w:eastAsia="Arial" w:hAnsi="Arial"/>
          <w:sz w:val="16"/>
          <w:szCs w:val="16"/>
          <w:color w:val="auto"/>
        </w:rPr>
        <w:t>Although most of our product candidates are regulated as biologics, certain of our product candidates are subject to regulation in the United States as combination products. If marketed individually, each component would be subject to different regulatory pathways and would require FDA approval of independent marketing applications by the FDA.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or CDER, will have primary jurisdiction over pre-market development. The CDER currently has regulatory responsibility, including pre-market review and continuing oversight, over certain therapeutic biologic products. We expect to seek approval of these combination products through single BLA reviewed by CDER, and we do not expect that the FDA will require a separate marketing authorization for each of the drug and biologic constituents of such products.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6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2"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Any products manufactured or distributed by us or our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or our partners may decide to use. Accordingly, manufacturers must continue to expend time, money and effort in the area of production and quality control to maintain compliance with cGMP and other aspects of regulatory compliance. If our present or future suppliers are not able to comply with these requirements, the FDA may, among other things, halt our clinical trials, require us or our partners to recall a product from distribution, or withdraw approval of the BLA.</w:t>
      </w:r>
    </w:p>
    <w:p>
      <w:pPr>
        <w:spacing w:after="0" w:line="17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rely, and expect to continue to rely, on third parties for the production of clinical and commercial quantities of our products and product candidates. Future FDA and state inspections may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1"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Affordable Care Act, signed into law in 2010, includes a subtitled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diminishing efficacy relative to exclusive use of the reference biologic. However, complexities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In addition, government proposals have sought to reduce the 12-year reference product exclusivity period. Other aspects of the BPCIA, some of which may impact the BPCIA exclusivity provisions, have also been the subject of recent litigation. As a result, the ultimate impact of the BPCIA is subject to significant uncertainty.</w:t>
      </w:r>
    </w:p>
    <w:p>
      <w:pPr>
        <w:spacing w:after="0" w:line="173"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Diagnostic Tests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Certain of our product candidates may require use of a diagnostic to identify appropriate patient populations that may benefit from our products. These companion diagnostics are medical devices, often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devices, which provide information that is essential for the safe and effective use of a corresponding drug. In the United States,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or PMA approval. We expect that any companion diagnostic developed for our drug candidates will utilize the PMA pathway.</w:t>
      </w:r>
    </w:p>
    <w:p>
      <w:pPr>
        <w:spacing w:after="0" w:line="198"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 or other regulatory standards is not maintained or problems are identified following initial marketing.</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w:t>
      </w:r>
    </w:p>
    <w:p>
      <w:pPr>
        <w:spacing w:after="0" w:line="17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in </w:t>
      </w:r>
      <w:r>
        <w:rPr>
          <w:rFonts w:ascii="Arial" w:cs="Arial" w:eastAsia="Arial" w:hAnsi="Arial"/>
          <w:sz w:val="16"/>
          <w:szCs w:val="16"/>
          <w:i w:val="1"/>
          <w:iCs w:val="1"/>
          <w:color w:val="auto"/>
        </w:rPr>
        <w:t>vitro</w:t>
      </w:r>
      <w:r>
        <w:rPr>
          <w:rFonts w:ascii="Arial" w:cs="Arial" w:eastAsia="Arial" w:hAnsi="Arial"/>
          <w:sz w:val="16"/>
          <w:szCs w:val="16"/>
          <w:color w:val="auto"/>
        </w:rPr>
        <w:t xml:space="preserve"> diagnostics medical device and its classification. The conformity assessment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medical devices can require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April 5, 2017, the European Parliament passed the In Vitro Device Regulation, or IVDR, which repeals and replaces Directive No 98/79/EC. Unlike directives, which must be implemented into the national laws of the EU member states, a regulation is directly applicable, i.e., without the need for adoption of EU member state laws implementing them, in all EEA member states. The IVDR, among other things, is intended to establish a uniform, transparent, predictable and sustainable regulatory framework across the EU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and ensure a high level of safety and health while supporting innovation. The IVDR will not become fully applicable until five years following its entry into force.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0" w:lineRule="exact"/>
        <w:rPr>
          <w:sz w:val="20"/>
          <w:szCs w:val="20"/>
          <w:color w:val="auto"/>
        </w:rPr>
      </w:pPr>
    </w:p>
    <w:p>
      <w:pPr>
        <w:ind w:left="1080" w:right="180" w:hanging="532"/>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91" w:lineRule="exact"/>
        <w:rPr>
          <w:sz w:val="20"/>
          <w:szCs w:val="20"/>
          <w:color w:val="auto"/>
        </w:rPr>
      </w:pPr>
    </w:p>
    <w:p>
      <w:pPr>
        <w:ind w:left="1080" w:right="48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96"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82"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200"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600" w:firstLine="351"/>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govern the privacy and security of health information in some circumstances, many of which differ from each other in significant ways and often are not preempted by HIPAA, thus complicating compliance efforts.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00" w:firstLine="341"/>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0"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4" w:lineRule="exact"/>
        <w:rPr>
          <w:sz w:val="20"/>
          <w:szCs w:val="20"/>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54"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went into effect in April 2013 and will remain in effect through 2027 unless additional Congressional action is taken.</w:t>
      </w:r>
    </w:p>
    <w:p>
      <w:pPr>
        <w:spacing w:after="0" w:line="169"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While the Trump Administration and CMS have both stated that the ruling will have no immediate effect, it is unclear how this decision, subsequent appeals, if any, and other efforts to repeal and replace the ACA will impact the ACA and our business.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products and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process for determining whether a payor will provide coverage for a product is typically separate from the process for setting the reimbursement rate that the payor will pay for the product. A payor's decision to provide coverage for a product does not imply that an adequate reimbursement rate will be available. Additionally, in the United States there is no uniform policy among payors for coverage or reimbursement.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likely be a time-consuming process If coverage and adequate reimbursement are not available, or are available only at limited levels, successful commercialization of, and obtaining a satisfactory financial return on, any product we develop may not be possible.</w:t>
      </w:r>
    </w:p>
    <w:p>
      <w:pPr>
        <w:spacing w:after="0" w:line="173"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studies in order to demonstrate the medical necessity and cost-effectiveness of any products, which would be in addition to the costs expended to obtain regulatory approvals. Third-party payors may not consider our products or product candidates to be medically necessary or cost-effective compared to other available therapies.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Additionally, the containment of healthcare costs (including drug prices) has become a priority of federal and state governments. The U.S. government, state legislatures, and foreign governments have shown significant interest in implementing cost-containment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third-party payor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7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April 2014, the new Clinical Trials Regulation, (EU) No 536/2014, or the Clinical Trials Regulation, was adopted, and is anticipated to enter into force in 2019. The Clinical Trials Regulation will be directly applicable in all of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Regulation becomes applicable, the Clinical Trials Regulation will at that time begin to apply to the clinical trial.</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4"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ind w:right="40"/>
        <w:spacing w:after="0" w:line="290"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0"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73"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54" w:lineRule="exact"/>
        <w:rPr>
          <w:sz w:val="20"/>
          <w:szCs w:val="20"/>
          <w:color w:val="auto"/>
        </w:rPr>
      </w:pPr>
    </w:p>
    <w:p>
      <w:pPr>
        <w:ind w:left="1080" w:right="30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provided its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EEA Data Privacy and Data Security</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EEA, we, our partners or our third party CMOs and CROs may be subject to laws relating to our collection, control, processing and other use of personal data (i.e. data relating to an identifiable individual) because we process personal data of our employees, customers, vendors and other third parties based in the EEA in relation to the operation of our business.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European Union, the data privacy regime applicable to us includes the General Data Protection Regulation (2016/679), or GDPR, and the E-Privacy Directive 2002/58/EC, or EPD. We depend on a number of third parties to provide our services, certain of which process personal data on our behalf and are therefore considered our processors under the GDPR. Since the adoption of GDPR, we have entered into contractual arrangements as required by article 28 of the GDPR with each such provider, and have amended material pre-existing contracts as necessary.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GDPR</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GDPR became applicable on May 25, 2018 and replaced the previous data protection regime which consisted of separate laws issued by each EU Member State, based on the EU Data Protection Directive. Unlike the Directive (which needed to be transposed at national level), the GDPR is directly applicable in each EU Member State, resulting in a more uniform application of data privacy laws across the European Union. However, the GDPR does allow each Member State to implement laws which supplement the GDPR, causing some variation between EU Member States (for example, in connection with processing employee personal data and processing for scientific purposes). The GDPR also provides that EU Member States may separately introduce further conditions, including limitations, to the processing of genetic, biometric or health data, which could limit our ability to collect, use and share personal data, or could cause our compliance costs to increase, ultimately having an adverse impact on our business. We need to ensure compliance with the supplemental laws in each jurisdiction where we operate.</w:t>
      </w:r>
    </w:p>
    <w:p>
      <w:pPr>
        <w:spacing w:after="0" w:line="17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GDPR applies extraterritorially and implements stringent operational requirements for processors and controllers of personal data, including, for example, imposing accountability obligations requiring controllers and processors to maintain a record of their data processing and policies. It requires us, as a controller of personal data, to be transparent and to disclose to data subjects (being the individuals to whom the personal data relates), in a concise, intelligible and easily accessible form, how their personal information is used by us. It also imposes limitations on our retention of information, introduces mandatory data breach notification requirements and sets certain standards for controllers to demonstrate that they have obtained valid consent for certain data processing activities where consent is the legal basis relied upon to process the data.</w:t>
      </w:r>
    </w:p>
    <w:p>
      <w:pPr>
        <w:spacing w:after="0" w:line="174" w:lineRule="exact"/>
        <w:rPr>
          <w:sz w:val="20"/>
          <w:szCs w:val="20"/>
          <w:color w:val="auto"/>
        </w:rPr>
      </w:pPr>
    </w:p>
    <w:p>
      <w:pPr>
        <w:ind w:right="480" w:firstLine="348"/>
        <w:spacing w:after="0" w:line="331" w:lineRule="auto"/>
        <w:rPr>
          <w:sz w:val="20"/>
          <w:szCs w:val="20"/>
          <w:color w:val="auto"/>
        </w:rPr>
      </w:pPr>
      <w:r>
        <w:rPr>
          <w:rFonts w:ascii="Arial" w:cs="Arial" w:eastAsia="Arial" w:hAnsi="Arial"/>
          <w:sz w:val="16"/>
          <w:szCs w:val="16"/>
          <w:color w:val="auto"/>
        </w:rPr>
        <w:t>The GDPR also states that personal data may only be collected for specified, explicit and legitimate purposes which have a legal basis set out in the GDPR, and may only be processed in a manner consistent with those purposes. Personal data must also be adequate, relevant, not excessive in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relation to the purposes for which it is collected, be secure, not be transferred outside of the EEA unless certain steps are taken to ensure an adequate level of protection and must not be kept for longer than necessary to achieve the purposes for which it was collected. To the extent that we process, control or otherwise use sensitive data relating to individuals (for example, patients' health or medical information, race or ethnicity),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w:t>
      </w:r>
    </w:p>
    <w:p>
      <w:pPr>
        <w:spacing w:after="0" w:line="16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Fines for non-compliance with the GDPR have the potential to be significant—the greater of €20 million or 4% of our global annual turnover in the previous financial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EPD</w:t>
      </w:r>
    </w:p>
    <w:p>
      <w:pPr>
        <w:spacing w:after="0" w:line="225"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requirements laid down by the EPD have been transposed into the national laws of each EU Member State since 2003. The requirements will be particularly relevant when we send electronic direct marketing to individuals in the European Union or when we use cookies or similar technologies on our websites directed at individuals in the European Union and will usually require us to obtain consent from recipients to carry out these activities. Although all EU Member State national laws stem from the EPD, the laws differ by jurisdiction, sometimes significantly. We need to ensure compliance with the laws in each jurisdiction where we operate.</w:t>
      </w:r>
    </w:p>
    <w:p>
      <w:pPr>
        <w:spacing w:after="0" w:line="20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European Union is in the process of replacing the EPD with an E-Privacy Regulation which, unlike the EPD which needed to be transposed into the national law of EU Member States, will be directly applicable in each EU Member State. The text of the new Regulation has not yet been finalized nor has an implementation date been set, however the current draft of the Regulation includes a regime for issuing monetary fines for non-compliance corresponding to the level implemented by the GDPR—up to €20 million or 4% of our global annual turnover in the previous financial year, whichever is higher. We will continue to monitor the progress of the new Regulation and make necessary modifications to our practices as and when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example, 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with prejudice, and we and Janssen, in turn, dismissed our inequitable conduct claims against MorphoSys. As such, there will be no further proceedings in the case.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2017, we had 257 employees. Of these employees, 220 were engaged in or support research and development and 37 were in administrative and business related positions. Each of our employees has signed confidentiality and inventions assignment agreements, or have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corporate headquarters are located in Copenhagen, Denmark, where we currently lease approximately 56,500 square feet, pursuant to a lease agreement dated as of February 15, 2017, by and between us and Castellum 2 i København ApS, or Castellum, as amended. The lease is perpetual, but can be terminated with six months' prior notice, which can be made effective no earlier than December 1, 2022 in the case of termination by us, and no earlier than December 1, 2027 in the case of termination by Castellum. Our indirectly wholly owned subsidiary, Genmab B.V., leases approximately 90,094 square feet (8,370 square meters) of office, laboratory and pre-clinical development space in Utrecht, The Netherlands pursuant to a lease agreement dated June 17, 2015. The start date of the lease term is May 22, 2017 and the lease term is 15 years with a cost-free break option at 10 years. In addition, our wholly owned subsidiary, Genmab US, Inc., leases office space in Princeton, New Jersey.</w:t>
      </w:r>
    </w:p>
    <w:p>
      <w:pPr>
        <w:spacing w:after="0" w:line="17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believe that suitable additional or alternative space for each of our locations would be available as required in the future on commercially reasonable terms. However, the unexpected loss of our Utrecht laboratory facility or termination of the lease could result in delays in development of certain products and technology while we transition our research operations to an alternate facility.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have a two-tier governance structure consisting of a board of directors, or the Board, and senior management. Below is a summary of relevant information concerning the Board and senior management, as well as a brief summary of the articles of association and certain significant provisions of Danish corporate law which relate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Our Board of Directors and Senior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following table sets forth the name, age and position of each of our board members as of the date of this prospectus. Our Board consists of six members elected by our shareholders at the general meeting, or Shareholder Elected Members (and each, a Shareholder Elected Member), and three members elected by our employees, or Employee Elected Members (and each, an Employee Elected Member). Shareholder Elected Members are elected by our shareholders every year and Employee Elected Members are elected by our employees every third year. The terms of office of all the members of our Board expire in 2019. All members of the Board, however elected, are eligible for re-election.</w:t>
      </w:r>
    </w:p>
    <w:p>
      <w:pPr>
        <w:spacing w:after="0" w:line="16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business address of our directors and members of senior management is our registered office address at c/o Genmab A/S, Kalvebod Brygge 43, 1560 Copenhagen V, Denmark.</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Name of Board Member</w:t>
            </w:r>
          </w:p>
        </w:tc>
        <w:tc>
          <w:tcPr>
            <w:tcW w:w="2840" w:type="dxa"/>
            <w:vAlign w:val="bottom"/>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4"/>
                <w:szCs w:val="1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Position(s)</w:t>
            </w:r>
          </w:p>
        </w:tc>
      </w:tr>
      <w:tr>
        <w:trPr>
          <w:trHeight w:val="21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Mats Pettersson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Chairman (independent, Shareholder Elected)</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Deirdre P. Connelly</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Deputy Chairman (independent, Shareholder Elected)</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Anders Gersel Pedersen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(non-independent, Shareholder Elected)</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Pernille Erenbjerg</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Paolo Paoletti</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Rolf Hoffmann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Board member (independent, Shareholder Elected)</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(non-independent, Employee Elected)</w:t>
            </w: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Rick Hibbert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4240" w:type="dxa"/>
            <w:vAlign w:val="bottom"/>
          </w:tcPr>
          <w:p>
            <w:pPr>
              <w:jc w:val="center"/>
              <w:spacing w:after="0"/>
              <w:rPr>
                <w:sz w:val="20"/>
                <w:szCs w:val="20"/>
                <w:color w:val="auto"/>
              </w:rPr>
            </w:pPr>
            <w:r>
              <w:rPr>
                <w:rFonts w:ascii="Arial" w:cs="Arial" w:eastAsia="Arial" w:hAnsi="Arial"/>
                <w:sz w:val="18"/>
                <w:szCs w:val="18"/>
                <w:color w:val="auto"/>
                <w:w w:val="87"/>
              </w:rPr>
              <w:t>Board member (non-independent, Employee Elected)</w:t>
            </w: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Board member (non-independent, Employee Elected)</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board members:</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Mats Pettersson </w:t>
      </w:r>
      <w:r>
        <w:rPr>
          <w:rFonts w:ascii="Arial" w:cs="Arial" w:eastAsia="Arial" w:hAnsi="Arial"/>
          <w:sz w:val="16"/>
          <w:szCs w:val="16"/>
          <w:color w:val="auto"/>
        </w:rPr>
        <w:t>was elected to the Board in 2013 and currently acts as Chairman of the Board, as Chairman of the Nominating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Committee and as a member of the Audit Committee. Mr. Pettersson served as a member of the board of NsGene A/S from 2008 to 2012, Ablynx NV from 2007 to 2013, and as member of the board of H. Lundbeck A/S from 2003 to 2013, serving as Chairman from 2011 to 2013, BBB NV from 2008 to 2015, Photocure ASA from 2008 to 2015 and Moberg Pharma AB from 2010 to 2016. He was a member of various executive management committees at Pharmacia Corporation (acquired by Pfizer Inc.). Mr. Pettersson is the founder and former Chief Executive Officer of SOBI AB, an international biotechnology company headquartered in Stockholm, Sweden. Mr. Pettersson is a current board member of Magle Chemoswed AB. He holds a bachelor's degree and an M.B.A. from Handelshögskolan vid Göteborgs universitet in Gothenburg, Sweden.</w:t>
      </w:r>
    </w:p>
    <w:p>
      <w:pPr>
        <w:spacing w:after="0" w:line="166"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Deirdre P. Connelly </w:t>
      </w:r>
      <w:r>
        <w:rPr>
          <w:rFonts w:ascii="Arial" w:cs="Arial" w:eastAsia="Arial" w:hAnsi="Arial"/>
          <w:sz w:val="18"/>
          <w:szCs w:val="18"/>
          <w:color w:val="auto"/>
        </w:rPr>
        <w:t>was elected to the Board in 2017 and currently acts as Deputy Chairman of the Board, and is a member of the Audit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Corporate Governance Committee and the Compensation Committee. Ms. Connelly was formerly the President of North America Pharmaceuticals for GlaxoSmithKline plc from 2009 to 2015 and currently serves on the board of directors of Macy's, Inc. and of the Lincoln National Corporation. Prior to her time at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GlaxoSmithKline plc, she spent 26 years with Eli Lilly and Company from 1984 to 2009, including tenures as President of U.S. Eli Lilly and Company and Vice President of Human Resources and Vice President of Human Resources for Pharmaceutical Operations. She holds a bachelor's degree in Economics and Marketing from Lycoming University and is a graduate of Harvard University's Advanced Management Program.</w:t>
      </w:r>
    </w:p>
    <w:p>
      <w:pPr>
        <w:spacing w:after="0" w:line="154"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b w:val="1"/>
          <w:bCs w:val="1"/>
          <w:color w:val="auto"/>
        </w:rPr>
        <w:t xml:space="preserve">Anders Gersel Pedersen </w:t>
      </w:r>
      <w:r>
        <w:rPr>
          <w:rFonts w:ascii="Arial" w:cs="Arial" w:eastAsia="Arial" w:hAnsi="Arial"/>
          <w:sz w:val="16"/>
          <w:szCs w:val="16"/>
          <w:color w:val="auto"/>
        </w:rPr>
        <w:t>was elected to the Board in 2003 and currently serves as the Chairman of the Compensation Committee and is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Scientific Committee. Dr. Pedersen currently serves as the Deputy Chairman of the board of Bavarian Nordic A/S and as a member of the board of Hansa Medical AB,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European Society of Medical Oncology, the American Society of Clinical Oncology, the Danish Society of Medical Oncology, the Danish Society of Internal Medicine and the International Association for the Study of Lung Cancer.</w:t>
      </w:r>
    </w:p>
    <w:p>
      <w:pPr>
        <w:spacing w:after="0" w:line="16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color w:val="auto"/>
        </w:rPr>
        <w:t xml:space="preserve">Pernille Erenbjerg </w:t>
      </w:r>
      <w:r>
        <w:rPr>
          <w:rFonts w:ascii="Arial" w:cs="Arial" w:eastAsia="Arial" w:hAnsi="Arial"/>
          <w:sz w:val="18"/>
          <w:szCs w:val="18"/>
          <w:color w:val="auto"/>
        </w:rPr>
        <w:t>was elected to the Board in 2015 and currently serves as the Chairman of the Audit Committee and as a member of the Nominating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Governance Committee. Ms. Erenbjerg has a background in the finance industry and has previously practiced as a Certified Public Accountant, or CPA. Ms. Erenbjerg qualifies as an audit committee financial expert. Ms. Erenbjerg previously served as the Group CEO and President of TDC A/S and is a board member and audit committee member of Nordea AB, as well as the deputy chair of the board of directors of Millicom. She was formerly a member of the board of DFDS A/S from 2014 to 2018 and the Royal Danish Theatre from 2011 to 2015. She is formerly a partner at Deloitte Touche Tohmatsu Limited and spent 14 years as a CPA at Arthur Anderson LLP from 1987 to 2002. Ms. Erenbjerg holds a B.S. and a M.Sc. in Economics from Copenhagen Business School.</w:t>
      </w:r>
    </w:p>
    <w:p>
      <w:pPr>
        <w:spacing w:after="0" w:line="195" w:lineRule="exact"/>
        <w:rPr>
          <w:sz w:val="20"/>
          <w:szCs w:val="20"/>
          <w:color w:val="auto"/>
        </w:rPr>
      </w:pPr>
    </w:p>
    <w:p>
      <w:pPr>
        <w:ind w:right="300" w:firstLine="351"/>
        <w:spacing w:after="0" w:line="296" w:lineRule="auto"/>
        <w:rPr>
          <w:sz w:val="20"/>
          <w:szCs w:val="20"/>
          <w:color w:val="auto"/>
        </w:rPr>
      </w:pPr>
      <w:r>
        <w:rPr>
          <w:rFonts w:ascii="Arial" w:cs="Arial" w:eastAsia="Arial" w:hAnsi="Arial"/>
          <w:sz w:val="16"/>
          <w:szCs w:val="16"/>
          <w:b w:val="1"/>
          <w:bCs w:val="1"/>
          <w:color w:val="auto"/>
        </w:rPr>
        <w:t xml:space="preserve">Paolo Paoletti </w:t>
      </w:r>
      <w:r>
        <w:rPr>
          <w:rFonts w:ascii="Arial" w:cs="Arial" w:eastAsia="Arial" w:hAnsi="Arial"/>
          <w:sz w:val="16"/>
          <w:szCs w:val="16"/>
          <w:color w:val="auto"/>
        </w:rPr>
        <w:t>was elected to the Board in 2015 and currently serves as the Chairman of the Scientific Committee. Dr. Paoletti served as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Oncology at GlaxoSmithKline plc and in various roles at Eli Lilly and Company, including Vice President of Oncology Research. Dr. Paoletti is the Acting CEO of GammaDelta Therapeutics Limited and is the Chairman of the board of PsiOxus Therapeutics Limited and a member of the board of FORMA Therapeutics, Inc. He was formerly the CEO of Kesios Therapeutics Ltd. from 2015 to 2017 and previously served as a member of the board of NuCana BioMed Ltd. Dr. Paoletti holds a medical degree from the University of Pisa.</w:t>
      </w:r>
    </w:p>
    <w:p>
      <w:pPr>
        <w:spacing w:after="0" w:line="16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Rolf Hoffmann </w:t>
      </w:r>
      <w:r>
        <w:rPr>
          <w:rFonts w:ascii="Arial" w:cs="Arial" w:eastAsia="Arial" w:hAnsi="Arial"/>
          <w:sz w:val="16"/>
          <w:szCs w:val="16"/>
          <w:color w:val="auto"/>
        </w:rPr>
        <w:t>was elected to the Board in 2017 and is a member of the Compensation Committee and the Scientific Committee. Mr. Hoffmann has over</w:t>
      </w:r>
      <w:r>
        <w:rPr>
          <w:rFonts w:ascii="Arial" w:cs="Arial" w:eastAsia="Arial" w:hAnsi="Arial"/>
          <w:sz w:val="16"/>
          <w:szCs w:val="16"/>
          <w:b w:val="1"/>
          <w:bCs w:val="1"/>
          <w:color w:val="auto"/>
        </w:rPr>
        <w:t xml:space="preserve"> </w:t>
      </w:r>
      <w:r>
        <w:rPr>
          <w:rFonts w:ascii="Arial" w:cs="Arial" w:eastAsia="Arial" w:hAnsi="Arial"/>
          <w:sz w:val="16"/>
          <w:szCs w:val="16"/>
          <w:color w:val="auto"/>
        </w:rPr>
        <w:t>20 years of experience in the international pharmaceutical and biotechnology industries at Eli Lilly and Company from 1987 to 2004 and Amgen Inc. from 2004 to 2012. Mr. Hoffmann is currently an adjunct professor of Strategy and Entrepreneurship at the University of North Carolina Business School and serves as Chairman of the board of directors at Biotest AG and as a board member at Trigemina, Inc., EUSA Pharma, Inc., Paratek Pharamceuticals, Inc. and Shield Therapeutics plc. He holds an M.A. in English from the University of Cologne, an M.A. in Kinesiology from Deutsche Sporthochschule Köln in Cologne, Germany and an M.B.A. from the University of North Carolina at Chapel Hill.</w:t>
      </w:r>
    </w:p>
    <w:p>
      <w:pPr>
        <w:spacing w:after="0" w:line="164"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 xml:space="preserve">Peter Storm Kristensen </w:t>
      </w:r>
      <w:r>
        <w:rPr>
          <w:rFonts w:ascii="Arial" w:cs="Arial" w:eastAsia="Arial" w:hAnsi="Arial"/>
          <w:sz w:val="16"/>
          <w:szCs w:val="16"/>
          <w:color w:val="auto"/>
        </w:rPr>
        <w:t>was elected to the Board in 2016. Mr. Kristensen currently serves as our Associate Director of Legal. Prior to joining Genmab,</w:t>
      </w:r>
      <w:r>
        <w:rPr>
          <w:rFonts w:ascii="Arial" w:cs="Arial" w:eastAsia="Arial" w:hAnsi="Arial"/>
          <w:sz w:val="16"/>
          <w:szCs w:val="16"/>
          <w:b w:val="1"/>
          <w:bCs w:val="1"/>
          <w:color w:val="auto"/>
        </w:rPr>
        <w:t xml:space="preserve"> </w:t>
      </w:r>
      <w:r>
        <w:rPr>
          <w:rFonts w:ascii="Arial" w:cs="Arial" w:eastAsia="Arial" w:hAnsi="Arial"/>
          <w:sz w:val="16"/>
          <w:szCs w:val="16"/>
          <w:color w:val="auto"/>
        </w:rPr>
        <w:t>he was a lawyer at Copenhagen University Hospital and Patienterstatningen from 2005 to 2007. He holds a law degree from University of Copenhagen.</w:t>
      </w:r>
    </w:p>
    <w:p>
      <w:pPr>
        <w:spacing w:after="0" w:line="128" w:lineRule="exact"/>
        <w:rPr>
          <w:sz w:val="20"/>
          <w:szCs w:val="20"/>
          <w:color w:val="auto"/>
        </w:rPr>
      </w:pPr>
    </w:p>
    <w:p>
      <w:pPr>
        <w:jc w:val="both"/>
        <w:ind w:right="400" w:firstLine="351"/>
        <w:spacing w:after="0" w:line="310" w:lineRule="auto"/>
        <w:rPr>
          <w:sz w:val="20"/>
          <w:szCs w:val="20"/>
          <w:color w:val="auto"/>
        </w:rPr>
      </w:pPr>
      <w:r>
        <w:rPr>
          <w:rFonts w:ascii="Arial" w:cs="Arial" w:eastAsia="Arial" w:hAnsi="Arial"/>
          <w:sz w:val="16"/>
          <w:szCs w:val="16"/>
          <w:b w:val="1"/>
          <w:bCs w:val="1"/>
          <w:color w:val="auto"/>
        </w:rPr>
        <w:t xml:space="preserve">Rick Hibbert </w:t>
      </w:r>
      <w:r>
        <w:rPr>
          <w:rFonts w:ascii="Arial" w:cs="Arial" w:eastAsia="Arial" w:hAnsi="Arial"/>
          <w:sz w:val="16"/>
          <w:szCs w:val="16"/>
          <w:color w:val="auto"/>
        </w:rPr>
        <w:t>was elected to the Board in 2016. Dr. Hibbert currently serves as our Associate Director of Protein Production and Chemistry.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Genmab, he spent six years as a postdoctoral research fellow at Antoni van Leeuwenhoek Hospital from 2006 to 2013. Dr. Hibbert holds an M.S. degree in Chemistry and a Ph.D. degree in Biochemistry from the University of Oxford and an M.B.A. from the University of Amsterdam.</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Daniel J. Bruno </w:t>
      </w:r>
      <w:r>
        <w:rPr>
          <w:rFonts w:ascii="Arial" w:cs="Arial" w:eastAsia="Arial" w:hAnsi="Arial"/>
          <w:sz w:val="18"/>
          <w:szCs w:val="18"/>
          <w:color w:val="auto"/>
        </w:rPr>
        <w:t>was elected to the Board in 2016. Mr. Bruno currently serves as our Vice President and Corporate Controller. Prior to joining Genmab,</w:t>
      </w:r>
      <w:r>
        <w:rPr>
          <w:rFonts w:ascii="Arial" w:cs="Arial" w:eastAsia="Arial" w:hAnsi="Arial"/>
          <w:sz w:val="18"/>
          <w:szCs w:val="18"/>
          <w:b w:val="1"/>
          <w:bCs w:val="1"/>
          <w:color w:val="auto"/>
        </w:rPr>
        <w:t xml:space="preserve"> </w:t>
      </w:r>
      <w:r>
        <w:rPr>
          <w:rFonts w:ascii="Arial" w:cs="Arial" w:eastAsia="Arial" w:hAnsi="Arial"/>
          <w:sz w:val="18"/>
          <w:szCs w:val="18"/>
          <w:color w:val="auto"/>
        </w:rPr>
        <w:t>he worked at PricewaterhouseCoopers in the Assurance and Business Advisory Services division. He holds an M.S. degree in accounting and finance from Farleigh Dickinson University and is a CPA.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table sets forth information with respect to each of the members of our senior management, including their respective ages and their positions as of the date of this prospectus. The business address of these members of our senior management is our registered office address at c/o Genmab A/S, Kalvebod Brygge 43, 1560 Copenhagen V, Denmark. We note that only Jan G. J. van de Winkel, David A. Eatwell and Judith Klimovsky are registered with the Danish Business Authority as members of executive management, or registered managers, within the meaning of the DCA.</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Name of Member of Senior Management</w:t>
            </w:r>
          </w:p>
        </w:tc>
        <w:tc>
          <w:tcPr>
            <w:tcW w:w="920" w:type="dxa"/>
            <w:vAlign w:val="bottom"/>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Position(s)</w:t>
            </w:r>
          </w:p>
        </w:tc>
      </w:tr>
      <w:tr>
        <w:trPr>
          <w:trHeight w:val="20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 G. J. van de Winkel</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President and Chief Executive Officer</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David A. Eatwell</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Judith Klimovsky</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Executive Vice President and Chief Development Officer</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Birgitte Stephensen</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Senior Vice President, IPR &amp; Legal</w:t>
            </w: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K. Bauer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Senior Vice President, Head of Operations R&amp;D</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Tahamtan Ahmadi</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Senior Vice President, Oncology and Translational Medicine</w:t>
            </w: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Rachel Curtis Gravesen</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Senior Vice President, Investor Relations and Communications</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Anthony Pagano</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Senior Vice President, Global Finance and Corporate Development</w:t>
            </w: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Martine J. van Vugt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Chief of Staff</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senior management.</w:t>
      </w:r>
    </w:p>
    <w:p>
      <w:pPr>
        <w:spacing w:after="0" w:line="21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color w:val="auto"/>
        </w:rPr>
        <w:t xml:space="preserve">Jan G. J. van de Winkel </w:t>
      </w:r>
      <w:r>
        <w:rPr>
          <w:rFonts w:ascii="Arial" w:cs="Arial" w:eastAsia="Arial" w:hAnsi="Arial"/>
          <w:sz w:val="18"/>
          <w:szCs w:val="18"/>
          <w:color w:val="auto"/>
        </w:rPr>
        <w:t>is our co-founder and had served as President, Research &amp; Development and Chief Scientific Officer of the Company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as President &amp; Chief Executive Officer in 2010. Dr. van de Winkel served as Vice President and Scientific Director of Medarex Europe prior to founding Genmab. Dr. van de Winkel holds a professorship of immunotherapy at Utrecht University. He is Chairman of the board of directors of Hookipa Pharma Inc. and a member of the board of directors of Celdara Medical, LLC and LEO Pharma A/S, and a member of the scientific advisory board of Thuja Capital Healthcare Fund and the advisory board of Capricorn Health-tech Fund. He holds an M.Sc. and a Ph.D. from the University of Nijmegen in the Netherlands.</w:t>
      </w:r>
    </w:p>
    <w:p>
      <w:pPr>
        <w:spacing w:after="0" w:line="192"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b w:val="1"/>
          <w:bCs w:val="1"/>
          <w:color w:val="auto"/>
        </w:rPr>
        <w:t xml:space="preserve">David A. Eatwell </w:t>
      </w:r>
      <w:r>
        <w:rPr>
          <w:rFonts w:ascii="Arial" w:cs="Arial" w:eastAsia="Arial" w:hAnsi="Arial"/>
          <w:sz w:val="16"/>
          <w:szCs w:val="16"/>
          <w:color w:val="auto"/>
        </w:rPr>
        <w:t>joined us in 2008 and currently serves as the Executive Vice President and Chief Financial Officer. Mr. Eatwell has experience in</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international life science businesses, having spent 15 years working in Europe and ten years in the United States. Most recently, he served as Chief Financial Officer of Catalent Pharma Solutions, Inc., a leading provider of manufacturing and packaging services for the pharmaceutical and biotech industry. Prior to Catalent Pharma Solutions, Inc., Mr. Eatwell served as a divisional CFO of Cardinal Health, Inc. Mr. Eatwell is a member of the Association of Chartered Certified Accountants. Mr. Eatwell holds a degree in Business Administration from Swindon College in the United Kingdom.</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Judith Klimovsky </w:t>
      </w:r>
      <w:r>
        <w:rPr>
          <w:rFonts w:ascii="Arial" w:cs="Arial" w:eastAsia="Arial" w:hAnsi="Arial"/>
          <w:sz w:val="16"/>
          <w:szCs w:val="16"/>
          <w:color w:val="auto"/>
        </w:rPr>
        <w:t>joined us in 2017 and currently serves as the Executive Vice President and the Chief Development Officer. She worked previously as a</w:t>
      </w:r>
      <w:r>
        <w:rPr>
          <w:rFonts w:ascii="Arial" w:cs="Arial" w:eastAsia="Arial" w:hAnsi="Arial"/>
          <w:sz w:val="16"/>
          <w:szCs w:val="16"/>
          <w:b w:val="1"/>
          <w:bCs w:val="1"/>
          <w:color w:val="auto"/>
        </w:rPr>
        <w:t xml:space="preserve"> </w:t>
      </w:r>
      <w:r>
        <w:rPr>
          <w:rFonts w:ascii="Arial" w:cs="Arial" w:eastAsia="Arial" w:hAnsi="Arial"/>
          <w:sz w:val="16"/>
          <w:szCs w:val="16"/>
          <w:color w:val="auto"/>
        </w:rPr>
        <w:t>drug developer with more than 10 years of experience in research and development leadership roles at Bristol-Myers Squibb Company and Novartis</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Pharma AG. Dr. Klimovsky is also a medical doctor who has worked as a clinician in hospital environments. Prior to joining us, she held various positions at Novartis Pharma AG from 2009 to 2017, including Senior Vice President, Head of Clinical Development. Ms. Klimovsky is a member of the board of directors of Bellicum Pharmaceuticals. She holds a medical degree from the Universidad de Buenos Aires in Argentina.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Birgitte Stephensen </w:t>
      </w:r>
      <w:r>
        <w:rPr>
          <w:rFonts w:ascii="Arial" w:cs="Arial" w:eastAsia="Arial" w:hAnsi="Arial"/>
          <w:sz w:val="16"/>
          <w:szCs w:val="16"/>
          <w:color w:val="auto"/>
        </w:rPr>
        <w:t>joined us in 2002 and was appointed Senior Vice President in 2010. Ms. Stephensen has experience in both private practice and</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57"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Michael K. Bauer </w:t>
      </w:r>
      <w:r>
        <w:rPr>
          <w:rFonts w:ascii="Arial" w:cs="Arial" w:eastAsia="Arial" w:hAnsi="Arial"/>
          <w:sz w:val="16"/>
          <w:szCs w:val="16"/>
          <w:color w:val="auto"/>
        </w:rPr>
        <w:t>joined us in 2006 and was appointed Senior Vice President in 2010. Before joining us, Dr. Bauer held various positions in academia,</w:t>
      </w:r>
      <w:r>
        <w:rPr>
          <w:rFonts w:ascii="Arial" w:cs="Arial" w:eastAsia="Arial" w:hAnsi="Arial"/>
          <w:sz w:val="16"/>
          <w:szCs w:val="16"/>
          <w:b w:val="1"/>
          <w:bCs w:val="1"/>
          <w:color w:val="auto"/>
        </w:rPr>
        <w:t xml:space="preserve"> </w:t>
      </w:r>
      <w:r>
        <w:rPr>
          <w:rFonts w:ascii="Arial" w:cs="Arial" w:eastAsia="Arial" w:hAnsi="Arial"/>
          <w:sz w:val="16"/>
          <w:szCs w:val="16"/>
          <w:color w:val="auto"/>
        </w:rPr>
        <w:t>the pharmaceutical industry and the venture finance sector in Germany, New Zealand, the United States and Denmark, including at the University of Auckland from 1992 to 1998, Novo Nordisk A/S from 1998 to 2005 and BankInvest Group from 2005 to 2006. Dr. Bauer earned an M.Sc. from the University of Stuttgart-Hohenheim and a Ph.D. from the University of Göttingen, both in Germany.</w:t>
      </w:r>
    </w:p>
    <w:p>
      <w:pPr>
        <w:spacing w:after="0" w:line="157"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color w:val="auto"/>
        </w:rPr>
        <w:t xml:space="preserve">Tahamtan Ahmadi </w:t>
      </w:r>
      <w:r>
        <w:rPr>
          <w:rFonts w:ascii="Arial" w:cs="Arial" w:eastAsia="Arial" w:hAnsi="Arial"/>
          <w:sz w:val="16"/>
          <w:szCs w:val="16"/>
          <w:color w:val="auto"/>
        </w:rPr>
        <w:t>joined us in 2017 and currently serves as the Senior Vice President, Oncology and Translational Medicine. Prior to that, Dr. Ahmadi</w:t>
      </w:r>
      <w:r>
        <w:rPr>
          <w:rFonts w:ascii="Arial" w:cs="Arial" w:eastAsia="Arial" w:hAnsi="Arial"/>
          <w:sz w:val="16"/>
          <w:szCs w:val="16"/>
          <w:b w:val="1"/>
          <w:bCs w:val="1"/>
          <w:color w:val="auto"/>
        </w:rPr>
        <w:t xml:space="preserve"> </w:t>
      </w:r>
      <w:r>
        <w:rPr>
          <w:rFonts w:ascii="Arial" w:cs="Arial" w:eastAsia="Arial" w:hAnsi="Arial"/>
          <w:sz w:val="16"/>
          <w:szCs w:val="16"/>
          <w:color w:val="auto"/>
        </w:rPr>
        <w:t>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w:t>
      </w:r>
    </w:p>
    <w:p>
      <w:pPr>
        <w:ind w:right="200"/>
        <w:spacing w:after="0" w:line="255" w:lineRule="auto"/>
        <w:rPr>
          <w:sz w:val="20"/>
          <w:szCs w:val="20"/>
          <w:color w:val="auto"/>
        </w:rPr>
      </w:pPr>
      <w:r>
        <w:rPr>
          <w:rFonts w:ascii="Arial" w:cs="Arial" w:eastAsia="Arial" w:hAnsi="Arial"/>
          <w:sz w:val="18"/>
          <w:szCs w:val="18"/>
          <w:color w:val="auto"/>
        </w:rPr>
        <w:t>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192"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 xml:space="preserve">Rachel Curtis Gravesen </w:t>
      </w:r>
      <w:r>
        <w:rPr>
          <w:rFonts w:ascii="Arial" w:cs="Arial" w:eastAsia="Arial" w:hAnsi="Arial"/>
          <w:sz w:val="16"/>
          <w:szCs w:val="16"/>
          <w:color w:val="auto"/>
        </w:rPr>
        <w:t>returned to the Company in 2011 as Senior Vice President, Investor Relations and Communications, having previously founded</w:t>
      </w:r>
      <w:r>
        <w:rPr>
          <w:rFonts w:ascii="Arial" w:cs="Arial" w:eastAsia="Arial" w:hAnsi="Arial"/>
          <w:sz w:val="16"/>
          <w:szCs w:val="16"/>
          <w:b w:val="1"/>
          <w:bCs w:val="1"/>
          <w:color w:val="auto"/>
        </w:rPr>
        <w:t xml:space="preserve"> </w:t>
      </w:r>
      <w:r>
        <w:rPr>
          <w:rFonts w:ascii="Arial" w:cs="Arial" w:eastAsia="Arial" w:hAnsi="Arial"/>
          <w:sz w:val="16"/>
          <w:szCs w:val="16"/>
          <w:color w:val="auto"/>
        </w:rPr>
        <w:t>our Investor and Public Relations functions after our European IPO. She has over 18 years of experience in international communications, having worked in investor relations and corporate communications within the healthcare sector for the last 18 years and prior to that as a journalist at the financial news channel CNBC and the BBC. Prior to joining us, she served as a communications manager at Novo Nordisk A/S from 2008 to 2011. Ms. Gravesen has an M.A. from St John's College, University of Cambridge and a post graduate in Journalism from City University in London.</w:t>
      </w:r>
    </w:p>
    <w:p>
      <w:pPr>
        <w:spacing w:after="0" w:line="161"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b w:val="1"/>
          <w:bCs w:val="1"/>
          <w:color w:val="auto"/>
        </w:rPr>
        <w:t xml:space="preserve">Anthony Pagano </w:t>
      </w:r>
      <w:r>
        <w:rPr>
          <w:rFonts w:ascii="Arial" w:cs="Arial" w:eastAsia="Arial" w:hAnsi="Arial"/>
          <w:sz w:val="18"/>
          <w:szCs w:val="18"/>
          <w:color w:val="auto"/>
        </w:rPr>
        <w:t>joined Genmab in 2007, was appointed Senior Vice President, Global Finance in 2011 and had his role expanded in 2019 to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Development. Prior to joining us, Mr. Pagano was Corporate Controller and Senior Director of Business Planning at NovaDel Pharma, Inc. from 2005 to 2007, a publicly-traded specialty pharmaceutical company. He previously worked as a Manager at KPMG LLP from 1999 to 2005. He is a Certified Public Accountant and received a B.S. in Accounting from The College of New Jersey, as well as an M.B.A. from the Stern School of Business at New York University.</w:t>
      </w:r>
    </w:p>
    <w:p>
      <w:pPr>
        <w:spacing w:after="0" w:line="192"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Martine J. van Vugt </w:t>
      </w:r>
      <w:r>
        <w:rPr>
          <w:rFonts w:ascii="Arial" w:cs="Arial" w:eastAsia="Arial" w:hAnsi="Arial"/>
          <w:sz w:val="18"/>
          <w:szCs w:val="18"/>
          <w:color w:val="auto"/>
        </w:rPr>
        <w:t>started her professional career with us in 2001 and was appointed Chief of Staff in January 2019. Previously, she was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Project and Alliance Management as well as Strategic Initiatives and continues to oversee these areas. She has been active in our business development since 2011. From 1998 and until joining us in 2001, she studied dendritic cell vaccination therapy as a post-doctoral fellow. Dr. van Vugt holds an M.Sc. from the University of Wageningen and a Ph.D. from Utrecht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Board plays an active role in setting our strategies and goals and monitoring our operations and results. Board duties include establishing policies for strategy, accounting, organization and finance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94"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Board performs its duties in accordance with the rules of procedure of the Board. The rules of procedure are reviewed and updated by all members of the Board on a regular basis. The Board meets for at least eight scheduled face-to-face or telephonic meetings during the year. During 2017, the Board held nine meetings in addition to the informal ongoing communication between board members and our CEO. Our board of directors may consist of between three and nine Shareholder Elected Members, elected for terms of one year, with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Currently, the Board has three Employee Elected Members, Peter Storm Kristensen, Rick Hibbert and Daniel J. Bruno. In total, our Board currently consists of nine board members (including six Shareholder Elected Members and three Employee Elected Members). The Board elects a chairman from among its members. The majority of our board members are considered to be independent under the corporate governance standards of the Nasdaq Stock Market and Nasdaq Copenhagen.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Registered managers are appointed by the Board, which sets out the terms and conditions of their employment and the framework for their duties. Registered managers are responsible for our day to day management, including all assignments that rest upon them according to the Board and under Danish law, in compliance with the guidelines and directions issued by the Board. Management of our day to day operations does not include transactions of an unusual nature or of significant importance, or transactions being outside our business plan, which must be authorized by the Board. Registered managers appoint other members of senior management.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Board has established and appointed a Compensation Committee, an Audit Committee, a Nominating and Corporate Governance Committee and a Scientific Committee. These committees are charged with reviewing issues pertaining to their respective fields that are due to be considered at Board meetings. Under Danish corporate law, it is not possible to delegate the decision-making authority of the entire Board to board committees. Written charters specifying the tasks and responsibilities for each of the committees have been adopted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Audit Committee must consist of at least two non-executive board members, a majority of which must be independent according to the Audit Committee's charter. Furthermore, the Chairman of the Board shall not be Chairman of the Audit Committee. As of the date of this prospectus, the Audit Committee consists of members Mats Pettersson and Deirdre P. Connelly and is chaired by Pernille Erenbjerg. The Audit Committee assists the Board with the oversight of the financial reporting process, the effectiveness of internal controls over financial reporting and risk management, the independent audit process and compliance with legal and regulatory requirements, in accordance with the Audit Committee charter. Each member satisfies the independence requirements of the corporate governance standards of the Nasdaq Stock Market, and Pernille Erenbjerg qualifies as an "Audit Committee financial expert," as defined in Nasdaq Rule 5605(c)(2)(A) and as determined by our Board. The following description reflects amendments to our Audit Committee charter that we will adopt in connection with this offering.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Audit Committee oversees our accounting and financial reporting processes and the audits of our consolidated financial statements. Our Audit Committee has the following principal responsibilities:</w:t>
      </w:r>
    </w:p>
    <w:p>
      <w:pPr>
        <w:spacing w:after="0" w:line="19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overseeing the financial reporting process to ensure the quality, transparency and integrity of the published financial information;</w:t>
      </w:r>
    </w:p>
    <w:p>
      <w:pPr>
        <w:spacing w:after="0" w:line="275"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effectiveness of our internal controls over financial reporting and risk management system and evaluating the need for an internal audit;</w:t>
      </w:r>
    </w:p>
    <w:p>
      <w:pPr>
        <w:spacing w:after="0" w:line="199" w:lineRule="exact"/>
        <w:rPr>
          <w:rFonts w:ascii="Arial" w:cs="Arial" w:eastAsia="Arial" w:hAnsi="Arial"/>
          <w:sz w:val="18"/>
          <w:szCs w:val="18"/>
          <w:color w:val="auto"/>
        </w:rPr>
      </w:pPr>
    </w:p>
    <w:p>
      <w:pPr>
        <w:jc w:val="both"/>
        <w:ind w:left="1080" w:right="42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overseeing the independent auditor process, including annual assessment of the performance and qualifications of the independent auditor, overseeing non-audit services and, to the extent permitted by applicable law, being directly responsible for the appointment, retention and compensation of the independent auditor in connection with audit, review or attestation services;</w:t>
      </w:r>
    </w:p>
    <w:p>
      <w:pPr>
        <w:spacing w:after="0" w:line="173"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considering the independence of the independent auditor, including by (i) ensuring receipt from the independent auditor of a formal written statement delineating all relationships it has with the Company, (ii) actively engaging in dialogue with the independent auditor with respect to factors that may impact is objectivity and independence, and (iii) taking, or recommending that the Board takes, appropriate action to oversee auditor independence;</w:t>
      </w:r>
    </w:p>
    <w:p>
      <w:pPr>
        <w:spacing w:after="0" w:line="223" w:lineRule="exact"/>
        <w:rPr>
          <w:rFonts w:ascii="Arial" w:cs="Arial" w:eastAsia="Arial" w:hAnsi="Arial"/>
          <w:sz w:val="18"/>
          <w:szCs w:val="18"/>
          <w:color w:val="auto"/>
        </w:rPr>
      </w:pPr>
    </w:p>
    <w:p>
      <w:pPr>
        <w:ind w:left="1080" w:right="460" w:hanging="532"/>
        <w:spacing w:after="0" w:line="33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ensuring that disagreements between management and the independent auditors and management responses thereto are discussed with the independent auditor and resolving disagreements between management and the independent auditor;</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compliance with legal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engaging independent counsel and other advisors;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obtaining appropriate funding, as determined by the Audit Committee, for compensation to the independent auditor and to any advisors that the Audit Committee chooses to engage;</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undertaking the whistleblower function, including establishment of procedures for the receipt, retention and treatment of any complaints from our employees regarding accounting, auditing and internal control issues received through a formalized complaint process, as well as review of such complaints;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its own performance and the achievement of its duties on a regular basis, and annually reviewing and updating the Audit Committee charter and discussing any required changes thereto with the Board.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Audit Committee also performs such other functions and exercises such other powers as may be delegated to it by the Board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According to its charter, our Compensation Committee must consist of at least two independent non-executive directors, appointed by the Board. As of the date of this prospectus, the Compensation Committee consists of members Rolf Hoffmann and Deirdre P. Connelly and is chaired by Anders Gersel Pedersen. Rolf Hoffmann and Deirdre P. Connelly satisfy the independence requirements of the corporate governance standards of the Nasdaq Stock Market.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principles, if adopted by the Board, are subject to the approval of our shareholders at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annual general meeting. The following description reflects amendments to our Compensation Committee charter that we will adopt in connection with this offering. The Compensation Committee's primary responsibilities are as follows:</w:t>
      </w:r>
    </w:p>
    <w:p>
      <w:pPr>
        <w:spacing w:after="0" w:line="199" w:lineRule="exact"/>
        <w:rPr>
          <w:sz w:val="20"/>
          <w:szCs w:val="20"/>
          <w:color w:val="auto"/>
        </w:rPr>
      </w:pPr>
    </w:p>
    <w:p>
      <w:pPr>
        <w:ind w:left="1080" w:right="4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trends in compensation and the competitiveness of our executive compensation programs to ensure (a) the attraction and retention of registered managers, (b) the motivation of registered managers to achieve our business objectives, and (c) the alignment of the interests of key leadership with the long-term interests of our shareholders;</w:t>
      </w:r>
    </w:p>
    <w:p>
      <w:pPr>
        <w:spacing w:after="0" w:line="220"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making proposals for the approval of the Board prior to approval by shareholders at the general meeting, on the compensation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73" w:lineRule="exact"/>
        <w:rPr>
          <w:rFonts w:ascii="Arial" w:cs="Arial" w:eastAsia="Arial" w:hAnsi="Arial"/>
          <w:sz w:val="16"/>
          <w:szCs w:val="16"/>
          <w:color w:val="auto"/>
        </w:rPr>
      </w:pPr>
    </w:p>
    <w:p>
      <w:pPr>
        <w:ind w:left="1080" w:right="9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goals and objectives of our CEO and evaluate his performance in their light to make recommendations concerning CEO compensation upon deliberations or voting in the CEO's absence;</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evaluation of the performance of the Company's registered managers, and discussing their annual compensation, including salary, bonus, incentive and equity compensation;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plans for registered managers' development and corporate succession plans for registered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termination and compensation packages for new registered managers as requested by management;</w:t>
      </w:r>
    </w:p>
    <w:p>
      <w:pPr>
        <w:spacing w:after="0" w:line="238"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its sole discretion, retaining, terminating and receiving advice from outside counsel, compensation consultants or other advisers, upon consideration of (i) whether such counsel, consultant or adviser provides other services to the Company and the amount of fees they receive from the Company as a percentage of their total revenue, (ii) the policies of such counsel, consultant or adviser designed to prevent conflicts of interest, (iii) any business or personal relationship of the consultant, counsel or adviser with a member of the Compensation Committee or a member of senior management of the Company, and (iv) any ownership of shares in the Company by the consultant, legal counsel or adviser;</w:t>
      </w:r>
    </w:p>
    <w:p>
      <w:pPr>
        <w:spacing w:after="0" w:line="19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the fees of outside counsel, compensation consultants or other advisers, to be appropriately funded by the Company and directly overseeing the work of such counsel, consultants or advisers;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overseeing that the information in the annual report on the compensation of the Board and registered managers is correct, true and sufficient.</w:t>
      </w:r>
    </w:p>
    <w:p>
      <w:pPr>
        <w:spacing w:after="0" w:line="24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Compensation Committee also performs such other functions and exercises such other powers as may be delegated to it by the Board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According to its charter, our Nominating and Corporate Governance Committee must include at least two independent non-executive directors, appointed by the Board. As of the date of this prospectus, the Nominating and Corporate Governance Committee consists of members Pernille Erenbjerg and Deirdre P. Connelly and is chaired by Mats Pettersson. All three of the members satisfy the independence requirements of the corporate governance standards of the Nasdaq Global Select Market. The Nominating and Corporate Governance Committee identifies, reviews, evaluates and recommends to the full Board candidates to serve as directors of the Company and makes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recommendations to the Board regarding Board and committee members and corporate governance issues. The Nominating and Corporate Governance Committee's primary responsibilities include the following:</w:t>
      </w:r>
    </w:p>
    <w:p>
      <w:pPr>
        <w:spacing w:after="0" w:line="199" w:lineRule="exact"/>
        <w:rPr>
          <w:sz w:val="20"/>
          <w:szCs w:val="20"/>
          <w:color w:val="auto"/>
        </w:rPr>
      </w:pPr>
    </w:p>
    <w:p>
      <w:pPr>
        <w:ind w:left="1080" w:right="7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proposing to the full Board policies on the size and composition of the Board, including proposals for specific changes to Board size, composition or internal rules of the Board;</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describing the qualifications required for the Board and the registered managers and for a given position and identifying and recommending qualified candidates to the Board;</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at least annually the skills, knowledge and experience of the individual members of the Board and the registered managers and evaluating, reviewing and considering whether to recommend existing directors for re-election;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maintaining an orientation and continuing education program for directors;</w:t>
      </w:r>
    </w:p>
    <w:p>
      <w:pPr>
        <w:spacing w:after="0" w:line="25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73"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matters;</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reviewing the processes and procedures in place to ensure that the Board and its committees timely receive accurate, relevant and appropriately detailed information;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the adequacy of internal rules of the Board, management and any other codes of ethics with the Board and management;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policies and practices regarding philanthropic and political activities;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discussing and assessing the performance of the committee as well as the adequacy of its charter, and recommending any proposed changes to the Board for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Committee</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According to its charter, the Scientific Committee must include at least three non-executive directors, the majority of whom must be independent, with a broad scientific and medical understanding and experience, appointed by the Board. As of the date of this prospectus,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 view of our overall strategy and vision. The Scientific Committee's primary responsibilities include the following:</w:t>
      </w:r>
    </w:p>
    <w:p>
      <w:pPr>
        <w:spacing w:after="0" w:line="19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our pre-clinical and clinical product portfolio, including the commercial attractiveness and the ranking thereof;</w:t>
      </w:r>
    </w:p>
    <w:p>
      <w:pPr>
        <w:spacing w:after="0" w:line="261"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the extent of our research and development capacity and its organization, including the product development process;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discussing the Company's intellectual property strategies.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this offering, we will adopt an amended written code of business conduct, or code of conduct, which outlines the principles of legal and ethical business conduct under which we do business. The code of conduct applies to all of our board members and employees. The full text of the code of conduct will be made available on our website at www.genmab.com. This website address is included in this prospectus as an inactive textual reference only. The information and other content appearing on our website are not part of this prospectus. Any amendments or waivers from the provisions of the code of conduct will be made only after approval by our Board and will be disclosed on our website promptly following the date of such amendment or waiver.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Governance Matters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Sarbanes-Oxley Act of 2002, or the Sarbanes-Oxley Act, as well as related rules subsequently implemented by the SEC, requires foreign private issuers, including our company, to comply with various corporate governance practices. In addition, the Nasdaq Listing Rules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followed by our company in lieu of the Nasdaq Listing Rules are described below.</w:t>
      </w:r>
    </w:p>
    <w:p>
      <w:pPr>
        <w:spacing w:after="0" w:line="214" w:lineRule="exact"/>
        <w:rPr>
          <w:sz w:val="20"/>
          <w:szCs w:val="20"/>
          <w:color w:val="auto"/>
        </w:rPr>
      </w:pPr>
    </w:p>
    <w:p>
      <w:pPr>
        <w:ind w:left="1080" w:right="28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220" w:lineRule="exact"/>
        <w:rPr>
          <w:rFonts w:ascii="Arial" w:cs="Arial" w:eastAsia="Arial" w:hAnsi="Arial"/>
          <w:sz w:val="18"/>
          <w:szCs w:val="18"/>
          <w:color w:val="auto"/>
        </w:rPr>
      </w:pPr>
    </w:p>
    <w:p>
      <w:pPr>
        <w:ind w:left="1080" w:right="100" w:hanging="532"/>
        <w:spacing w:after="0" w:line="25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We intend to provide notice convening a general meeting, including an agenda and other relevant documents, to the Danish Business Authority and written notice to all registered shareholders who have so requested.</w:t>
      </w:r>
    </w:p>
    <w:p>
      <w:pPr>
        <w:spacing w:after="0" w:line="214"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requirements of the Nasdaq Stock Market regarding shareholder approval for certain issuances of securities under Nasdaq Listing Rule 5635. Pursuant to Danish corporate law and our articles of association, our shareholders have authorized our Board to issue securities, including shares and warrants.</w:t>
      </w:r>
    </w:p>
    <w:p>
      <w:pPr>
        <w:spacing w:after="0" w:line="207"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do not intend to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chairman of the Compensation Committee, to be a non-independent director solely by virtue of the length of his tenure on our Board, following his election to the Board in 2003. We do not consider Mr. Pedersen's tenure as material to his ability to be independent from senior management in connection with his duties as a Compensation Committee member.</w:t>
      </w:r>
    </w:p>
    <w:p>
      <w:pPr>
        <w:spacing w:after="0" w:line="19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Because we are a foreign private issuer, the members of our Board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 We intend to take all actions necessary for us to maintain compliance as a foreign private issuer under the applicable corporate governance requirements of the Sarbanes-Oxley Act, the rules adopted by the SEC and the Nasdaq Listing Rules.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the aggregate remuneration paid to the Board was DKK 11,513,000.</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the financial year ended December 31, 2017, the aggregate remuneration to our senior management was DKK 86.6 million, all of which was fully accrued at December 31, 2017. This amount includes base salary, defined contribution plans, other benefits, share-based compensation expenses and annual cash bonuses. Compensation paid for the financial year ended December 31, 2017 to each of Mr. Jan van de Winkel, David A. Eatwell and Judith Klimovsky is disclosed below, as such disclosure is included in our audited consolidated financial statements for the year ended December 31, 2017 included elsewhere in this prospectus. See Note 5.1 of these financial statements for details on compensation of these individuals.</w:t>
      </w:r>
    </w:p>
    <w:p>
      <w:pPr>
        <w:spacing w:after="0" w:line="169"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Board has adopted a remuneration policy for the Board and registered managers, including general guidelines for incentive remuneration. No member of our Board and senior management has received or will receive separate remuneration in connection with this offering.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Members of Our Board of Directors and Certain Members of Senior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2017, our Board granted the following warrants to members of our Board and certain members of our senior management:</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Black -Scholes</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Value</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Warrants</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Exercise Price</w:t>
            </w: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9"/>
              </w:rPr>
              <w:t>December 31,</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Granted in</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Outstanding</w:t>
            </w:r>
          </w:p>
        </w:tc>
      </w:tr>
      <w:tr>
        <w:trPr>
          <w:trHeight w:val="161"/>
        </w:trPr>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rPr>
              <w:t>Number of Warrants Held</w:t>
            </w:r>
          </w:p>
        </w:tc>
        <w:tc>
          <w:tcPr>
            <w:tcW w:w="880" w:type="dxa"/>
            <w:vAlign w:val="bottom"/>
          </w:tcPr>
          <w:p>
            <w:pPr>
              <w:jc w:val="right"/>
              <w:ind w:right="215"/>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Granted</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Exercised</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Expired</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Transfers</w:t>
            </w:r>
          </w:p>
        </w:tc>
        <w:tc>
          <w:tcPr>
            <w:tcW w:w="920" w:type="dxa"/>
            <w:vAlign w:val="bottom"/>
          </w:tcPr>
          <w:p>
            <w:pPr>
              <w:jc w:val="right"/>
              <w:ind w:right="235"/>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Warrants</w:t>
            </w:r>
          </w:p>
        </w:tc>
      </w:tr>
      <w:tr>
        <w:trPr>
          <w:trHeight w:val="142"/>
        </w:trPr>
        <w:tc>
          <w:tcPr>
            <w:tcW w:w="1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40" w:type="dxa"/>
            <w:vAlign w:val="bottom"/>
          </w:tcPr>
          <w:p>
            <w:pPr>
              <w:spacing w:after="0"/>
              <w:rPr>
                <w:sz w:val="12"/>
                <w:szCs w:val="12"/>
                <w:color w:val="auto"/>
              </w:rPr>
            </w:pPr>
          </w:p>
        </w:tc>
      </w:tr>
      <w:tr>
        <w:trPr>
          <w:trHeight w:val="216"/>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Board of Directors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Mats Pettersson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38,750</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38,750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187.96</w:t>
            </w:r>
          </w:p>
        </w:tc>
      </w:tr>
      <w:tr>
        <w:trPr>
          <w:trHeight w:val="208"/>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Anders Gersel</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1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Pedersen</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(21,250)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32,750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108.80</w:t>
            </w: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Burton G. Malkiel</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Paolo Paoletti</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Deirdre P. Connelly</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Peter Storm</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1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Kristensen*</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201,592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663.38</w:t>
            </w: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Rick Hibbert*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80,569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531.65</w:t>
            </w:r>
          </w:p>
        </w:tc>
      </w:tr>
      <w:tr>
        <w:trPr>
          <w:trHeight w:val="216"/>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(5,125)</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1,108,418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799.19</w:t>
            </w:r>
          </w:p>
        </w:tc>
      </w:tr>
      <w:tr>
        <w:trPr>
          <w:trHeight w:val="210"/>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4,125</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(31,625)</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77"/>
              </w:rPr>
              <w:t>—</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92,242</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1,390,579</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289.39</w:t>
            </w:r>
          </w:p>
        </w:tc>
        <w:tc>
          <w:tcPr>
            <w:tcW w:w="14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4"/>
              </w:rPr>
              <w:t>Senior Management</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Jan van de Winkel</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392,841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24,461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(252,500)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164,802</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8,246,048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455.68</w:t>
            </w:r>
          </w:p>
        </w:tc>
      </w:tr>
      <w:tr>
        <w:trPr>
          <w:trHeight w:val="216"/>
        </w:trPr>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David A. Eatwell</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373,056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4,543,906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183.50</w:t>
            </w:r>
          </w:p>
        </w:tc>
      </w:tr>
      <w:tr>
        <w:trPr>
          <w:trHeight w:val="216"/>
        </w:trPr>
        <w:tc>
          <w:tcPr>
            <w:tcW w:w="1660" w:type="dxa"/>
            <w:vAlign w:val="bottom"/>
            <w:gridSpan w:val="3"/>
          </w:tcPr>
          <w:p>
            <w:pPr>
              <w:ind w:left="20"/>
              <w:spacing w:after="0"/>
              <w:rPr>
                <w:sz w:val="20"/>
                <w:szCs w:val="20"/>
                <w:color w:val="auto"/>
              </w:rPr>
            </w:pPr>
            <w:r>
              <w:rPr>
                <w:rFonts w:ascii="Arial" w:cs="Arial" w:eastAsia="Arial" w:hAnsi="Arial"/>
                <w:sz w:val="18"/>
                <w:szCs w:val="18"/>
                <w:color w:val="auto"/>
              </w:rPr>
              <w:t>Judith Klimovsky</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21,879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21,879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8,520,802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1,183.65</w:t>
            </w:r>
          </w:p>
        </w:tc>
      </w:tr>
      <w:tr>
        <w:trPr>
          <w:trHeight w:val="216"/>
        </w:trPr>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877,418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59,819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(377,500)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559,737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21,310,756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302.73</w:t>
            </w:r>
          </w:p>
        </w:tc>
      </w:tr>
      <w:tr>
        <w:trPr>
          <w:trHeight w:val="210"/>
        </w:trPr>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1,007,160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63,944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(409,125)</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77"/>
              </w:rPr>
              <w:t>—</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651,979</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22,701,335</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300.84</w:t>
            </w:r>
          </w:p>
        </w:tc>
        <w:tc>
          <w:tcPr>
            <w:tcW w:w="14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
        </w:trPr>
        <w:tc>
          <w:tcPr>
            <w:tcW w:w="1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Each employee-elected board member was granted warrants as an employee of Genmab.</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2017, our Board granted the following RSUs to members of our Board and certain members of our senior management:</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Fair Value</w:t>
            </w: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RSUs</w:t>
            </w: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Granted in</w:t>
            </w:r>
          </w:p>
        </w:tc>
      </w:tr>
      <w:tr>
        <w:trPr>
          <w:trHeight w:val="161"/>
        </w:trPr>
        <w:tc>
          <w:tcPr>
            <w:tcW w:w="3340" w:type="dxa"/>
            <w:vAlign w:val="bottom"/>
            <w:gridSpan w:val="3"/>
          </w:tcPr>
          <w:p>
            <w:pPr>
              <w:ind w:left="20"/>
              <w:spacing w:after="0"/>
              <w:rPr>
                <w:sz w:val="20"/>
                <w:szCs w:val="20"/>
                <w:color w:val="auto"/>
              </w:rPr>
            </w:pPr>
            <w:r>
              <w:rPr>
                <w:rFonts w:ascii="Arial" w:cs="Arial" w:eastAsia="Arial" w:hAnsi="Arial"/>
                <w:sz w:val="13"/>
                <w:szCs w:val="13"/>
                <w:b w:val="1"/>
                <w:bCs w:val="1"/>
                <w:color w:val="auto"/>
              </w:rPr>
              <w:t>Number of RSUs held</w:t>
            </w:r>
          </w:p>
        </w:tc>
        <w:tc>
          <w:tcPr>
            <w:tcW w:w="960" w:type="dxa"/>
            <w:vAlign w:val="bottom"/>
          </w:tcPr>
          <w:p>
            <w:pPr>
              <w:jc w:val="right"/>
              <w:ind w:right="255"/>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Granted</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Settled</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Transfers</w:t>
            </w:r>
          </w:p>
        </w:tc>
        <w:tc>
          <w:tcPr>
            <w:tcW w:w="960" w:type="dxa"/>
            <w:vAlign w:val="bottom"/>
          </w:tcPr>
          <w:p>
            <w:pPr>
              <w:jc w:val="right"/>
              <w:ind w:right="27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r>
      <w:tr>
        <w:trPr>
          <w:trHeight w:val="142"/>
        </w:trPr>
        <w:tc>
          <w:tcPr>
            <w:tcW w:w="12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Board of Directors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Mats Pettersson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4,043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4,818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799,800</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Anders Gersel Pedersen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599,592</w:t>
            </w: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Burton G. Malkiel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400,416</w:t>
            </w: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Paolo Paoletti</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3,959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400,416</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2,000,083</w:t>
            </w: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Deirdre P. Connelly</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2,000,083</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601,656</w:t>
            </w: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Rick Hibbert*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480,912</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1,508,784</w:t>
            </w:r>
          </w:p>
        </w:tc>
      </w:tr>
      <w:tr>
        <w:trPr>
          <w:trHeight w:val="209"/>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8,791,742</w:t>
            </w:r>
          </w:p>
        </w:tc>
        <w:tc>
          <w:tcPr>
            <w:tcW w:w="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3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Senior Management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Jan van de Winkel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39,606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7,991</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47,597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8,246,712</w:t>
            </w:r>
          </w:p>
        </w:tc>
      </w:tr>
      <w:tr>
        <w:trPr>
          <w:trHeight w:val="216"/>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David A. Eatwell</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4,404</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29,056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4,544,928</w:t>
            </w:r>
          </w:p>
        </w:tc>
      </w:tr>
      <w:tr>
        <w:trPr>
          <w:trHeight w:val="216"/>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Judith Klimovsky</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7,204</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8,540,528</w:t>
            </w: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19,599</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83,857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21,332,168</w:t>
            </w:r>
          </w:p>
        </w:tc>
      </w:tr>
      <w:tr>
        <w:trPr>
          <w:trHeight w:val="210"/>
        </w:trPr>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108,185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30,123,910</w:t>
            </w:r>
          </w:p>
        </w:tc>
        <w:tc>
          <w:tcPr>
            <w:tcW w:w="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Each Employee Elected Member was granted 388 RSUs as a member of the Board. The remaining RSUs were granted to each Employee Elected Member in his capacity as an employee of the Company.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2017, our board members received the following compensation in connection with their membership on the Board:</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Shared-based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Base Board</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Committee</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Compensation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Fee</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Fees</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Expenses</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r>
      <w:tr>
        <w:trPr>
          <w:trHeight w:val="142"/>
        </w:trPr>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Mats Pettersson*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Anders Gersel Pedersen*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1,767</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1,404</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Paolo Paoletti*</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1,254</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Deirdre P. Connelly*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889</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Rick Hibbert**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Burton G. Malkiel***</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1,061</w:t>
            </w:r>
          </w:p>
        </w:tc>
      </w:tr>
      <w:tr>
        <w:trPr>
          <w:trHeight w:val="20"/>
        </w:trPr>
        <w:tc>
          <w:tcPr>
            <w:tcW w:w="2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5,360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11,513</w:t>
            </w:r>
          </w:p>
        </w:tc>
      </w:tr>
      <w:tr>
        <w:trPr>
          <w:trHeight w:val="20"/>
        </w:trPr>
        <w:tc>
          <w:tcPr>
            <w:tcW w:w="2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9" w:lineRule="exact"/>
        <w:rPr>
          <w:sz w:val="20"/>
          <w:szCs w:val="20"/>
          <w:color w:val="auto"/>
        </w:rPr>
      </w:pPr>
    </w:p>
    <w:p>
      <w:pPr>
        <w:ind w:left="1680" w:hanging="549"/>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Shareholder Elected Member</w:t>
      </w:r>
    </w:p>
    <w:p>
      <w:pPr>
        <w:ind w:left="1140"/>
        <w:spacing w:after="0" w:line="234"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Employee Elected Member</w:t>
      </w:r>
    </w:p>
    <w:p>
      <w:pPr>
        <w:ind w:left="114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Stepped down from the Board at the general meeting of shareholders in March 2017</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2017, certain members of our senior management received the following compensation in connection with their employment with us: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Defined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Share-based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3080" w:type="dxa"/>
            <w:vAlign w:val="bottom"/>
          </w:tcPr>
          <w:p>
            <w:pPr>
              <w:spacing w:after="0"/>
              <w:rPr>
                <w:sz w:val="12"/>
                <w:szCs w:val="12"/>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Base</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Contribution</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Other</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Annual</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Compensation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0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Salary</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Plans</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Benefits</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Cash Bonus</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Expenses</w:t>
            </w: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r>
      <w:tr>
        <w:trPr>
          <w:trHeight w:val="142"/>
        </w:trPr>
        <w:tc>
          <w:tcPr>
            <w:tcW w:w="30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van deWinkel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26,980</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David A. Eatwell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2,139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15,271</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Judith Klimovsky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13,862</w:t>
            </w:r>
          </w:p>
        </w:tc>
      </w:tr>
      <w:tr>
        <w:trPr>
          <w:trHeight w:val="20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10,263</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56,113</w:t>
            </w:r>
          </w:p>
        </w:tc>
        <w:tc>
          <w:tcPr>
            <w:tcW w:w="16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Senior Management Agreements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Remuneration given to our President and CEO, Jan G. J. van de Winkel, our Executive Vice President and CFO, David A. Eatwell and our Executive Vice President and CDO, Judith Klimovsky in accordance with their service agreements consists of a base salary, a cash bonus, RSUs and warrants. The cash bonus for Mr. van de Winkel is to be determined by the Compensation Committee and approved by the Board in a range of 0 to 100 percent of his annual base salary. The cash bonus for Mr. Eatwell and Ms. Klimovsky is conditional upon the recommendation of the CEO, in an amount between 0 and 60 percent of the individual's annual base salary as determined by the Compensation Committee and approved by the Board. For 2017, warrants and RSUs have been granted to the above named individuals under our warrant and RSU programs, which are further described below. These individuals qualify for all of our benefit programs, including pension plans.</w:t>
      </w:r>
    </w:p>
    <w:p>
      <w:pPr>
        <w:spacing w:after="0" w:line="172"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The above-named individuals can terminate their employment with us by giving a 6-month notice. We can terminate their employment with us by giving them a 12-month notice. In the event that we terminate the service agreements without cause, we will be obliged to pay the then existing salary (including all benefits set forth in their respective service agreements) to Mr. van de Winkel and Mr. Eatwell for two years, and to Ms. Klimovsky for one year, after the end of the 12-month notice period.</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of a termination in connection with a change in control (as defined in the individuals' service agreements), we will pay an additional two years of then current salary (including all benefits set forth in their respective service agreements) to Mr. van de Winkel and Mr. Eatwell, and three years of then current salary (including all benefits set forth in her service agreement) to Ms. Klimovsky. Mr. van de Winkel and Mr. Eatwell will also receive an amount equal to two times the highest total bonus awarded to them, and Ms. Klimovsky will receive an amount equal to the highest total bonus awarded to her, in any year during the term of their respective employment, in each case payable in a lump sum payment on the individual's last working day.</w:t>
      </w:r>
    </w:p>
    <w:p>
      <w:pPr>
        <w:spacing w:after="0" w:line="169"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Other than as set out above, Mr. Van de Winkel, Mr. Eatwell and Ms. Klimovsky are not entitled to any kind of remuneration upon termination of employment. We have not granted any loans, issued any guarantees or undertaken any other obligations to do so on behalf of any member of our senior management.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details on the terms and conditions of the warrants, see "—Warrant Program"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details on the terms and conditions of the RSUs, see "—Restricted Stock Unit Program"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351"/>
        <w:spacing w:after="0" w:line="369" w:lineRule="auto"/>
        <w:rPr>
          <w:sz w:val="20"/>
          <w:szCs w:val="20"/>
          <w:color w:val="auto"/>
        </w:rPr>
      </w:pPr>
      <w:r>
        <w:rPr>
          <w:rFonts w:ascii="Arial" w:cs="Arial" w:eastAsia="Arial" w:hAnsi="Arial"/>
          <w:sz w:val="15"/>
          <w:szCs w:val="15"/>
          <w:color w:val="auto"/>
        </w:rPr>
        <w:t>Other than as set out above, no exceptional or extraordinary agreements, including agreements regarding bonus schemes, other than ordinary incentive schemes and remuneration of the senior management implying financial obligations for us, have been concluded with members of our senior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established a warrant program, or the Warrant Program, as an incentive for our employees and members of senior management. Warrants are granted by the Board in accordance with authorizations given to it by our shareholders. Warrant grants are subject to the relevant terms of our articles of association and the incentive guidelines adopted by the shareholders at the general meeting, or the remuneration principles.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 The Warrant Program contains anti-dilution provisions if changes occur in our share capital prior to the warrants being exercised.</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case of a change of control event as defined in the Warrant Program, the warrant holder will immediately be granted the right to exercise all of his or her warrants regardless of the fact that such warrants would otherwise only become fully vested at a later point in time. Warrant holders who are no longer employed by or affiliated with us will, however, only be entitled to exercise such percentages as would otherwise have vested under the terms of the Warrant Program.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Granted warrants are generally subject to provisions reflecting the principles of the former section 4 and 5 of the Danish Stock Option Act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Aktieoptionsloven</w:t>
      </w:r>
      <w:r>
        <w:rPr>
          <w:rFonts w:ascii="Arial" w:cs="Arial" w:eastAsia="Arial" w:hAnsi="Arial"/>
          <w:sz w:val="16"/>
          <w:szCs w:val="16"/>
          <w:color w:val="auto"/>
        </w:rPr>
        <w:t>), which allows for the forfeiture of unexercised warrants if the grantee separates from the company or one of our subsidiaries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 which the warrant holder is considered a "bad-leaver", understood as, for example, being dismissed for cause or resigning without us having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materially breached the employment contract. Warrant holders may maintain all granted warrants if they separate from the company or one of our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under circumstances where they are considered as "good-leavers", such as dismissal without cause, leaving us pursuant to an agreed severance agreement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retirement, warrant holder's resignation due to our material breach of contract or the warrant holder's death.</w:t>
      </w:r>
    </w:p>
    <w:p>
      <w:pPr>
        <w:spacing w:after="0" w:line="21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terms of the warrants issued under the Warrant Program were amended in August 2004, April 2012 and March 2017. Warrants granted on terms as amended in August 2004 can be exercised starting from one year after the grant date and lapse on the tenth anniversary of the grant date. As a general rule, the warrant holder may only exercise 25% of the warrants granted per full year of employment or affiliation with us after the grant date. However, the warrant holder will be entitled to continue to be able to exercise all warrants on a regular schedule in instances where the employment relationship is terminated by us without cause.</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Warrants granted on terms as amended in April 2012 will lapse at the seventh anniversary of the grant date. All other terms of these warrants are identical to those issued pursuant to the August 2004 amendments.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Warrants granted on terms as amended in March 2017 are subject to a cliff vesting period and become fully vested three years from the date of grant. All other terms of such warrants are identical to those issued pursuant to the August 2004 and April 2012 amendments.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outstanding warrants and the holders of such warrants may be summarized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Number of</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Warrants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Held by</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Certain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Former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Members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Warrants Held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Senior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by Messrs. Van</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Number of</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Management,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Weighted</w:t>
            </w: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Warrants Held</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de Winkel and</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Warrants</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Board of</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Average</w:t>
            </w:r>
          </w:p>
        </w:tc>
      </w:tr>
      <w:tr>
        <w:trPr>
          <w:trHeight w:val="148"/>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by the Board of</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Eatwell and</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Held by</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Directors and</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Outstanding</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Exercise</w:t>
            </w:r>
          </w:p>
        </w:tc>
      </w:tr>
      <w:tr>
        <w:trPr>
          <w:trHeight w:val="161"/>
        </w:trPr>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Directors*</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Ms. Klimovsky</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Employees</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Employees</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Warrants</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Price</w:t>
            </w:r>
          </w:p>
        </w:tc>
      </w:tr>
      <w:tr>
        <w:trPr>
          <w:trHeight w:val="142"/>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Outstanding at January 1, 2017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129,742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877,418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644,097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539,054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2,190,311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311.52</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4,125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59,819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118,745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182,689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1,123.91</w:t>
            </w:r>
          </w:p>
        </w:tc>
      </w:tr>
      <w:tr>
        <w:trPr>
          <w:trHeight w:val="21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(294,784)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348.20</w:t>
            </w:r>
          </w:p>
        </w:tc>
      </w:tr>
      <w:tr>
        <w:trPr>
          <w:trHeight w:val="21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722.48</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Transfers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(56,765)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66,765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25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Outstanding at December 31,</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2017</w:t>
            </w:r>
          </w:p>
        </w:tc>
        <w:tc>
          <w:tcPr>
            <w:tcW w:w="9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92,242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559,737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574,295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291,912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1,518,186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436.01</w:t>
            </w:r>
          </w:p>
        </w:tc>
      </w:tr>
      <w:tr>
        <w:trPr>
          <w:trHeight w:val="216"/>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Exercisable at year end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79,380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472,119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262,414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270,458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1,084,371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233.81</w:t>
            </w:r>
          </w:p>
        </w:tc>
      </w:tr>
      <w:tr>
        <w:trPr>
          <w:trHeight w:val="208"/>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warrants in the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at year end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269,313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1,053,786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201.27</w:t>
            </w:r>
          </w:p>
        </w:tc>
      </w:tr>
      <w:tr>
        <w:trPr>
          <w:trHeight w:val="108"/>
        </w:trPr>
        <w:tc>
          <w:tcPr>
            <w:tcW w:w="16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Warrants held by the Board include only warrants granted to Employee Elected Members of the Board in their capacity as employees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established an RSU program as an incentive for all our employees, members of senior management and members of the Board.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RSUs are granted and performance vesting criteria decided by the Board in its sole discretion. Under the terms of the RSU Program, RSUs are subject to a cliff vesting period and become fully vested on the first banking day of the month following a period of three years from the date of grant. If an employee, member of senior management, or member of the Board ceases his or her employment or board membership prior to the vesting date, all RSUs that are granted but not yet vested will lapse automatically. However, if an employee, a member of senior management or a member of the Board ceases employment or board membership due to retirement or age limitation in our articles of association, death, serious sickness or serious injury then all RSUs that are granted, but not yet vested will remain outstanding and will be settled in accordance with their terms. In addition, for an employee or a member of senior management, RSUs that are granted but not yet vested will remain outstanding and will be settled in accordance with their terms in instances where the employment relationship is terminated by us without cause. Within 30 days of the vesting date, the holder of an RSU receives one share in the Company for each RSU. We may, at our sole discretion in extraordinary circumstances, choose to make a cash settlement instead of delivering shares.</w:t>
      </w:r>
    </w:p>
    <w:p>
      <w:pPr>
        <w:spacing w:after="0" w:line="173"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RSU program contains anti-dilution provisions if changes occur in our share capital prior to the vesting date and provisions to accelerate vesting of RSUs in the event of a change of control as defined in the RSU program.</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intend to purchase our own shares in order to cover our obligations in relation to the RSUs. Authorization to purchase our own shares up to a nominal value of DKK 500,000 (500,000 shares)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given by the shareholders at the annual general meeting in March 2016. There were no acquisitions of treasury shares in 2017. The weighted average fair value of RSUs granted in 2017 was DKK 1,128.30 in 2017.</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outstanding RSUs and the holders of such RSUs may be summarized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Number of RSUs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RSUs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Held by</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Held by</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Former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Number of RSUs</w:t>
            </w: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Messrs. Van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Members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Held by the</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de Winkel and</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Number of RSUs</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of the Board</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Board of</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Eatwell and</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Held by</w:t>
            </w: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of Directors</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Outstanding</w:t>
            </w:r>
          </w:p>
        </w:tc>
      </w:tr>
      <w:tr>
        <w:trPr>
          <w:trHeight w:val="161"/>
        </w:trPr>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Directors*</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Ms. Klimovsky</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Employees</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and Employees</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RSUs</w:t>
            </w:r>
          </w:p>
        </w:tc>
        <w:tc>
          <w:tcPr>
            <w:tcW w:w="160" w:type="dxa"/>
            <w:vAlign w:val="bottom"/>
          </w:tcPr>
          <w:p>
            <w:pPr>
              <w:spacing w:after="0"/>
              <w:rPr>
                <w:sz w:val="14"/>
                <w:szCs w:val="14"/>
                <w:color w:val="auto"/>
              </w:rPr>
            </w:pPr>
          </w:p>
        </w:tc>
      </w:tr>
      <w:tr>
        <w:trPr>
          <w:trHeight w:val="20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18,688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64,258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18,291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102,387</w:t>
            </w:r>
          </w:p>
        </w:tc>
      </w:tr>
      <w:tr>
        <w:trPr>
          <w:trHeight w:val="216"/>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7,661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19,599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38,691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65,951</w:t>
            </w:r>
          </w:p>
        </w:tc>
      </w:tr>
      <w:tr>
        <w:trPr>
          <w:trHeight w:val="21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Transferred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r>
        <w:trPr>
          <w:trHeight w:val="228"/>
        </w:trPr>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Outstanding at December 31, 2017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24,328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83,857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55,475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4,384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168,044</w:t>
            </w:r>
          </w:p>
        </w:tc>
      </w:tr>
      <w:tr>
        <w:trPr>
          <w:trHeight w:val="96"/>
        </w:trPr>
        <w:tc>
          <w:tcPr>
            <w:tcW w:w="16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hanging="549"/>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RSUs held by the Board include RSUs granted to Employee Elected members of the Board in their capacity as employees of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Discharge of Liability</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provide our board members and registered managers with directors' and officers' liability insurance.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not granted any loans, guarantees, or other commitments to or on behalf of any members of our board of directors or senior management.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Warrant Grants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entered into employment agreements with, and issued warrants to, our senior management. See "Management—Compensation—Certain Management Agreements" and "Management—Compensation—Warrant Program" for more information.</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40"/>
          </w:cols>
          <w:pgMar w:left="320" w:top="131" w:right="9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December 31, 2018 by:</w:t>
      </w:r>
    </w:p>
    <w:p>
      <w:pPr>
        <w:spacing w:after="0" w:line="23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equal to or more than 5% of our outstanding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Share Beneficial Ownership</w:t>
            </w:r>
          </w:p>
        </w:tc>
      </w:tr>
      <w:tr>
        <w:trPr>
          <w:trHeight w:val="16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8"/>
          </w:tcPr>
          <w:p>
            <w:pPr>
              <w:jc w:val="right"/>
              <w:ind w:right="740"/>
              <w:spacing w:after="0"/>
              <w:rPr>
                <w:sz w:val="20"/>
                <w:szCs w:val="20"/>
                <w:color w:val="auto"/>
              </w:rPr>
            </w:pPr>
            <w:r>
              <w:rPr>
                <w:rFonts w:ascii="Arial" w:cs="Arial" w:eastAsia="Arial" w:hAnsi="Arial"/>
                <w:sz w:val="13"/>
                <w:szCs w:val="13"/>
                <w:b w:val="1"/>
                <w:bCs w:val="1"/>
                <w:color w:val="auto"/>
              </w:rPr>
              <w:t>Share Beneficial Ownership Prior to this Offering</w:t>
            </w:r>
          </w:p>
        </w:tc>
        <w:tc>
          <w:tcPr>
            <w:tcW w:w="22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After this Offering</w:t>
            </w:r>
          </w:p>
        </w:tc>
      </w:tr>
      <w:tr>
        <w:trPr>
          <w:trHeight w:val="129"/>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Warrants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Exercisable</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and RSUs</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Fully Diluted</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Fully Diluted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Fully Diluted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Fully Diluted</w:t>
            </w: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to</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Percentage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Percentage</w:t>
            </w: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be Settled</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of</w:t>
            </w: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Beneficially</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Within</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Beneficially</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Beneficial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Beneficial</w:t>
            </w:r>
          </w:p>
        </w:tc>
      </w:tr>
      <w:tr>
        <w:trPr>
          <w:trHeight w:val="161"/>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Name of Beneficial Owner</w:t>
            </w:r>
          </w:p>
        </w:tc>
        <w:tc>
          <w:tcPr>
            <w:tcW w:w="114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60 Days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60" w:type="dxa"/>
            <w:vAlign w:val="bottom"/>
          </w:tcPr>
          <w:p>
            <w:pPr>
              <w:spacing w:after="0"/>
              <w:rPr>
                <w:sz w:val="14"/>
                <w:szCs w:val="14"/>
                <w:color w:val="auto"/>
              </w:rPr>
            </w:pPr>
          </w:p>
        </w:tc>
      </w:tr>
      <w:tr>
        <w:trPr>
          <w:trHeight w:val="209"/>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 Shareholders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Artisan Partners Limited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2680" w:type="dxa"/>
            <w:vAlign w:val="bottom"/>
            <w:gridSpan w:val="3"/>
          </w:tcPr>
          <w:p>
            <w:pPr>
              <w:ind w:left="200"/>
              <w:spacing w:after="0" w:line="263" w:lineRule="exact"/>
              <w:rPr>
                <w:sz w:val="20"/>
                <w:szCs w:val="20"/>
                <w:color w:val="auto"/>
              </w:rPr>
            </w:pPr>
            <w:r>
              <w:rPr>
                <w:rFonts w:ascii="Arial" w:cs="Arial" w:eastAsia="Arial" w:hAnsi="Arial"/>
                <w:sz w:val="18"/>
                <w:szCs w:val="18"/>
                <w:color w:val="auto"/>
              </w:rPr>
              <w:t>Partnership</w:t>
            </w:r>
            <w:r>
              <w:rPr>
                <w:rFonts w:ascii="Arial" w:cs="Arial" w:eastAsia="Arial" w:hAnsi="Arial"/>
                <w:sz w:val="29"/>
                <w:szCs w:val="29"/>
                <w:color w:val="auto"/>
                <w:vertAlign w:val="superscript"/>
              </w:rPr>
              <w:t>(1)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3,081,731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3,081,731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2"/>
        </w:trPr>
        <w:tc>
          <w:tcPr>
            <w:tcW w:w="26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Board Members and Senior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6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Management</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Mats Pettersson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27,207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52,007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Anders Gersel Pedersen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37,718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Pernille Erenbjerg</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3,178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Paolo Paoletti</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Rolf Hoffmann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Deirdre P. Connelly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Rick Hibbert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Daniel J. Bruno</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5,682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5,682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 G. J. van de Winkel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662,400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62,758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725,158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David A. Eatwell</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30,825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311,669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342,494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Judith Klimovsky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Birgitte Stephensen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K. Bauer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Tahamtan Ahmadi</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Rachel Curtis Gravesen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Anthony Pagano</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Martine J. van Vugt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All board members and senior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80" w:type="dxa"/>
            <w:vAlign w:val="bottom"/>
            <w:gridSpan w:val="3"/>
          </w:tcPr>
          <w:p>
            <w:pPr>
              <w:ind w:left="200"/>
              <w:spacing w:after="0"/>
              <w:rPr>
                <w:sz w:val="20"/>
                <w:szCs w:val="20"/>
                <w:color w:val="auto"/>
              </w:rPr>
            </w:pPr>
            <w:r>
              <w:rPr>
                <w:rFonts w:ascii="Arial" w:cs="Arial" w:eastAsia="Arial" w:hAnsi="Arial"/>
                <w:sz w:val="18"/>
                <w:szCs w:val="18"/>
                <w:color w:val="auto"/>
              </w:rPr>
              <w:t>management as a group</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680" w:type="dxa"/>
            <w:vAlign w:val="bottom"/>
            <w:gridSpan w:val="3"/>
          </w:tcPr>
          <w:p>
            <w:pPr>
              <w:ind w:left="200"/>
              <w:spacing w:after="0"/>
              <w:rPr>
                <w:sz w:val="20"/>
                <w:szCs w:val="20"/>
                <w:color w:val="auto"/>
              </w:rPr>
            </w:pPr>
            <w:r>
              <w:rPr>
                <w:rFonts w:ascii="Arial" w:cs="Arial" w:eastAsia="Arial" w:hAnsi="Arial"/>
                <w:sz w:val="18"/>
                <w:szCs w:val="18"/>
                <w:color w:val="auto"/>
              </w:rPr>
              <w:t>(18 persons)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740,590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532,601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1,273,191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9" w:lineRule="exact"/>
        <w:rPr>
          <w:sz w:val="20"/>
          <w:szCs w:val="20"/>
          <w:color w:val="auto"/>
        </w:rPr>
      </w:pPr>
    </w:p>
    <w:p>
      <w:pPr>
        <w:ind w:left="1680" w:hanging="549"/>
        <w:spacing w:after="0"/>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Indicates beneficial ownership of less than 1% of the total outstanding shares.</w:t>
      </w:r>
    </w:p>
    <w:p>
      <w:pPr>
        <w:ind w:left="1680" w:hanging="549"/>
        <w:spacing w:after="0" w:line="297" w:lineRule="auto"/>
        <w:tabs>
          <w:tab w:leader="none" w:pos="16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This information is based solely on a notification provided by Artisan Partners Limited Partnership pursuant to Section 38 of the Danish Capital Markets Act. Genmab issued a major shareholder announcement on January 9, 2018. Artisan Partners Limited Partnership does not have different voting rights from other shareholders.</w:t>
      </w:r>
    </w:p>
    <w:p>
      <w:pPr>
        <w:spacing w:after="0" w:line="162"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The number of shares beneficially owned by each entity, person or member of our board of directors or senior management is determined in accordance with the rules of the SEC, and the information is not necessarily indicative of beneficial ownership for any other purpose. Under such</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rules, beneficial ownership includes any shares over which the individual has sole or shared voting power or investment power as well as any shares for which the individual has the right to subscribe within 60 days of December 31, 2018 through the exercise of any options, warrants or other rights. There are 532,601 shares for which our board members and senior management as a group have the right to subscribe within 60 days of December 31, 2018 pursuant to the exercise of warrants or settlement of RSUs. See "Description of Share Capital and Certain Corporate Matters", as well as "Management—Compensation— Warrant Program" and "Management—Compensation—Restricted Stock Unit Program" for a description of certain terms related to the exercise of our warrants and settlement of RSUs.</w:t>
      </w:r>
    </w:p>
    <w:p>
      <w:pPr>
        <w:spacing w:after="0" w:line="17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Subject to applicable community property laws, the persons named in the table have sole voting and investment power with respect to all shares owned by that person.</w:t>
      </w:r>
    </w:p>
    <w:p>
      <w:pPr>
        <w:spacing w:after="0" w:line="186" w:lineRule="exact"/>
        <w:rPr>
          <w:sz w:val="20"/>
          <w:szCs w:val="20"/>
          <w:color w:val="auto"/>
        </w:rPr>
      </w:pPr>
    </w:p>
    <w:p>
      <w:pPr>
        <w:jc w:val="both"/>
        <w:ind w:right="240" w:firstLine="348"/>
        <w:spacing w:after="0" w:line="335" w:lineRule="auto"/>
        <w:rPr>
          <w:sz w:val="20"/>
          <w:szCs w:val="20"/>
          <w:color w:val="auto"/>
        </w:rPr>
      </w:pPr>
      <w:r>
        <w:rPr>
          <w:rFonts w:ascii="Arial" w:cs="Arial" w:eastAsia="Arial" w:hAnsi="Arial"/>
          <w:sz w:val="15"/>
          <w:szCs w:val="15"/>
          <w:color w:val="auto"/>
        </w:rPr>
        <w:t>The percentage of shares beneficially owned prior to this offering is computed on the basis of 61,497,571 shares outstanding as of December 31, 2018. Shares for which a person has the right to subscribe within 60 days of December 31, 2018 are deemed outstanding for purposes of computing the percentage ownership of the person holding such rights, but are not deemed outstanding for purposes of computing the percentage ownership of any other person.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gridSpan w:val="2"/>
          </w:tcPr>
          <w:p>
            <w:pPr>
              <w:jc w:val="right"/>
              <w:ind w:right="132"/>
              <w:spacing w:after="0"/>
              <w:rPr>
                <w:sz w:val="20"/>
                <w:szCs w:val="20"/>
                <w:color w:val="auto"/>
              </w:rPr>
            </w:pPr>
            <w:r>
              <w:rPr>
                <w:rFonts w:ascii="Arial" w:cs="Arial" w:eastAsia="Arial" w:hAnsi="Arial"/>
                <w:sz w:val="18"/>
                <w:szCs w:val="18"/>
                <w:color w:val="auto"/>
                <w:w w:val="93"/>
              </w:rPr>
              <w:t>The percentage of shares beneficially owned after this offering is computed on the basis of</w:t>
            </w:r>
          </w:p>
        </w:tc>
        <w:tc>
          <w:tcPr>
            <w:tcW w:w="4300" w:type="dxa"/>
            <w:vAlign w:val="bottom"/>
          </w:tcPr>
          <w:p>
            <w:pPr>
              <w:ind w:left="220"/>
              <w:spacing w:after="0"/>
              <w:rPr>
                <w:sz w:val="20"/>
                <w:szCs w:val="20"/>
                <w:color w:val="auto"/>
              </w:rPr>
            </w:pPr>
            <w:r>
              <w:rPr>
                <w:rFonts w:ascii="Arial" w:cs="Arial" w:eastAsia="Arial" w:hAnsi="Arial"/>
                <w:sz w:val="18"/>
                <w:szCs w:val="18"/>
                <w:color w:val="auto"/>
                <w:w w:val="88"/>
              </w:rPr>
              <w:t>shares outstanding as of December 31, 2018, after giving</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effect to the issue of</w:t>
            </w:r>
          </w:p>
        </w:tc>
        <w:tc>
          <w:tcPr>
            <w:tcW w:w="5300" w:type="dxa"/>
            <w:vAlign w:val="bottom"/>
          </w:tcPr>
          <w:p>
            <w:pPr>
              <w:jc w:val="right"/>
              <w:ind w:right="3452"/>
              <w:spacing w:after="0"/>
              <w:rPr>
                <w:sz w:val="20"/>
                <w:szCs w:val="20"/>
                <w:color w:val="auto"/>
              </w:rPr>
            </w:pPr>
            <w:r>
              <w:rPr>
                <w:rFonts w:ascii="Arial" w:cs="Arial" w:eastAsia="Arial" w:hAnsi="Arial"/>
                <w:sz w:val="18"/>
                <w:szCs w:val="18"/>
                <w:color w:val="auto"/>
                <w:w w:val="96"/>
              </w:rPr>
              <w:t>shares offered hereby.</w:t>
            </w:r>
          </w:p>
        </w:tc>
        <w:tc>
          <w:tcPr>
            <w:tcW w:w="4300" w:type="dxa"/>
            <w:vAlign w:val="bottom"/>
          </w:tcPr>
          <w:p>
            <w:pPr>
              <w:spacing w:after="0"/>
              <w:rPr>
                <w:sz w:val="19"/>
                <w:szCs w:val="19"/>
                <w:color w:val="auto"/>
              </w:rPr>
            </w:pPr>
          </w:p>
        </w:tc>
      </w:tr>
      <w:tr>
        <w:trPr>
          <w:trHeight w:val="432"/>
        </w:trPr>
        <w:tc>
          <w:tcPr>
            <w:tcW w:w="1640" w:type="dxa"/>
            <w:vAlign w:val="bottom"/>
          </w:tcPr>
          <w:p>
            <w:pPr>
              <w:spacing w:after="0"/>
              <w:rPr>
                <w:sz w:val="24"/>
                <w:szCs w:val="24"/>
                <w:color w:val="auto"/>
              </w:rPr>
            </w:pPr>
          </w:p>
        </w:tc>
        <w:tc>
          <w:tcPr>
            <w:tcW w:w="5300" w:type="dxa"/>
            <w:vAlign w:val="bottom"/>
          </w:tcPr>
          <w:p>
            <w:pPr>
              <w:jc w:val="right"/>
              <w:ind w:right="1092"/>
              <w:spacing w:after="0"/>
              <w:rPr>
                <w:sz w:val="20"/>
                <w:szCs w:val="20"/>
                <w:color w:val="auto"/>
              </w:rPr>
            </w:pPr>
            <w:r>
              <w:rPr>
                <w:rFonts w:ascii="Arial" w:cs="Arial" w:eastAsia="Arial" w:hAnsi="Arial"/>
                <w:sz w:val="18"/>
                <w:szCs w:val="18"/>
                <w:color w:val="auto"/>
              </w:rPr>
              <w:t>193</w:t>
            </w:r>
          </w:p>
        </w:tc>
        <w:tc>
          <w:tcPr>
            <w:tcW w:w="4300" w:type="dxa"/>
            <w:vAlign w:val="bottom"/>
          </w:tcPr>
          <w:p>
            <w:pPr>
              <w:spacing w:after="0"/>
              <w:rPr>
                <w:sz w:val="24"/>
                <w:szCs w:val="24"/>
                <w:color w:val="auto"/>
              </w:rPr>
            </w:pPr>
          </w:p>
        </w:tc>
      </w:tr>
      <w:tr>
        <w:trPr>
          <w:trHeight w:val="228"/>
        </w:trPr>
        <w:tc>
          <w:tcPr>
            <w:tcW w:w="164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SHARE CAPITAL AND CERTAIN CORPORATE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Set forth below is a summary of certain information concerning our share capital as well as a description of certain provisions of our articles of association and relevant provisions of the DCA. The summary includes certain references to, and descriptions of, material provisions of our articles of association to be effective in connection with the consummation of this offering and Danish law in force as of the date of this prospectus. The summary below contains only material information concerning our share capital and corporate status and does not purport to be complete and is qualified in its entirety by reference to our articles of association and applicable Danish law. Further, please note that as an American Depositary Share, or ADS, holder you will not be treated as one of our shareholders and will not have any shareholder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were incorporated on June 11, 1998 as a private limited liability company (</w:t>
      </w:r>
      <w:r>
        <w:rPr>
          <w:rFonts w:ascii="Arial" w:cs="Arial" w:eastAsia="Arial" w:hAnsi="Arial"/>
          <w:sz w:val="18"/>
          <w:szCs w:val="18"/>
          <w:i w:val="1"/>
          <w:iCs w:val="1"/>
          <w:color w:val="auto"/>
        </w:rPr>
        <w:t>Anpartsselskab</w:t>
      </w:r>
      <w:r>
        <w:rPr>
          <w:rFonts w:ascii="Arial" w:cs="Arial" w:eastAsia="Arial" w:hAnsi="Arial"/>
          <w:sz w:val="18"/>
          <w:szCs w:val="18"/>
          <w:color w:val="auto"/>
        </w:rPr>
        <w:t xml:space="preserve">, or </w:t>
      </w:r>
      <w:r>
        <w:rPr>
          <w:rFonts w:ascii="Arial" w:cs="Arial" w:eastAsia="Arial" w:hAnsi="Arial"/>
          <w:sz w:val="18"/>
          <w:szCs w:val="18"/>
          <w:i w:val="1"/>
          <w:iCs w:val="1"/>
          <w:color w:val="auto"/>
        </w:rPr>
        <w:t>ApS</w:t>
      </w:r>
      <w:r>
        <w:rPr>
          <w:rFonts w:ascii="Arial" w:cs="Arial" w:eastAsia="Arial" w:hAnsi="Arial"/>
          <w:sz w:val="18"/>
          <w:szCs w:val="18"/>
          <w:color w:val="auto"/>
        </w:rPr>
        <w:t>) under Danish law as a shelf company and are registered with the Danish Business Authority (</w:t>
      </w:r>
      <w:r>
        <w:rPr>
          <w:rFonts w:ascii="Arial" w:cs="Arial" w:eastAsia="Arial" w:hAnsi="Arial"/>
          <w:sz w:val="18"/>
          <w:szCs w:val="18"/>
          <w:i w:val="1"/>
          <w:iCs w:val="1"/>
          <w:color w:val="auto"/>
        </w:rPr>
        <w:t>Erhvervsstyrelsen</w:t>
      </w:r>
      <w:r>
        <w:rPr>
          <w:rFonts w:ascii="Arial" w:cs="Arial" w:eastAsia="Arial" w:hAnsi="Arial"/>
          <w:sz w:val="18"/>
          <w:szCs w:val="18"/>
          <w:color w:val="auto"/>
        </w:rPr>
        <w:t>) in Copenhagen, Denmark under registration number (CVR) no. 21023884. Our name was changed to Genmab ApS on November 17, 1998 and we commenced operations in February 1999. On May 31, 1999, we were converted into a public limited liability company (</w:t>
      </w:r>
      <w:r>
        <w:rPr>
          <w:rFonts w:ascii="Arial" w:cs="Arial" w:eastAsia="Arial" w:hAnsi="Arial"/>
          <w:sz w:val="18"/>
          <w:szCs w:val="18"/>
          <w:i w:val="1"/>
          <w:iCs w:val="1"/>
          <w:color w:val="auto"/>
        </w:rPr>
        <w:t>Aktieselskab</w:t>
      </w:r>
      <w:r>
        <w:rPr>
          <w:rFonts w:ascii="Arial" w:cs="Arial" w:eastAsia="Arial" w:hAnsi="Arial"/>
          <w:sz w:val="18"/>
          <w:szCs w:val="18"/>
          <w:color w:val="auto"/>
        </w:rPr>
        <w:t>, or A/S) and changed our name to Genmab A/S. Our shares have been listed for trading on Nasdaq Copenhagen since October 2000.</w:t>
      </w:r>
    </w:p>
    <w:p>
      <w:pPr>
        <w:spacing w:after="0" w:line="20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company's headquarters and registered office is located at Kalvebod Brygge 43, 1560 Copenhagen V, Denmark. Our business is conducted from Denmark as well as from The Netherlands and the United States. Our website address is www.genmab.com. The information on, or information that can be accessed through, our website is not part of and should not be incorporated by reference into this prospectus. We have included our website address as an inactive textual reference only.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Share Capital</w:t>
      </w:r>
    </w:p>
    <w:p>
      <w:pPr>
        <w:spacing w:after="0" w:line="231"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Since August 25, 2000, we have had one class of shares (prior to this date we had multiple classes of shares). As of December 31, 2018 our registered, issued and outstanding share capital was DKK 61.5 million distributed into 61,497,571 shares of nominal value DKK 1 each.</w:t>
      </w:r>
    </w:p>
    <w:p>
      <w:pPr>
        <w:spacing w:after="0" w:line="141" w:lineRule="exact"/>
        <w:rPr>
          <w:sz w:val="20"/>
          <w:szCs w:val="20"/>
          <w:color w:val="auto"/>
        </w:rPr>
      </w:pPr>
    </w:p>
    <w:p>
      <w:pPr>
        <w:ind w:right="40" w:firstLine="348"/>
        <w:spacing w:after="0" w:line="331" w:lineRule="auto"/>
        <w:rPr>
          <w:sz w:val="20"/>
          <w:szCs w:val="20"/>
          <w:color w:val="auto"/>
        </w:rPr>
      </w:pPr>
      <w:r>
        <w:rPr>
          <w:rFonts w:ascii="Arial" w:cs="Arial" w:eastAsia="Arial" w:hAnsi="Arial"/>
          <w:sz w:val="16"/>
          <w:szCs w:val="16"/>
          <w:color w:val="auto"/>
        </w:rPr>
        <w:t>The development of our share capital within the last three financial years and up to and including December 31, 2018 is set forth in the table below. All of the capital increases listed in the table below are a result of exercise of warrants by members of our board of directors, management and other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employees under our incentive programs. For a description of the terms of our outstanding warrants and RSUs under these incentive programs, see "Management—Compensation."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Capital</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Increase, No. of</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Gross Proceeds,</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Share Capital,</w:t>
            </w:r>
          </w:p>
        </w:tc>
        <w:tc>
          <w:tcPr>
            <w:tcW w:w="222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91"/>
              </w:rPr>
              <w:t>Issued Share</w:t>
            </w:r>
          </w:p>
        </w:tc>
      </w:tr>
      <w:tr>
        <w:trPr>
          <w:trHeight w:val="161"/>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DKKm</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No. of Shares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 DKK</w:t>
            </w:r>
          </w:p>
        </w:tc>
        <w:tc>
          <w:tcPr>
            <w:tcW w:w="126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 at December 31, 2015</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59,531,263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59,531,263</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Capital increase, February 2016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26.75 and DKK 364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146,321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59,677,584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59,677,584</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8"/>
              </w:rPr>
              <w:t>Capital increase, May 2016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DKK 26.75 and DKK 466,20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156,348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59,833,932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59,833,932</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Capital increase, August 2016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31.75 and 623.50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347,825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60,181,757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60,181,757</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Capital increase, September 2016 at various prices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w w:val="99"/>
              </w:rPr>
              <w:t>between DKK 31.75 and DKK 364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66,840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60,248,597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60,248,597</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increase, November 2016 at various prices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between DKK 40.41 and DKK 636.50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101,459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60,350,056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60,350,056</w:t>
            </w:r>
          </w:p>
        </w:tc>
        <w:tc>
          <w:tcPr>
            <w:tcW w:w="11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Capital increase, February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31.75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385,087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60,735,143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60,735,143</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7"/>
              </w:rPr>
              <w:t>Capital increase, April 2017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DKK 66.60 and DKK 939.50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176,843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60,911,986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60,911,986</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Capital increase, May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80.55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43,252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60,955,238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60,955,238</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7"/>
              </w:rPr>
              <w:t>Capital increase, June 2017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DKK 55.85 and DKK 1,233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163,164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61,118,402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61,118,402</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Capital increase, August 2017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66.60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21,070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61,139,472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61,139,472</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Capital increase, September 2017 at various prices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w w:val="93"/>
              </w:rPr>
              <w:t>between DKK 31.75 and DKK 939.50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23,670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61,163,142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61,163,142</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increase, November 2017 at various prices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between DKK 40.41 and DKK 636.50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22,532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61,185,674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61,185,674</w:t>
            </w:r>
          </w:p>
        </w:tc>
        <w:tc>
          <w:tcPr>
            <w:tcW w:w="11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Capital increase, February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40.41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65,419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61,251,093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61,251,093</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7"/>
              </w:rPr>
              <w:t>Capital increase, April 2018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DKK 80.55 and DKK 1,145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30,149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61,281,242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61,281,242</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Capital increase, May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46.74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155,576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61,436,818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61,436,818</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8"/>
              </w:rPr>
              <w:t>Capital increase, July 2018 at various prices between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DKK 66.60 and DKK 1,233 per share (cash)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24,025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61,460,843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61,460,843</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Capital increase, August 2018 at various prices between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DKK 66.60 and DKK 939.50 per share (cash)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61,471,569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61,471,569</w:t>
            </w:r>
          </w:p>
        </w:tc>
        <w:tc>
          <w:tcPr>
            <w:tcW w:w="110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Capital increase, September 2018 at various prices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between DKK 174.00 and DKK 466.20 per share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(cash)</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18,414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61,489,983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61,489,983</w:t>
            </w:r>
          </w:p>
        </w:tc>
        <w:tc>
          <w:tcPr>
            <w:tcW w:w="11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increase, November 2018 at various prices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DKK 174.00 and DKK 636.50 per share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61,497,571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61,497,571</w:t>
            </w:r>
          </w:p>
        </w:tc>
        <w:tc>
          <w:tcPr>
            <w:tcW w:w="1100" w:type="dxa"/>
            <w:vAlign w:val="bottom"/>
          </w:tcPr>
          <w:p>
            <w:pPr>
              <w:spacing w:after="0"/>
              <w:rPr>
                <w:sz w:val="19"/>
                <w:szCs w:val="19"/>
                <w:color w:val="auto"/>
              </w:rPr>
            </w:pPr>
          </w:p>
        </w:tc>
      </w:tr>
      <w:tr>
        <w:trPr>
          <w:trHeight w:val="430"/>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80" w:type="dxa"/>
            <w:vAlign w:val="bottom"/>
          </w:tcPr>
          <w:p>
            <w:pPr>
              <w:jc w:val="right"/>
              <w:ind w:right="595"/>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Authorizations to Our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is authorized to increase our share capital as follows:</w:t>
      </w:r>
    </w:p>
    <w:p>
      <w:pPr>
        <w:spacing w:after="0" w:line="239" w:lineRule="exact"/>
        <w:rPr>
          <w:sz w:val="20"/>
          <w:szCs w:val="20"/>
          <w:color w:val="auto"/>
        </w:rPr>
      </w:pPr>
    </w:p>
    <w:p>
      <w:pPr>
        <w:ind w:left="1080" w:right="20" w:hanging="532"/>
        <w:spacing w:after="0" w:line="285"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Until April 10, 2023, our board of directors is authorized to increase our share capital on one or more occasions without pre-emption rights for the existing shareholders by up to nominally DKK 7,500,000 by subscription of new shares that shall have the same rights as the existing shares. The capital increase can be made by cash or by non-cash payment. Within the authorization to increase the share capital by nominally DKK 7,500,000 shares, our board of directors may on one or more occasions and without pre-emption rights for the existing shareholders issue up to nominally DKK 2,000,000 shares to the Company's employees as well as employees of the Company's directly and indirectly owned subsidiaries by cash payment at market price or at a discount price as well as by the issue of bonus shares. No transferability restrictions or redemption obligations shall apply to the new shares. The shares shall be negotiable instruments, issued in the name of the holder and registered in the name of the holder in the register of shareholders. The new shares shall give right to dividends and other rights as determined by the board of directors in its resolution to increase the capital. Further, during the same period, our board of directors is authorized to increase our share capital on one or more occasions with pre-emption rights for the existing shareholders by up to nominally DKK 7,500,000 by subscription of new shares that shall have the same rights as the existing shares. The capital increase can be made by cash or by non-cash payment. No transferability restrictions or redemption obligations shall apply to the new shares. The shares shall be negotiable instruments, issued in the name of the holder and registered in the name of the holder in the register of shareholders. The new shares shall give right to dividends and other rights as determined by the board of directors in its resolution to increase the capital. Any capital increases pursuant to such authorizations cannot exceed an aggregate nominal amount of DKK 7,500,000.</w:t>
      </w:r>
    </w:p>
    <w:p>
      <w:pPr>
        <w:spacing w:after="0" w:line="205" w:lineRule="exact"/>
        <w:rPr>
          <w:rFonts w:ascii="Arial" w:cs="Arial" w:eastAsia="Arial" w:hAnsi="Arial"/>
          <w:sz w:val="16"/>
          <w:szCs w:val="16"/>
          <w:color w:val="auto"/>
        </w:rPr>
      </w:pPr>
    </w:p>
    <w:p>
      <w:pPr>
        <w:ind w:left="1080" w:right="80" w:hanging="532"/>
        <w:spacing w:after="0" w:line="303" w:lineRule="auto"/>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Until March 28, 2022, our board of directors is authorized to issue on one or more occasions warrants to subscribe shares up to a nominal value of DKK 500,000 and to make the related capital increases in cash up to a nominal value of DKK 500,000. The authorization entitles our board of directors to issue warrants to the Company's employees as well as employees of the Company's directly and indirectly owned subsidiaries.</w:t>
      </w:r>
    </w:p>
    <w:p>
      <w:pPr>
        <w:spacing w:after="0" w:line="1" w:lineRule="exact"/>
        <w:rPr>
          <w:rFonts w:ascii="Arial" w:cs="Arial" w:eastAsia="Arial" w:hAnsi="Arial"/>
          <w:sz w:val="15"/>
          <w:szCs w:val="15"/>
          <w:color w:val="auto"/>
        </w:rPr>
      </w:pPr>
    </w:p>
    <w:p>
      <w:pPr>
        <w:ind w:left="1080" w:right="80"/>
        <w:spacing w:after="0" w:line="286" w:lineRule="auto"/>
        <w:rPr>
          <w:rFonts w:ascii="Arial" w:cs="Arial" w:eastAsia="Arial" w:hAnsi="Arial"/>
          <w:sz w:val="15"/>
          <w:szCs w:val="15"/>
          <w:color w:val="auto"/>
        </w:rPr>
      </w:pPr>
      <w:r>
        <w:rPr>
          <w:rFonts w:ascii="Arial" w:cs="Arial" w:eastAsia="Arial" w:hAnsi="Arial"/>
          <w:sz w:val="16"/>
          <w:szCs w:val="16"/>
          <w:color w:val="auto"/>
        </w:rPr>
        <w:t>Pursuant to relevant provisions of the DCA in force from time to time, our board of directors may reapply or reissue any lapsed non-exercised warrants, provided that such reapplication or reissue is made under terms and conditions and with the time limits specified under the authority. One warrant shall give the right to subscribe for one share with a nominal value of DKK 1 at a subscription price per share determined by our board of directors which, however, shall be no less than the market price per share of the Company's shares at the time of issue. The existing shareholders shall not have a right of pre-emption when our board of directors exercises this authorization and the exercise period and the more detailed terms of the warrants shall be determined by our board of directors. The shares that are issued through the exercise of warrants shall have the same rights as existing shares. Our board of directors has issued 333,217 warrants and re-issued 2,933 warrants under this authorization as of December 31, 2018. In addition to this authorization, our board of directors has issued and re-issued warrants under authorizations no longer in force which give a right for the warrantholders to subscribe for shares as described in section "Management— Compensation—Warrant Program."</w:t>
      </w:r>
    </w:p>
    <w:p>
      <w:pPr>
        <w:spacing w:after="0" w:line="190" w:lineRule="exact"/>
        <w:rPr>
          <w:rFonts w:ascii="Arial" w:cs="Arial" w:eastAsia="Arial" w:hAnsi="Arial"/>
          <w:sz w:val="15"/>
          <w:szCs w:val="15"/>
          <w:color w:val="auto"/>
        </w:rPr>
      </w:pPr>
    </w:p>
    <w:p>
      <w:pPr>
        <w:ind w:left="1080" w:hanging="532"/>
        <w:spacing w:after="0" w:line="256"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Until March 17, 2021, our board of directors is authorized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dollars (USD) or Euro (EUR)) computed at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4" w:lineRule="auto"/>
        <w:rPr>
          <w:sz w:val="20"/>
          <w:szCs w:val="20"/>
          <w:color w:val="auto"/>
        </w:rPr>
      </w:pPr>
      <w:r>
        <w:rPr>
          <w:rFonts w:ascii="Arial" w:cs="Arial" w:eastAsia="Arial" w:hAnsi="Arial"/>
          <w:sz w:val="16"/>
          <w:szCs w:val="16"/>
          <w:color w:val="auto"/>
        </w:rPr>
        <w:t>rates of exchange ruling at the day of loan. Our board of directors is also authorized to effect the consequential increase of the capital. Convertible loans may be raised against payment in cash or in other ways. The subscription of shares shall be without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our board of directors in accordance with the DCA. If our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 Further, during the same period, our board of directors is authorized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dollars (USD) or Euro (EUR)) computed at the rates of exchange ruling at the day of loan. The board of directors is also authorized to effect the consequential increase of the capital. Convertible loans may be raised against payment in cash or in other ways. The subscription of shares shall be with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our board of directors in accordance with the DCA. If our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w:t>
      </w:r>
    </w:p>
    <w:p>
      <w:pPr>
        <w:spacing w:after="0" w:line="18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Further, our board of directors is until March 17, 2021 authorized to repurchase up to 500,000 shares. The purchase price for the shares may not deviate by more than 10% from the price quoted on Nasdaq Copenhagen at the time of the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w:t>
      </w:r>
    </w:p>
    <w:p>
      <w:pPr>
        <w:spacing w:after="0" w:line="231" w:lineRule="exact"/>
        <w:rPr>
          <w:sz w:val="20"/>
          <w:szCs w:val="20"/>
          <w:color w:val="auto"/>
        </w:rPr>
      </w:pPr>
    </w:p>
    <w:p>
      <w:pPr>
        <w:ind w:right="100" w:firstLine="341"/>
        <w:spacing w:after="0" w:line="303" w:lineRule="auto"/>
        <w:rPr>
          <w:sz w:val="20"/>
          <w:szCs w:val="20"/>
          <w:color w:val="auto"/>
        </w:rPr>
      </w:pPr>
      <w:r>
        <w:rPr>
          <w:rFonts w:ascii="Arial" w:cs="Arial" w:eastAsia="Arial" w:hAnsi="Arial"/>
          <w:sz w:val="15"/>
          <w:szCs w:val="15"/>
          <w:color w:val="auto"/>
        </w:rPr>
        <w:t>As of December 31, 2018, our registered, issued and outstanding share capital was DKK 61.5 million and excludes up to 1,423,210 shares that may be issued upon the exercise of warrants outstanding as of December 31, 2018. Exercise of our RSUs will not affect our share capital as we will deliver any shares under this program through the delivery of already issued shares. For a description of the terms of our outstanding warrants and RSUs, see "Management—</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Compensation." In connection with this offering, we intend to issue up to ADSs representing shares, excluding the underwriters' option to purchase up to additional ADSs. Each ADS will represent of one share. We intend to apply to have the ADSs listed on the Nasdaq Global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Select Market under the symbol "GMAB." The underlying shares will continue to be listed on Nasdaq Copenhagen under the symbol "GEN."</w:t>
      </w:r>
    </w:p>
    <w:p>
      <w:pPr>
        <w:spacing w:after="0" w:line="21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Initial settlement of the ADSs issued in this offering will take place on the consummation date of this offering through The Depository Trust Company, or DTC, in accordance with its customary settlement procedures for equity securities. Each person owning ADSs held through DTC must rely on the procedures thereof and on institutions that have accounts therewith to exercise any rights of a holder of the ADSs.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our shareholders at a general meeting resolve to increase our share capital by a cash contribution, section 162 of the DCA will apply. Under that section, shareholders have a pre-emptive right to subscribe for new shares in proportion to their existing shareholdings. However, the pre-emptive right may be derogated from by a majority comprising at least two-thirds of the votes cast, as well as at least two-thirds of the share capital represented at the general meeting, provided the share capital increase takes place at market price or nine-tenths of the votes cast, as well as at least nine-tenths of the share capital represented at the general meeting if the share capital increase takes place below market price, unless (i) such capital increase is directed at certain but not all shareholders (in which case all shareholders must consent); or (ii) such capital increase is directed at our employees whereby a majority comprising at least two-thirds of the votes cast, as well as at least two-thirds of the share capital represented at the general meeting is required. Further, the pre-emptive rights may be derogated from by an exercise of the board of directors of a valid authorization in our articles of association, provided that the share capital increase takes place at market price. See "Description of American Depositary Shares—Dividends and Other Distributions—Rights to Purchase Additional Shares" for more information about the applicability of this provision to ADS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Register</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are obliged to maintain a shareholders' register (</w:t>
      </w:r>
      <w:r>
        <w:rPr>
          <w:rFonts w:ascii="Arial" w:cs="Arial" w:eastAsia="Arial" w:hAnsi="Arial"/>
          <w:sz w:val="18"/>
          <w:szCs w:val="18"/>
          <w:i w:val="1"/>
          <w:iCs w:val="1"/>
          <w:color w:val="auto"/>
        </w:rPr>
        <w:t>Ejerbog</w:t>
      </w:r>
      <w:r>
        <w:rPr>
          <w:rFonts w:ascii="Arial" w:cs="Arial" w:eastAsia="Arial" w:hAnsi="Arial"/>
          <w:sz w:val="18"/>
          <w:szCs w:val="18"/>
          <w:color w:val="auto"/>
        </w:rPr>
        <w:t>). The shareholders' register is maintained by VP Services A/S, Weidekampsgade 14, DK-2300 Copenhagen S, Denmark, our Danish share registrar and transfer agent. It is mandatory that the shareholders' register is maintained within the European Union and that it is available to public authorities.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Pursuant to the DCA, public and private limited liability companies are required to register with the Danish Business Authority information regarding shareholders who own at least 5% of the share capital or the voting rights. Pursuant to this provision, we file registrations with the Danish Public Shareholders' Register of the Danish Business Authority. Shareholders that exceed or fall below the ownership threshold must notify us, and we will subsequently file the information with the Danish Business Authority. Reporting is further required upon passing or falling below thresholds of 10%, 15%, 20%, 25%, 50%, 90%, and 100% as well as one-third and two-thirds of the votes or the share capital. This also applies to beneficial holders of our shares, such as holders of the ADSs.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company has been established with the objectives of engaging in medical research, production and sale of such products and related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Provisions Concerning Members of the Board of Directors and the Executive Management</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are managed by a board of directors of between three and nine members elected for a term of one year by our shareholders at the (annual) general meeting. Retiring directors are eligible for re-election.</w:t>
      </w:r>
    </w:p>
    <w:p>
      <w:pPr>
        <w:spacing w:after="0" w:line="186"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In addition, pursuant to our articles of association the employees of the Company and its directly and indirectly owned subsidiaries and branch offices, regardless of whether their place of residence is within or outside the EU/EEA, have the right to elect a number of members to our board of directors equal to half of the members of our board of directors elected by the general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and its directly and indirectly owned subsidiaries residing in Denmark together during the last three (3) years before an ordinary election have employed at least 35 employees on average. If this condition of minimum number of employees is not met prior to an ordinary election by the employees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members of the board of directors and alternate members, the right for the employees to elect members to our board of directors and alternate members according to the articles of association shall cease for the period thereafter. An ordinary election by the employees of members of the board of directors and alternate members occurs every third year and re-election can occur, and the election is held in accordance with an election regulation approved by our board of directors. This right for the employees to elect members to our board of directors and alternate members differs from the provisions set out in the DCA. Pursuant to section 141 of the DCA, the employees of the Company and its directly and indirectly owned subsidiaries registered in Denmark and such subsidiaries' branch offices registered within the EU/EEA have a right to appoint members to our board of directors and alternate members if during the last three (3) years before an ordinary election the Company has employed at least 35 employees on average. If instead our employees decide to use their right to elect company representatives and/or group representatives to the board of directors pursuant to the DCA, the right for the group employees to elect employee representatives in accordance with our articles of association shall no longer apply.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shareholders at the general meeting approve the remuneration of the board of directors.</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board of directors elects its own chairman and grants individual or joint powers of procuration. The board of directors prepares its own rules of procedure governing the performance of its duties.</w:t>
      </w:r>
    </w:p>
    <w:p>
      <w:pPr>
        <w:spacing w:after="0" w:line="186"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are bound by the joint signatures of a member of the board of directors and a registered manager; by two members of the board of directors; or all members of the board of directors jointly.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Restrictions in Relation to Existing Shares</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share carries any special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share with a nominal value of DKK 1 carries one vote at general meetings.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shares are negotiable instruments, and no restrictions apply to the transferability of the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shareholder shall be obliged to let his shares be redeemed in full or in part by us or by any other party, except as provided in the DCA.</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shares shall be registered in the names of the holders and shall be entered in our shareholders' register.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There are no restrictions on the rights of non-resident or foreign shareholders to hold or exercise voting rights with respect to our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Shareholder Resolutions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All resolutions put to the vote of shareholders at general meetings are subject to adoption by a simple majority of votes, unless the DCA or our articles of association prescribes other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Convening Annual and Extraordinary General Meetings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General meetings shall be held in the municipality of Copenhagen or in the greater Copenhagen area (</w:t>
      </w:r>
      <w:r>
        <w:rPr>
          <w:rFonts w:ascii="Arial" w:cs="Arial" w:eastAsia="Arial" w:hAnsi="Arial"/>
          <w:sz w:val="16"/>
          <w:szCs w:val="16"/>
          <w:i w:val="1"/>
          <w:iCs w:val="1"/>
          <w:color w:val="auto"/>
        </w:rPr>
        <w:t>Storkøbenhavn</w:t>
      </w:r>
      <w:r>
        <w:rPr>
          <w:rFonts w:ascii="Arial" w:cs="Arial" w:eastAsia="Arial" w:hAnsi="Arial"/>
          <w:sz w:val="16"/>
          <w:szCs w:val="16"/>
          <w:color w:val="auto"/>
        </w:rPr>
        <w:t>). General meetings shall be convened by the board of directors giving not less than three weeks' and not more than five weeks' notice. General meetings shall be announced by notification to Nasdaq Copenhagen and through publication on our website. Furthermore, all shareholders registered in our shareholders' register who have so requested shall be notified by letter or email. The notice shall set out the time and place for the general meeting and the issues to be considered at the general meeting. If the general meeting is to consider a proposal to amend our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31" w:lineRule="auto"/>
        <w:rPr>
          <w:sz w:val="20"/>
          <w:szCs w:val="20"/>
          <w:color w:val="auto"/>
        </w:rPr>
      </w:pPr>
      <w:r>
        <w:rPr>
          <w:rFonts w:ascii="Arial" w:cs="Arial" w:eastAsia="Arial" w:hAnsi="Arial"/>
          <w:sz w:val="16"/>
          <w:szCs w:val="16"/>
          <w:color w:val="auto"/>
        </w:rPr>
        <w:t>articles of association, then the notice shall specify the material content of the proposal. The notice calling the general meeting as well as other documents prepared for and in connection with the general meeting shall be prepared in English and, if decided by our board of directors, also in Danish.</w:t>
      </w:r>
    </w:p>
    <w:p>
      <w:pPr>
        <w:spacing w:after="0" w:line="141"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shareholder's right to attend general meetings and to vote is determined on the basis of the shares that the shareholder owns on the registration date which date is one week before the general meeting is held.</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Any shareholder shall be entitled to attend general meetings, provided he or she has requested an admission card from our offices not later than three days prior to the relevant meeting. The admission card will be issued to the shareholders registered in our shareholders' register. The shareholder may attend in person or be represented by proxy, and a shareholder shall be entitled to attend together with an advisor. A shareholder may vote by proxy or by mail, and a form for this use shall be made available on our website no later than three weeks prior to the general meeting. A vote by mail must be received by us not later than three days prior to the general meeting in order to be counted at the general meeting. As an ADS holder, you do not have a right to attend our general meetings unless you withdraw your shares in a timely manner prior to a general meeting and in accordance with the procedures set out in the deposit agreement. For a description of your rights as an ADS holder, see "Description of American Depositary Shares."</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Extraordinary general meetings shall be held as directed by the shareholders at the general meeting, the board of directors or an auditor, or upon a written request to the board of directors by shareholders holding not less than 5% of the share capital for consideration of a specific issue. The general meeting shall be convened (after providing three to five weeks notice) within 14 days after the proper request has been received by our board of directors. See "Risk Factors— Risks Related to this Offering—You may not be able to exercise your right to vote the shares underlying your ADSs."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as to certain Share Capital Thresholds to be Notified to Us and the Danish Authorities</w:t>
      </w:r>
    </w:p>
    <w:p>
      <w:pPr>
        <w:spacing w:after="0" w:line="225"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Pursuant to section 38 of the Danish Capital Markets Act (</w:t>
      </w:r>
      <w:r>
        <w:rPr>
          <w:rFonts w:ascii="Arial" w:cs="Arial" w:eastAsia="Arial" w:hAnsi="Arial"/>
          <w:sz w:val="16"/>
          <w:szCs w:val="16"/>
          <w:i w:val="1"/>
          <w:iCs w:val="1"/>
          <w:color w:val="auto"/>
        </w:rPr>
        <w:t>Kapitalmarkedssloven</w:t>
      </w:r>
      <w:r>
        <w:rPr>
          <w:rFonts w:ascii="Arial" w:cs="Arial" w:eastAsia="Arial" w:hAnsi="Arial"/>
          <w:sz w:val="16"/>
          <w:szCs w:val="16"/>
          <w:color w:val="auto"/>
        </w:rPr>
        <w:t>), shareholders in a company incorporated in Denmark with its shares admitted to trading and official listing in Denmark or another country within the EU/EEA are required to immediately (meaning within the same trading day as the transaction) and simultaneously notify the company and the Danish Financial Supervisory Authority, or FSA, when the shareholder's stake (i) represents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5% or more of the voting rights in the company or the nominal value of its share capital, and (ii) when a change in a holding already notified implies that the limits of 5%, 10%, 15%, 20%, 25%, 50% or 90% and the limits of one-third and two-thirds of the voting rights or the nominal value are reached. This duty to notify also applies to anyone, who directly or indirectly holds (a) financial instruments that afford the holder a right to purchase existing shares, </w:t>
      </w:r>
      <w:r>
        <w:rPr>
          <w:rFonts w:ascii="Arial" w:cs="Arial" w:eastAsia="Arial" w:hAnsi="Arial"/>
          <w:sz w:val="16"/>
          <w:szCs w:val="16"/>
          <w:i w:val="1"/>
          <w:iCs w:val="1"/>
          <w:color w:val="auto"/>
        </w:rPr>
        <w:t>e.g.</w:t>
      </w:r>
      <w:r>
        <w:rPr>
          <w:rFonts w:ascii="Arial" w:cs="Arial" w:eastAsia="Arial" w:hAnsi="Arial"/>
          <w:sz w:val="16"/>
          <w:szCs w:val="16"/>
          <w:color w:val="auto"/>
        </w:rPr>
        <w:t xml:space="preserve">, share options; and/or (b) financial instruments based on existing shares and with an economic effect equal to that of the financial instruments mentioned under (a), regardless of them not affording the right to purchase existing shares, </w:t>
      </w:r>
      <w:r>
        <w:rPr>
          <w:rFonts w:ascii="Arial" w:cs="Arial" w:eastAsia="Arial" w:hAnsi="Arial"/>
          <w:sz w:val="16"/>
          <w:szCs w:val="16"/>
          <w:i w:val="1"/>
          <w:iCs w:val="1"/>
          <w:color w:val="auto"/>
        </w:rPr>
        <w:t>e.g</w:t>
      </w:r>
      <w:r>
        <w:rPr>
          <w:rFonts w:ascii="Arial" w:cs="Arial" w:eastAsia="Arial" w:hAnsi="Arial"/>
          <w:sz w:val="16"/>
          <w:szCs w:val="16"/>
          <w:color w:val="auto"/>
        </w:rPr>
        <w:t>., the ADSs or, under the circumstances, cash-settled derivatives linked to the value of our shares or ADSs, cf. section 39 of the Danish Capital Markets Act. Holding these kinds of financial instruments counts towards the thresholds mentioned above and may thus trigger a duty to notify by themselves or when accumulated with a holding of shares or ADSs. The notifications must comply with the requirements for the contents thereof set out in sections 14, 15 and 16 of the Danish executive order on major shareholders (</w:t>
      </w:r>
      <w:r>
        <w:rPr>
          <w:rFonts w:ascii="Arial" w:cs="Arial" w:eastAsia="Arial" w:hAnsi="Arial"/>
          <w:sz w:val="16"/>
          <w:szCs w:val="16"/>
          <w:i w:val="1"/>
          <w:iCs w:val="1"/>
          <w:color w:val="auto"/>
        </w:rPr>
        <w:t>Storaktionærbekendtgørelsen</w:t>
      </w:r>
      <w:r>
        <w:rPr>
          <w:rFonts w:ascii="Arial" w:cs="Arial" w:eastAsia="Arial" w:hAnsi="Arial"/>
          <w:sz w:val="16"/>
          <w:szCs w:val="16"/>
          <w:color w:val="auto"/>
        </w:rPr>
        <w:t>), including the identity of the shareholder and the date when a limit is reached or no longer reached. Failure to comply with the duties of disclosure is punishable by fine or suspension of voting rights in instances of gross or repeated non-compliance. The FSA will in certain cases publish information concerning sanctions imposed, including, as a general rule, the name of the shareholder in question, as a consequence of non-compliance with the above rules. When we receive a notification pursuant to section 38 or 39 of the Danish Capital Markets Act, we must publish its contents as soon as possible. Furthermore, the general duty of notification pursuant to the DCA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applies, which implies that shareholders must notify the company when the limit of 100% of the voting rights or nominal value of the shares is reached or no longer reached. This also applies to holders of the ADSs.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EU has adopted an amendment to the shareholder rights directive, or Directive 2017/828, which will be implemented in Denmark no later than June 10, 2019. The main purpose of the rules is to strengthen shareholder participation in listed companies. Pursuant to these rules, we may request from central security depositaries, or CSDs, depositaries and other intermediaries information about the identity of our shareholders and the number of shares, share class and date of acquisition of the shares held by our shareholders. The intermediaries will be required to transmit such requests on shareholder identification between them in order to provide us with the requested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Regulation No 596/2014 on Market Abuse</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EU Regulation No 596/2014 on market abuse, or the Market Abuse Regulation, applies to us and dealings concerning our shares and will likewise apply to the ADSs. We have adopted internal rules on the possession and handling of inside information and with respect to our board of directors', registered managers' and employees' dealings in our shares or in financial instruments, such financial instruments also including ADSs to be listed on the Nasdaq Global Select Market. Furthermore, we have drawn up lists of those persons working for us who could have access to inside information on a regular or incidental basis and have informed such persons of the rules on insider trading and market manipulation, including the sanctions, which can be imposed in the event of a violation of those rules.</w:t>
      </w:r>
    </w:p>
    <w:p>
      <w:pPr>
        <w:spacing w:after="0" w:line="198" w:lineRule="exact"/>
        <w:rPr>
          <w:sz w:val="20"/>
          <w:szCs w:val="20"/>
          <w:color w:val="auto"/>
        </w:rPr>
      </w:pPr>
    </w:p>
    <w:p>
      <w:pPr>
        <w:ind w:right="180"/>
        <w:spacing w:after="0" w:line="369" w:lineRule="auto"/>
        <w:rPr>
          <w:sz w:val="20"/>
          <w:szCs w:val="20"/>
          <w:color w:val="auto"/>
        </w:rPr>
      </w:pPr>
      <w:r>
        <w:rPr>
          <w:rFonts w:ascii="Arial" w:cs="Arial" w:eastAsia="Arial" w:hAnsi="Arial"/>
          <w:sz w:val="15"/>
          <w:szCs w:val="15"/>
          <w:b w:val="1"/>
          <w:bCs w:val="1"/>
          <w:i w:val="1"/>
          <w:iCs w:val="1"/>
          <w:color w:val="auto"/>
        </w:rPr>
        <w:t>The EU Short Selling Regulation (EU Regulation 236/2012) Includes Certain Notification Requirements in connection with Short Selling of Shares Admitted to Trading on a Trading Venue (including Nasdaq Copenhagen) and Securities or Derivatives that Relate to Such Shares (including the ADSs).</w:t>
      </w:r>
    </w:p>
    <w:p>
      <w:pPr>
        <w:spacing w:after="0" w:line="118"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When a natural or legal person reaches or falls below a net, short position of 0.2% of the issued share capital of a company that has shares admitted to trading on a trading venue, such person shall make a private notification (</w:t>
      </w:r>
      <w:r>
        <w:rPr>
          <w:rFonts w:ascii="Arial" w:cs="Arial" w:eastAsia="Arial" w:hAnsi="Arial"/>
          <w:sz w:val="16"/>
          <w:szCs w:val="16"/>
          <w:i w:val="1"/>
          <w:iCs w:val="1"/>
          <w:color w:val="auto"/>
        </w:rPr>
        <w:t>i.e.</w:t>
      </w:r>
      <w:r>
        <w:rPr>
          <w:rFonts w:ascii="Arial" w:cs="Arial" w:eastAsia="Arial" w:hAnsi="Arial"/>
          <w:sz w:val="16"/>
          <w:szCs w:val="16"/>
          <w:color w:val="auto"/>
        </w:rPr>
        <w:t>, such notification will not be made public) to the relevant competent authority, which in Denmark is the FSA. The obligation to notify the FSA, moreover, applies in each case where the short position reaches or no longer reaches 0.1% above the 0.2% threshold. In addition, when a natural or legal person reaches or falls below a net short position of 0.5% of the issued share capital of a company that has shares admitted to trading on a trading venue and each 0.1% above that, such person shall make a public notification of its net short position via the FSA. The notification requirements apply to both physical and synthetic short positions. In addition uncovered short selling (naked short selling) of shares admitted to trading on a trading venue is prohibited.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Under Danish law, members of the board of directors or registered managers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comparison between Danish corporate law, which applies to us, and Delaware corporate law, the law under which many publicly listed companies in the United States are incorporated, discusses additional matters not otherwise described in this prospectus. This summary is subject to Danish law, including the DCA, and Delaware corporate law, including the Delaware General Corporation Law. Further, please note that as an ADS holder you will not be treated as one of our shareholders and will not have any shareholder rights.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Board Members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Public limited liability companies in Denmark are usually subject to a two-tier governance structure with the board of directors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responsibility for the overall supervision and strategic management of the company in question and with registered managers being responsible for the day-to-day operations. Each board member and registered manager is under a fiduciary duty to act in the interest of the company, but shall also take into account the interests of the creditors and the shareholders. Under Danish law, the members of the board of directors and registered managers of a limited liability company are liable for losses caused by negligence when shareholders, creditors or the company itself suffer such losses. They may also be liable for wrongful information given in the annual financial statements or any other public announcements from the company. An investor suing for damages is required to prove its claim with regard to negligence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73"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Members of Our Board of Directors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the members of the board of directors of a limited liability company are generally appointed for a one-year term,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elected board members are elected for a four-year tenure. In accordance with our articles of association, however, employee elected board members are elected for a term of three years. There is no limit on the number of consecutive terms the board members may serve. Pursuant to our articles of association, our board members are appointed by the general meeting of shareholders for a term of one year and are eligible for re-election. Election of board members is, according to our articles of association, an item that shall be included on the agenda for the annual general meeting. At the general meeting, shareholders are entitled at all times to dismiss a board member by a simple majority vote.</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provides for a one-year term for directors, but permits directorships to be divided into up</w:t>
      </w:r>
      <w:r>
        <w:rPr>
          <w:rFonts w:ascii="Arial" w:cs="Arial" w:eastAsia="Arial" w:hAnsi="Arial"/>
          <w:sz w:val="18"/>
          <w:szCs w:val="18"/>
          <w:i w:val="1"/>
          <w:iCs w:val="1"/>
          <w:color w:val="auto"/>
        </w:rPr>
        <w:t xml:space="preserve"> </w:t>
      </w:r>
      <w:r>
        <w:rPr>
          <w:rFonts w:ascii="Arial" w:cs="Arial" w:eastAsia="Arial" w:hAnsi="Arial"/>
          <w:sz w:val="18"/>
          <w:szCs w:val="18"/>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Member Vacancies</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new board members are elected by the shareholders at a general meeting in the event of vacancies. Thus, a general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will have to be convened in order to fill a vacancy on the board of directors. However, the board of directors may choose to wait to fill vacancies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until the next annual general meeting of the company, provided that the number of the remaining board members is still sufficient to constitute a quorum in accordance with Section 124 of the DCA. A statutory requirement to convene a general meeting to fill vacancies only arises if the number of remaining members on the board is less than three.</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material facts are disclosed as to the director's relationship or interest and a majority of shares entitled to vote thereon consent; or</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In the event that a board member in a Danish limited liability company is unable to participate in a board meeting, the elected alternate,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given access to participate in the board meeting. The members of our board of directors appointed by the general meeting have not elected alternates; however, the three board members elected by our employees have elected alternates. In a Danish limited liability company, unless the board of directors has decided otherwise, or as otherwise is set forth in the articles of association, the board member in question may grant a power of attorney to another board member, provided that this does not create risk to the company considering the agenda in question.</w:t>
      </w:r>
    </w:p>
    <w:p>
      <w:pPr>
        <w:spacing w:after="0" w:line="169"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i w:val="1"/>
          <w:iCs w:val="1"/>
          <w:color w:val="auto"/>
        </w:rPr>
        <w:t>Delaware.</w:t>
      </w:r>
      <w:r>
        <w:rPr>
          <w:sz w:val="20"/>
          <w:szCs w:val="20"/>
          <w:color w:val="auto"/>
        </w:rPr>
        <w:tab/>
      </w:r>
      <w:r>
        <w:rPr>
          <w:rFonts w:ascii="Arial" w:cs="Arial" w:eastAsia="Arial" w:hAnsi="Arial"/>
          <w:sz w:val="15"/>
          <w:szCs w:val="15"/>
          <w:color w:val="auto"/>
        </w:rPr>
        <w:t>A director of a Delaware corporation may not issue a proxy representing the director's voting rights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Meeting</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and as implemented in our articles of association, general meetings in listed limited liability companies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convened by the board of directors with a minimum of three weeks' notice and a maximum of five weeks' notice. A convening notice shall also be forwarded to shareholders recorded in our shareholders' register who have requested such notification. There are specific requirements as to the information and documentation required to be disclosed in connection with the convening notice.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10 nor more than 60 days before the date of the meeting and shall specify the place, date, hour and purpose or purposes of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Each share confers the right to cast one vote at the general meeting of shareholders, unless the articles of association provide otherwise.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of shares may cast as many votes as it holds shares. Voting instructions may be given only in respect of a number of ADSs representing an integral number of shares or other deposited securities. Shares that are held by us or our direct or indirect subsidiaries do not confer the right to vote.</w:t>
      </w:r>
    </w:p>
    <w:p>
      <w:pPr>
        <w:spacing w:after="0" w:line="16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ADS holders may only exercise voting rights with respect to the shares underlying their respective ADSs in accordance with the provisions of the deposit agreement, which provides that ADS holders may vote the shares underlying their ADSs either by withdrawing the shares or by instructing the depositary to vote the deposited shares or other deposited securities underlying such ADSs. The depositary will try, as far as practical, to vote the shares underlying the ADSs as instructed by the ADS holders.</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one-third of the shares entitled to vote at a meeting.</w:t>
      </w:r>
    </w:p>
    <w:p>
      <w:pPr>
        <w:spacing w:after="0" w:line="20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extraordinary general meetings of shareholders will be held whenever our board of directors or our appointed auditor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In addition, one or more shareholders each representing at least 5% of the registered share capital of the company may, in writing, require that a general meeting be convened. If such a demand is made, the board of directors shall convene the general meeting within two weeks thereafter (after providing three to five weeks notice).</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submitted at least six weeks prior to the meeting. In the event that the request is made at a later date, the board of directors will determine whether the proposals were made in due time to be included on the agenda.</w:t>
      </w:r>
    </w:p>
    <w:p>
      <w:pPr>
        <w:spacing w:after="0" w:line="194" w:lineRule="exact"/>
        <w:rPr>
          <w:sz w:val="20"/>
          <w:szCs w:val="20"/>
          <w:color w:val="auto"/>
        </w:rPr>
      </w:pPr>
    </w:p>
    <w:p>
      <w:pPr>
        <w:ind w:right="360" w:firstLine="351"/>
        <w:spacing w:after="0" w:line="369" w:lineRule="auto"/>
        <w:rPr>
          <w:sz w:val="20"/>
          <w:szCs w:val="20"/>
          <w:color w:val="auto"/>
        </w:rPr>
      </w:pPr>
      <w:r>
        <w:rPr>
          <w:rFonts w:ascii="Arial" w:cs="Arial" w:eastAsia="Arial" w:hAnsi="Arial"/>
          <w:sz w:val="15"/>
          <w:szCs w:val="15"/>
          <w:i w:val="1"/>
          <w:iCs w:val="1"/>
          <w:color w:val="auto"/>
        </w:rPr>
        <w:t xml:space="preserve">Delaware. </w:t>
      </w:r>
      <w:r>
        <w:rPr>
          <w:rFonts w:ascii="Arial" w:cs="Arial" w:eastAsia="Arial" w:hAnsi="Arial"/>
          <w:sz w:val="15"/>
          <w:szCs w:val="15"/>
          <w:color w:val="auto"/>
        </w:rPr>
        <w:t>Delaware law does not specifically grant stockholders the right to bring business before an annual or special meeting of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However, if a Delaware corporation is subject to the SEC's proxy rules, a stockholder who owns at least $2,000 in market value, or 1% of the corporation's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entitled to vote, may propose a matter for a vote at an annual or special meeting in accordance with those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Under Danish law, shareholders may take action and pass resolutions by written consent if such consent is unanimous. However, for a listed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this method of adopting resolutions is generally not feasible.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 stockholders of a corporation to take action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Appraisal Rights</w:t>
      </w:r>
    </w:p>
    <w:p>
      <w:pPr>
        <w:spacing w:after="0" w:line="225"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18"/>
          <w:szCs w:val="18"/>
          <w:i w:val="1"/>
          <w:iCs w:val="1"/>
          <w:color w:val="auto"/>
        </w:rPr>
        <w:t>Denmark.</w:t>
      </w:r>
      <w:r>
        <w:rPr>
          <w:sz w:val="20"/>
          <w:szCs w:val="20"/>
          <w:color w:val="auto"/>
        </w:rPr>
        <w:tab/>
      </w:r>
      <w:r>
        <w:rPr>
          <w:rFonts w:ascii="Arial" w:cs="Arial" w:eastAsia="Arial" w:hAnsi="Arial"/>
          <w:sz w:val="16"/>
          <w:szCs w:val="16"/>
          <w:color w:val="auto"/>
        </w:rPr>
        <w:t>The concept of appraisal rights does not exist under Danish law, except in connection with statutory redemption rights according to the DCA.</w:t>
      </w:r>
    </w:p>
    <w:p>
      <w:pPr>
        <w:spacing w:after="0" w:line="225"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According to Section 73 of the DCA,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DCA, squeeze out the minority shareholders. In the event that the parties cannot agree to the redemption squeeze out price, this shall be determined by an independent evaluator appointed by the court. Additionally, there are specific regulations in Sections 249, 267, 285 and 305 of the DCA that require compensation in the event of national or cross-border mergers and demergers. Moreover, shareholders who vote against a cross-border merger or demerger are, according to Sections 286 and 306 of the DCA, entitled to have their shares redeemed.</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Suits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only a company itself can bring a civil action against a third 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However, if shareholders representing at least 10% of the share capital have opposed at a general meeting a decision to grant discharge to a member of our board of directors or our registered managers or refrain from bringing law suits against, among other persons, a member of our board of directors or a registered manager, a shareholder may bring a derivative action on behalf of our company against, among other persons, a member of our board of directors or a registered manager.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stockholder may bring a derivative action on behalf of the corporation to enforce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i w:val="1"/>
          <w:iCs w:val="1"/>
          <w:color w:val="auto"/>
        </w:rPr>
        <w:t xml:space="preserve">Denmark. </w:t>
      </w:r>
      <w:r>
        <w:rPr>
          <w:rFonts w:ascii="Arial" w:cs="Arial" w:eastAsia="Arial" w:hAnsi="Arial"/>
          <w:sz w:val="15"/>
          <w:szCs w:val="15"/>
          <w:color w:val="auto"/>
        </w:rPr>
        <w:t>Danish limited liability companies may not subscribe for newly issued shares in their own capital. Such companies may, however, according</w:t>
      </w:r>
      <w:r>
        <w:rPr>
          <w:rFonts w:ascii="Arial" w:cs="Arial" w:eastAsia="Arial" w:hAnsi="Arial"/>
          <w:sz w:val="15"/>
          <w:szCs w:val="15"/>
          <w:i w:val="1"/>
          <w:iCs w:val="1"/>
          <w:color w:val="auto"/>
        </w:rPr>
        <w:t xml:space="preserve"> </w:t>
      </w:r>
      <w:r>
        <w:rPr>
          <w:rFonts w:ascii="Arial" w:cs="Arial" w:eastAsia="Arial" w:hAnsi="Arial"/>
          <w:sz w:val="15"/>
          <w:szCs w:val="15"/>
          <w:color w:val="auto"/>
        </w:rPr>
        <w:t>to the DCA Sections 196-201, acquire fully paid shares of themselves, provided that the board of directors has been authorized to do so by the shareholders at a general meeting. Such authorization can only be given for a maximum period of five years and the authorization shall fix (i) the maximum value of the shares and (ii) the minimum and the highest amount that the company may pay for the shares. Such purchase of shares may generally only be acquired using distributable reserves. In addition, the board of directors may, on behalf of the company, acquire the company's own shares, without authorization, in case it is necessary to avoid a considerable and imminent detrimental effect on the company and provided certain conditions are met. In case the company has acquired its own shares under such circumstances the board of directors is obligated to inform the shareholders of such acquisition at the next general meeting.</w:t>
      </w:r>
    </w:p>
    <w:p>
      <w:pPr>
        <w:spacing w:after="0" w:line="15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a corporation may purchase or redeem its own shares unless the capital of the corporation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Denmark.</w:t>
      </w:r>
      <w:r>
        <w:rPr>
          <w:sz w:val="20"/>
          <w:szCs w:val="20"/>
          <w:color w:val="auto"/>
        </w:rPr>
        <w:tab/>
      </w:r>
      <w:r>
        <w:rPr>
          <w:rFonts w:ascii="Arial" w:cs="Arial" w:eastAsia="Arial" w:hAnsi="Arial"/>
          <w:sz w:val="15"/>
          <w:szCs w:val="15"/>
          <w:color w:val="auto"/>
        </w:rPr>
        <w:t>Under Danish law, it is possible to implement limited protective anti-takeover measures. Such provisions may include, among other things,</w:t>
      </w:r>
    </w:p>
    <w:p>
      <w:pPr>
        <w:spacing w:after="0" w:line="15" w:lineRule="exact"/>
        <w:rPr>
          <w:sz w:val="20"/>
          <w:szCs w:val="20"/>
          <w:color w:val="auto"/>
        </w:rPr>
      </w:pPr>
    </w:p>
    <w:p>
      <w:pPr>
        <w:ind w:right="360" w:firstLine="8"/>
        <w:spacing w:after="0" w:line="255" w:lineRule="auto"/>
        <w:tabs>
          <w:tab w:leader="none" w:pos="2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different share classes with different voting rights and (ii) notification requirements concerning participation in general meetings. We have currently not adopted any such provisions, except for the obligation to request an admission card. See "—Articles of Association and Danish Corporate Law—Notice Convening Annual and Extraordinary General Meetings."</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In addition to other aspects of Delaware law governing fiduciary duties of directors during a potential takeover, the Delaware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207" w:lineRule="exact"/>
        <w:rPr>
          <w:sz w:val="20"/>
          <w:szCs w:val="20"/>
          <w:color w:val="auto"/>
        </w:rPr>
      </w:pPr>
    </w:p>
    <w:p>
      <w:pPr>
        <w:ind w:left="1080" w:right="3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212"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207" w:lineRule="exact"/>
        <w:rPr>
          <w:rFonts w:ascii="Arial" w:cs="Arial" w:eastAsia="Arial" w:hAnsi="Arial"/>
          <w:sz w:val="18"/>
          <w:szCs w:val="18"/>
          <w:color w:val="auto"/>
        </w:rPr>
      </w:pPr>
    </w:p>
    <w:p>
      <w:pPr>
        <w:ind w:left="1080" w:right="520" w:hanging="532"/>
        <w:spacing w:after="0" w:line="331"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Section 150 of the DCA, a shareholder may, at the annual general meeting or at a general meeting whose agenda includes such</w:t>
      </w:r>
      <w:r>
        <w:rPr>
          <w:rFonts w:ascii="Arial" w:cs="Arial" w:eastAsia="Arial" w:hAnsi="Arial"/>
          <w:sz w:val="18"/>
          <w:szCs w:val="18"/>
          <w:i w:val="1"/>
          <w:iCs w:val="1"/>
          <w:color w:val="auto"/>
        </w:rPr>
        <w:t xml:space="preserve"> </w:t>
      </w:r>
      <w:r>
        <w:rPr>
          <w:rFonts w:ascii="Arial" w:cs="Arial" w:eastAsia="Arial" w:hAnsi="Arial"/>
          <w:sz w:val="18"/>
          <w:szCs w:val="18"/>
          <w:color w:val="auto"/>
        </w:rPr>
        <w:t>item, request an inspection of the company's books regarding specific issues concerning the management of the company or specific annual reports. If approved by shareholders with a simple majority, one or more investigators are elected. If the proposal is not approved by a simple majority but 25% of the share capital votes in favor of the proposal, then the shareholder can request the court to appoint an investigator, however, the request will only be allowed if the court finds it to be based on reasonable grounds.</w:t>
      </w:r>
    </w:p>
    <w:p>
      <w:pPr>
        <w:spacing w:after="0" w:line="20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As a general rule, shareholders of the company are entitled to subscribe for new shares in proportion to their existing shareholdings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a cash increase of the share capital. Such a cash increase of the share capital can be resolved by the general meeting by at least two-thirds of the votes cast as well as at least two-thirds of the share capital represented at the general meeting.</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However, in the below-mentioned scenarios, the general meeting may resolve to depart from the shareholders' right to proportionate subscription if the following voting requirements are met:</w:t>
      </w:r>
    </w:p>
    <w:p>
      <w:pPr>
        <w:spacing w:after="0" w:line="199" w:lineRule="exact"/>
        <w:rPr>
          <w:sz w:val="20"/>
          <w:szCs w:val="20"/>
          <w:color w:val="auto"/>
        </w:rPr>
      </w:pPr>
    </w:p>
    <w:p>
      <w:pPr>
        <w:ind w:left="1080" w:right="500" w:hanging="532"/>
        <w:spacing w:after="0" w:line="33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two-thirds majority requirement: if the new shares issued in connection with the capital increase are subscribed for at market price for the benefit of some of the existing shareholders, the above-mentioned two-thirds majority requirement applies;</w:t>
      </w:r>
    </w:p>
    <w:p>
      <w:pPr>
        <w:spacing w:after="0" w:line="167" w:lineRule="exact"/>
        <w:rPr>
          <w:rFonts w:ascii="Arial" w:cs="Arial" w:eastAsia="Arial" w:hAnsi="Arial"/>
          <w:sz w:val="16"/>
          <w:szCs w:val="16"/>
          <w:color w:val="auto"/>
        </w:rPr>
      </w:pPr>
    </w:p>
    <w:p>
      <w:pPr>
        <w:jc w:val="both"/>
        <w:ind w:left="1080" w:right="160" w:hanging="532"/>
        <w:spacing w:after="0" w:line="369" w:lineRule="auto"/>
        <w:tabs>
          <w:tab w:leader="none" w:pos="10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consent requirement: if the new shares issued in connection with the capital increase are subscribed for at a discount for the benefit of some of the existing shareholders, consent from the shareholders who do not get an opportunity to participate in the capital increase must be obtained;</w:t>
      </w:r>
    </w:p>
    <w:p>
      <w:pPr>
        <w:spacing w:after="0" w:line="131"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two-thirds majority requirement: if the new shares issued in connection with the capital increase are subscribed for at market price for the benefit of parties other than the existing shareholders (</w:t>
      </w:r>
      <w:r>
        <w:rPr>
          <w:rFonts w:ascii="Arial" w:cs="Arial" w:eastAsia="Arial" w:hAnsi="Arial"/>
          <w:sz w:val="18"/>
          <w:szCs w:val="18"/>
          <w:i w:val="1"/>
          <w:iCs w:val="1"/>
          <w:color w:val="auto"/>
        </w:rPr>
        <w:t>i.e</w:t>
      </w:r>
      <w:r>
        <w:rPr>
          <w:rFonts w:ascii="Arial" w:cs="Arial" w:eastAsia="Arial" w:hAnsi="Arial"/>
          <w:sz w:val="18"/>
          <w:szCs w:val="18"/>
          <w:color w:val="auto"/>
        </w:rPr>
        <w:t>., a third party or employees of the company), the above-mentioned two-thirds majority requirement applies; and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nine-tenths majority requirement: if the new shares issued in connection with the capital increase are subscribed for at discount for the benefit of parties other than the existing shareholders or the employees of the company, the voting requirement is at least nine-tenths of the votes cast as well as at least nine-tenths of the share capital represented at the general meeting.</w:t>
      </w:r>
    </w:p>
    <w:p>
      <w:pPr>
        <w:spacing w:after="0" w:line="194"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described above under the caption "Authorizations to our Board of Directors."</w:t>
      </w:r>
    </w:p>
    <w:p>
      <w:pPr>
        <w:spacing w:after="0" w:line="186" w:lineRule="exact"/>
        <w:rPr>
          <w:sz w:val="20"/>
          <w:szCs w:val="20"/>
          <w:color w:val="auto"/>
        </w:rPr>
      </w:pPr>
    </w:p>
    <w:p>
      <w:pPr>
        <w:ind w:right="160" w:firstLine="351"/>
        <w:spacing w:after="0" w:line="331" w:lineRule="auto"/>
        <w:rPr>
          <w:sz w:val="20"/>
          <w:szCs w:val="20"/>
          <w:color w:val="auto"/>
        </w:rPr>
      </w:pPr>
      <w:r>
        <w:rPr>
          <w:rFonts w:ascii="Arial" w:cs="Arial" w:eastAsia="Arial" w:hAnsi="Arial"/>
          <w:sz w:val="16"/>
          <w:szCs w:val="16"/>
          <w:color w:val="auto"/>
        </w:rPr>
        <w:t>Unless future issuances of new shares are registered under the Securities Act or with any authority outside Denmark, U.S. shareholders and shareholders in jurisdictions outside Denmark may be unable to exercise their pre-emptive subscription rights under U.S. securities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stockholders have no pre-emptive rights to subscribe for additional issues of stock or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convertible into such stock unless, and to the extent that, such rights are expressly provided for in the certificate of incorporation.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the distribution of ordinary and interim dividends requires the approval of a company's shareholders at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meeting. In addition the shareholders may authorize the board of directors to distribute interim dividends. The shareholders may not resolve to the distribution of dividends in excess of the recommendation from the board of directors and we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determines whether it will be sufficient to use the statement of financial position from the annual report or if an interim statement of financial position for the period from the annual report period until the interim dividend payment shall be prepared. If interim dividends are paid out later than six months following the end of the financial year for the latest annual report, an audited interim balance sheet showing that there are sufficient funds shall always be prepared.</w:t>
      </w:r>
    </w:p>
    <w:p>
      <w:pPr>
        <w:spacing w:after="0" w:line="178"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a Delaware corporation may pay dividends out of its surplus (the excess of net assets over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share capital represented at the general meeting.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6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the vote of a majority of the outstanding shares of capital stock entitled to vote thereon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vote in certain mergers with other corporations that own 90% or more of the outstanding shares of each class of stock of such corporation, but the stockholders will be entitled to appraisal 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Governing Documents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All resolutions made by the general meeting may be adopted by a simple majority of the votes, subject only to the mandatory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DCA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20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a corporation's certificate of incorporation may be amended only if adopted and declared</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transfer agent and registrar for our shares is VP Securities A/S, Weidekampsgade 14, DK-2300 Copenhagen S, Denmark. Deutsche Bank Trust Company Americas will serve as the depositary for the ADSs.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Deutsche Bank Trust Company Americas, as depositary, will register and deliver the ADSs. Each ADS will represent ownership of of one share, deposited with Danske Bank A/S, as custodian for the depositary. Each ADS will also represent ownership of any other securities, cash or other property which may be held by the depositary in respect of such shares. The depositary's corporate trust office at which the ADSs will be administered is located at 60 Wall Street, New York, NY 10005, USA. The principal executive office of the depositary is located at 60 Wall Street, New York, NY 10005, USA.</w:t>
      </w:r>
    </w:p>
    <w:p>
      <w:pPr>
        <w:spacing w:after="0" w:line="16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will not treat ADS holders as our shareholders and accordingly, you, as an ADS holder, will not have shareholders' rights. Danish law and our articles of association govern our shareholders' rights. The depositary will be the holder of the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20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the ADSs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225" w:lineRule="exact"/>
        <w:rPr>
          <w:sz w:val="20"/>
          <w:szCs w:val="20"/>
          <w:color w:val="auto"/>
        </w:rPr>
      </w:pPr>
    </w:p>
    <w:p>
      <w:pPr>
        <w:ind w:right="100" w:firstLine="344"/>
        <w:spacing w:after="0" w:line="294" w:lineRule="auto"/>
        <w:rPr>
          <w:sz w:val="20"/>
          <w:szCs w:val="20"/>
          <w:color w:val="auto"/>
        </w:rPr>
      </w:pPr>
      <w:r>
        <w:rPr>
          <w:rFonts w:ascii="Arial" w:cs="Arial" w:eastAsia="Arial" w:hAnsi="Arial"/>
          <w:sz w:val="16"/>
          <w:szCs w:val="16"/>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shares or other deposited securities, after deducting its fees and expenses. You will receive these distributions in proportion to the number of shares your ADSs represent as of the record date (which will be as close as practicable to the record date for our shares) set by the depositary with respect to the ADSs.</w:t>
      </w:r>
    </w:p>
    <w:p>
      <w:pPr>
        <w:spacing w:after="0" w:line="174" w:lineRule="exact"/>
        <w:rPr>
          <w:sz w:val="20"/>
          <w:szCs w:val="20"/>
          <w:color w:val="auto"/>
        </w:rPr>
      </w:pPr>
    </w:p>
    <w:p>
      <w:pPr>
        <w:ind w:left="1080" w:right="420" w:hanging="532"/>
        <w:spacing w:after="0" w:line="369" w:lineRule="auto"/>
        <w:tabs>
          <w:tab w:leader="none" w:pos="108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Cash. </w:t>
      </w:r>
      <w:r>
        <w:rPr>
          <w:rFonts w:ascii="Arial" w:cs="Arial" w:eastAsia="Arial" w:hAnsi="Arial"/>
          <w:sz w:val="15"/>
          <w:szCs w:val="15"/>
          <w:color w:val="auto"/>
        </w:rPr>
        <w:t>The depositary will convert or cause to be converted any cash dividend or other cash distribution we pay on the shares or any net</w:t>
      </w:r>
      <w:r>
        <w:rPr>
          <w:rFonts w:ascii="Arial" w:cs="Arial" w:eastAsia="Arial" w:hAnsi="Arial"/>
          <w:sz w:val="15"/>
          <w:szCs w:val="15"/>
          <w:i w:val="1"/>
          <w:iCs w:val="1"/>
          <w:color w:val="auto"/>
        </w:rPr>
        <w:t xml:space="preserve"> </w:t>
      </w:r>
      <w:r>
        <w:rPr>
          <w:rFonts w:ascii="Arial" w:cs="Arial" w:eastAsia="Arial" w:hAnsi="Arial"/>
          <w:sz w:val="15"/>
          <w:szCs w:val="15"/>
          <w:color w:val="auto"/>
        </w:rPr>
        <w:t>proceeds from the sale of any shares, rights, securities or other entitlements under the terms of the deposit agreement into U.S. dollars if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90" w:lineRule="auto"/>
        <w:rPr>
          <w:sz w:val="20"/>
          <w:szCs w:val="20"/>
          <w:color w:val="auto"/>
        </w:rPr>
      </w:pPr>
      <w:r>
        <w:rPr>
          <w:rFonts w:ascii="Arial" w:cs="Arial" w:eastAsia="Arial" w:hAnsi="Arial"/>
          <w:sz w:val="16"/>
          <w:szCs w:val="16"/>
          <w:color w:val="auto"/>
        </w:rPr>
        <w:t>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72" w:lineRule="exact"/>
        <w:rPr>
          <w:sz w:val="20"/>
          <w:szCs w:val="20"/>
          <w:color w:val="auto"/>
        </w:rPr>
      </w:pPr>
    </w:p>
    <w:p>
      <w:pPr>
        <w:ind w:left="1080"/>
        <w:spacing w:after="0" w:line="298" w:lineRule="auto"/>
        <w:rPr>
          <w:sz w:val="20"/>
          <w:szCs w:val="20"/>
          <w:color w:val="auto"/>
        </w:rPr>
      </w:pPr>
      <w:r>
        <w:rPr>
          <w:rFonts w:ascii="Arial" w:cs="Arial" w:eastAsia="Arial" w:hAnsi="Arial"/>
          <w:sz w:val="16"/>
          <w:szCs w:val="16"/>
          <w:color w:val="auto"/>
        </w:rPr>
        <w:t xml:space="preserve">Before making a distribution, any taxes or other governmental charges, together with fees and expenses of the depositary, that must be paid, will be deducted. See "Material U.S. Federal Income Tax Considerations" and "Material Danish Income Tax Considerations." It will distribute only whole U.S. dollars and cents and will round down fractional cents to the nearest whole cent. </w:t>
      </w:r>
      <w:r>
        <w:rPr>
          <w:rFonts w:ascii="Arial" w:cs="Arial" w:eastAsia="Arial" w:hAnsi="Arial"/>
          <w:sz w:val="16"/>
          <w:szCs w:val="16"/>
          <w:i w:val="1"/>
          <w:iCs w:val="1"/>
          <w:color w:val="auto"/>
        </w:rPr>
        <w:t>If the exchange rates fluctuate during a time when</w:t>
      </w:r>
      <w:r>
        <w:rPr>
          <w:rFonts w:ascii="Arial" w:cs="Arial" w:eastAsia="Arial" w:hAnsi="Arial"/>
          <w:sz w:val="16"/>
          <w:szCs w:val="16"/>
          <w:color w:val="auto"/>
        </w:rPr>
        <w:t xml:space="preserve"> </w:t>
      </w:r>
      <w:r>
        <w:rPr>
          <w:rFonts w:ascii="Arial" w:cs="Arial" w:eastAsia="Arial" w:hAnsi="Arial"/>
          <w:sz w:val="16"/>
          <w:szCs w:val="16"/>
          <w:i w:val="1"/>
          <w:iCs w:val="1"/>
          <w:color w:val="auto"/>
        </w:rPr>
        <w:t>the depositary cannot convert the foreign currency, you may lose some or all of the value of the distribution.</w:t>
      </w:r>
    </w:p>
    <w:p>
      <w:pPr>
        <w:spacing w:after="0" w:line="180" w:lineRule="exact"/>
        <w:rPr>
          <w:sz w:val="20"/>
          <w:szCs w:val="20"/>
          <w:color w:val="auto"/>
        </w:rPr>
      </w:pPr>
    </w:p>
    <w:p>
      <w:pPr>
        <w:ind w:left="1080" w:hanging="532"/>
        <w:spacing w:after="0" w:line="290"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For any shares we distribute as a dividend or free distribution (such shares considered bonus shares under the DCA), either (1)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will distribute additional ADSs representing such shares or (2) existing ADSs as of the applicable record date will represent rights and interests in the additional shares distributed, to the extent reasonably practicable and permissible under law, in either case, net of applicable fees, charges and expenses incurred by the depositary and taxes and/or other governmental charges. The depositary will only distribute whole ADSs. It will try to sell shares which would require it to deliver a fractional ADS and distribute the net proceeds in the same way as it does with cash. The depositary may sell a portion of the distributed shares sufficient to pay its fees and expenses and any taxes and governmental charges in connection with that distribution.</w:t>
      </w:r>
    </w:p>
    <w:p>
      <w:pPr>
        <w:spacing w:after="0" w:line="198"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Elective Distributions in Cash or Shares. </w:t>
      </w:r>
      <w:r>
        <w:rPr>
          <w:rFonts w:ascii="Arial" w:cs="Arial" w:eastAsia="Arial" w:hAnsi="Arial"/>
          <w:sz w:val="16"/>
          <w:szCs w:val="16"/>
          <w:color w:val="auto"/>
        </w:rPr>
        <w:t>If we offer our shareholders the option to receive dividends in either cash or shares (such shares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bonus shares under the DCA),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However, the depositary could decide it is not legal or reasonably practicable to make such elective distribution available to you. In such case, the depositary shall, on the basis of the same determination as is made in respect of the shares for which no election is made, distribute either cash in the same way as it does in a cash distribution, or additional ADSs representing shares in the same way as it does in a share distribution. The depositary is not obligated to make available to you a method to receive the elective distribution in shares rather than in ADSs. There can be no assurance that you will be given the opportunity to receive elective distributions on the same terms and conditions as our shareholders.</w:t>
      </w:r>
    </w:p>
    <w:p>
      <w:pPr>
        <w:spacing w:after="0" w:line="189" w:lineRule="exact"/>
        <w:rPr>
          <w:rFonts w:ascii="Arial" w:cs="Arial" w:eastAsia="Arial" w:hAnsi="Arial"/>
          <w:sz w:val="16"/>
          <w:szCs w:val="16"/>
          <w:color w:val="auto"/>
        </w:rPr>
      </w:pPr>
    </w:p>
    <w:p>
      <w:pPr>
        <w:ind w:left="1080" w:right="60" w:hanging="532"/>
        <w:spacing w:after="0" w:line="254"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our shareholders any rights to subscribe for additional shares, the depositary shall, having</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However, if the depositary decides it is not legal or reasonably practicable to make the rights available but that it is lawful and reasonably practicable to sell the rights, the depositary will endeavor to sell the rights and, in a riskless principal capacity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260"/>
        <w:spacing w:after="0" w:line="259" w:lineRule="auto"/>
        <w:rPr>
          <w:sz w:val="20"/>
          <w:szCs w:val="20"/>
          <w:color w:val="auto"/>
        </w:rPr>
      </w:pPr>
      <w:r>
        <w:rPr>
          <w:rFonts w:ascii="Arial" w:cs="Arial" w:eastAsia="Arial" w:hAnsi="Arial"/>
          <w:sz w:val="18"/>
          <w:szCs w:val="18"/>
          <w:color w:val="auto"/>
        </w:rPr>
        <w:t>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94" w:lineRule="exact"/>
        <w:rPr>
          <w:sz w:val="20"/>
          <w:szCs w:val="20"/>
          <w:color w:val="auto"/>
        </w:rPr>
      </w:pPr>
    </w:p>
    <w:p>
      <w:pPr>
        <w:ind w:left="1080" w:right="20"/>
        <w:spacing w:after="0" w:line="306" w:lineRule="auto"/>
        <w:rPr>
          <w:sz w:val="20"/>
          <w:szCs w:val="20"/>
          <w:color w:val="auto"/>
        </w:rPr>
      </w:pPr>
      <w:r>
        <w:rPr>
          <w:rFonts w:ascii="Arial" w:cs="Arial" w:eastAsia="Arial" w:hAnsi="Arial"/>
          <w:sz w:val="16"/>
          <w:szCs w:val="16"/>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shares (rather than ADSs).</w:t>
      </w:r>
    </w:p>
    <w:p>
      <w:pPr>
        <w:spacing w:after="0" w:line="160" w:lineRule="exact"/>
        <w:rPr>
          <w:sz w:val="20"/>
          <w:szCs w:val="20"/>
          <w:color w:val="auto"/>
        </w:rPr>
      </w:pPr>
    </w:p>
    <w:p>
      <w:pPr>
        <w:ind w:left="1080" w:right="140"/>
        <w:spacing w:after="0" w:line="306"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60"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our shareholders or be able to exercise such rights.</w:t>
      </w:r>
    </w:p>
    <w:p>
      <w:pPr>
        <w:spacing w:after="0" w:line="199" w:lineRule="exact"/>
        <w:rPr>
          <w:sz w:val="20"/>
          <w:szCs w:val="20"/>
          <w:color w:val="auto"/>
        </w:rPr>
      </w:pPr>
    </w:p>
    <w:p>
      <w:pPr>
        <w:ind w:left="1080" w:right="20" w:hanging="532"/>
        <w:spacing w:after="0" w:line="288"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the property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7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 other property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depositary will deliver ADSs if you or your broker deposit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6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Except for shares deposited by us in connection with this offering, no shares will be accepted for deposit during a period of 90 days after the date of this prospectus. The 90 day lock up period is subject to adjustment under certain circumstances as described in the section entitled "Shares and American Depositary Shares Eligible for Future Sale—Lock-up Agreements."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225" w:lineRule="exact"/>
        <w:rPr>
          <w:sz w:val="20"/>
          <w:szCs w:val="20"/>
          <w:color w:val="auto"/>
        </w:rPr>
      </w:pPr>
    </w:p>
    <w:p>
      <w:pPr>
        <w:ind w:right="80" w:firstLine="344"/>
        <w:spacing w:after="0" w:line="298" w:lineRule="auto"/>
        <w:rPr>
          <w:sz w:val="20"/>
          <w:szCs w:val="20"/>
          <w:color w:val="auto"/>
        </w:rPr>
      </w:pPr>
      <w:r>
        <w:rPr>
          <w:rFonts w:ascii="Arial" w:cs="Arial" w:eastAsia="Arial" w:hAnsi="Arial"/>
          <w:sz w:val="16"/>
          <w:szCs w:val="16"/>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jc w:val="both"/>
        <w:ind w:right="160" w:firstLine="344"/>
        <w:spacing w:after="0" w:line="256"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right="220" w:firstLine="344"/>
        <w:spacing w:after="0" w:line="256" w:lineRule="auto"/>
        <w:rPr>
          <w:sz w:val="20"/>
          <w:szCs w:val="20"/>
          <w:color w:val="auto"/>
        </w:rPr>
      </w:pPr>
      <w:r>
        <w:rPr>
          <w:rFonts w:ascii="Arial" w:cs="Arial" w:eastAsia="Arial" w:hAnsi="Arial"/>
          <w:sz w:val="18"/>
          <w:szCs w:val="18"/>
          <w:color w:val="auto"/>
        </w:rPr>
        <w:t xml:space="preserve">You may instruct the depositary to vote the shares or other deposited securities underlying your ADSs at any meeting at which you are entitled to vote pursuant to any applicable law, the provisions of our articles of association, and the provisions of or governing the deposited securities. </w:t>
      </w:r>
      <w:r>
        <w:rPr>
          <w:rFonts w:ascii="Arial" w:cs="Arial" w:eastAsia="Arial" w:hAnsi="Arial"/>
          <w:sz w:val="18"/>
          <w:szCs w:val="18"/>
          <w:i w:val="1"/>
          <w:iCs w:val="1"/>
          <w:color w:val="auto"/>
        </w:rPr>
        <w:t>Otherwise, you could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your right to vote directly if you withdraw the shares. However, you may not know about the meeting sufficiently enough in advance to withdraw the shares.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articles of association, and the provisions of or governing the deposited securities, to instruct the depositary as to the exercise of the voting rights, if any, pertaining to the shares or other deposited securities represented by such holder's ADSs; and (c) a brief statement as to the manner in which such instructions may be given to the depositary. Voting instructions may be given only in respect of a number of ADSs representing an integral number of shares or other deposited securities. For instructions to be valid, the depositary must receive them in writing on or before the date specified. The depositary will try, as far as practical, subject to applicable law and the provisions of our articles of association, to vote or to have its agents vote the shares or other deposited securities (in person or by proxy) as you instruct. The depositary will only vote or attempt to vote as you instruct.</w:t>
      </w:r>
    </w:p>
    <w:p>
      <w:pPr>
        <w:spacing w:after="0" w:line="180"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shares underlying your ADSs. In addition, there can be no assurance that ADS holders and beneficial owners generally, or any holder or beneficial owner in particular, will be given the opportunity to vote or cause the depositary or the custodian, as applicable, to vote on the same terms and conditions as our shareholders.</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means that you may not be able to exercise your right to vote and you may have no recourse if the shares underlying your ADSs are not voted as you requested.</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days in advance of the meeting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ADS holder and beneficial owner shall (a) provide such information as we or the depositary may request pursuant to law, including, without limitation, relevant Danish law, any applicable law of the United States, our articles of association, any resolutions of our board of directors adopted pursuant to such articles of association, the requirements of any markets or exchanges upon which the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Kingdom of Denmark, our articles of association, and the requirements of any markets or exchanges upon which the ADSs, ADRs or shares are listed or traded, or pursuant to any requirements of any electronic book-entry system by which the ADSs, ADRs or shares may be transferred, to the same extent as if such ADS holder or beneficial owner held shares directly, in each case irrespective of whether or not they are ADS holders or beneficial owners at the time such request is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Each ADS holder and beneficial owner shall comply with our requests pursuant to Danish law, the rules and requirements of the Nasdaq Global Select Market, Nasdaq Copenhagen and any other stock exchange on which the shares are, or will be, registered, traded or listed or our articles of association, which requests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right="20" w:firstLine="341"/>
        <w:spacing w:after="0" w:line="331"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Service</w:t>
            </w:r>
          </w:p>
        </w:tc>
        <w:tc>
          <w:tcPr>
            <w:tcW w:w="460" w:type="dxa"/>
            <w:vAlign w:val="bottom"/>
          </w:tcPr>
          <w:p>
            <w:pPr>
              <w:spacing w:after="0"/>
              <w:rPr>
                <w:sz w:val="14"/>
                <w:szCs w:val="14"/>
                <w:color w:val="auto"/>
              </w:rPr>
            </w:pPr>
          </w:p>
        </w:tc>
        <w:tc>
          <w:tcPr>
            <w:tcW w:w="5380" w:type="dxa"/>
            <w:vAlign w:val="bottom"/>
            <w:tcBorders>
              <w:bottom w:val="single" w:sz="8" w:color="auto"/>
            </w:tcBorders>
          </w:tcPr>
          <w:p>
            <w:pPr>
              <w:ind w:left="2560"/>
              <w:spacing w:after="0"/>
              <w:rPr>
                <w:sz w:val="20"/>
                <w:szCs w:val="20"/>
                <w:color w:val="auto"/>
              </w:rPr>
            </w:pPr>
            <w:r>
              <w:rPr>
                <w:rFonts w:ascii="Arial" w:cs="Arial" w:eastAsia="Arial" w:hAnsi="Arial"/>
                <w:sz w:val="13"/>
                <w:szCs w:val="13"/>
                <w:b w:val="1"/>
                <w:bCs w:val="1"/>
                <w:color w:val="auto"/>
              </w:rPr>
              <w:t>Fees</w:t>
            </w:r>
          </w:p>
        </w:tc>
      </w:tr>
      <w:tr>
        <w:trPr>
          <w:trHeight w:val="201"/>
        </w:trPr>
        <w:tc>
          <w:tcPr>
            <w:tcW w:w="5400" w:type="dxa"/>
            <w:vAlign w:val="bottom"/>
          </w:tcPr>
          <w:p>
            <w:pPr>
              <w:spacing w:after="0" w:line="201" w:lineRule="exact"/>
              <w:rPr>
                <w:sz w:val="20"/>
                <w:szCs w:val="20"/>
                <w:color w:val="auto"/>
              </w:rPr>
            </w:pPr>
            <w:r>
              <w:rPr>
                <w:rFonts w:ascii="Arial" w:cs="Arial" w:eastAsia="Arial" w:hAnsi="Arial"/>
                <w:sz w:val="18"/>
                <w:szCs w:val="18"/>
                <w:color w:val="auto"/>
                <w:w w:val="95"/>
              </w:rPr>
              <w:t>•  To any person to which ADSs are issued or to any person to which a</w:t>
            </w:r>
          </w:p>
        </w:tc>
        <w:tc>
          <w:tcPr>
            <w:tcW w:w="460" w:type="dxa"/>
            <w:vAlign w:val="bottom"/>
          </w:tcPr>
          <w:p>
            <w:pPr>
              <w:spacing w:after="0"/>
              <w:rPr>
                <w:sz w:val="17"/>
                <w:szCs w:val="17"/>
                <w:color w:val="auto"/>
              </w:rPr>
            </w:pPr>
          </w:p>
        </w:tc>
        <w:tc>
          <w:tcPr>
            <w:tcW w:w="5380" w:type="dxa"/>
            <w:vAlign w:val="bottom"/>
          </w:tcPr>
          <w:p>
            <w:pPr>
              <w:spacing w:after="0" w:line="201" w:lineRule="exact"/>
              <w:rPr>
                <w:sz w:val="20"/>
                <w:szCs w:val="20"/>
                <w:color w:val="auto"/>
              </w:rPr>
            </w:pPr>
            <w:r>
              <w:rPr>
                <w:rFonts w:ascii="Arial" w:cs="Arial" w:eastAsia="Arial" w:hAnsi="Arial"/>
                <w:sz w:val="18"/>
                <w:szCs w:val="18"/>
                <w:color w:val="auto"/>
              </w:rPr>
              <w:t>Up to $0.05 per ADS issued</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5"/>
              </w:rPr>
              <w:t>distribution is made in respect of ADS distributions pursuant to stock</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2"/>
              </w:rPr>
              <w:t>dividends or other free distributions of stock, bonus distributions, stock</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22"/>
        </w:trPr>
        <w:tc>
          <w:tcPr>
            <w:tcW w:w="5400" w:type="dxa"/>
            <w:vAlign w:val="bottom"/>
          </w:tcPr>
          <w:p>
            <w:pPr>
              <w:ind w:left="180"/>
              <w:spacing w:after="0"/>
              <w:rPr>
                <w:sz w:val="20"/>
                <w:szCs w:val="20"/>
                <w:color w:val="auto"/>
              </w:rPr>
            </w:pPr>
            <w:r>
              <w:rPr>
                <w:rFonts w:ascii="Arial" w:cs="Arial" w:eastAsia="Arial" w:hAnsi="Arial"/>
                <w:sz w:val="18"/>
                <w:szCs w:val="18"/>
                <w:color w:val="auto"/>
              </w:rPr>
              <w:t>splits or other distributions (except where converted to cash)</w:t>
            </w:r>
          </w:p>
        </w:tc>
        <w:tc>
          <w:tcPr>
            <w:tcW w:w="460" w:type="dxa"/>
            <w:vAlign w:val="bottom"/>
          </w:tcPr>
          <w:p>
            <w:pPr>
              <w:spacing w:after="0"/>
              <w:rPr>
                <w:sz w:val="19"/>
                <w:szCs w:val="19"/>
                <w:color w:val="auto"/>
              </w:rPr>
            </w:pPr>
          </w:p>
        </w:tc>
        <w:tc>
          <w:tcPr>
            <w:tcW w:w="53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10" w:lineRule="exact"/>
        <w:rPr>
          <w:sz w:val="20"/>
          <w:szCs w:val="20"/>
          <w:color w:val="auto"/>
        </w:rPr>
      </w:pPr>
    </w:p>
    <w:p>
      <w:pPr>
        <w:ind w:left="180" w:right="260" w:hanging="172"/>
        <w:spacing w:after="0" w:line="268"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Cancellation of ADSs, including the case of termination of the deposit agreement</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Distribution of cash dividends</w:t>
      </w:r>
    </w:p>
    <w:p>
      <w:pPr>
        <w:spacing w:after="0" w:line="225" w:lineRule="exact"/>
        <w:rPr>
          <w:rFonts w:ascii="Arial" w:cs="Arial" w:eastAsia="Arial" w:hAnsi="Arial"/>
          <w:sz w:val="18"/>
          <w:szCs w:val="18"/>
          <w:color w:val="auto"/>
        </w:rPr>
      </w:pPr>
    </w:p>
    <w:p>
      <w:pPr>
        <w:ind w:left="180" w:right="100" w:hanging="172"/>
        <w:spacing w:after="0" w:line="331" w:lineRule="auto"/>
        <w:tabs>
          <w:tab w:leader="none" w:pos="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Distribution of cash entitlements (other than cash dividends) and/or cash proceeds from the sale of rights, securities and other entitlements</w:t>
      </w:r>
    </w:p>
    <w:p>
      <w:pPr>
        <w:spacing w:after="0" w:line="140" w:lineRule="exact"/>
        <w:rPr>
          <w:rFonts w:ascii="Arial" w:cs="Arial" w:eastAsia="Arial" w:hAnsi="Arial"/>
          <w:sz w:val="16"/>
          <w:szCs w:val="16"/>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Distribution of ADSs pursuant to exercise of rights.</w:t>
      </w:r>
    </w:p>
    <w:p>
      <w:pPr>
        <w:spacing w:after="0" w:line="225" w:lineRule="exact"/>
        <w:rPr>
          <w:rFonts w:ascii="Arial" w:cs="Arial" w:eastAsia="Arial" w:hAnsi="Arial"/>
          <w:sz w:val="18"/>
          <w:szCs w:val="18"/>
          <w:color w:val="auto"/>
        </w:rPr>
      </w:pPr>
    </w:p>
    <w:p>
      <w:pPr>
        <w:ind w:left="180" w:hanging="172"/>
        <w:spacing w:after="0" w:line="268"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Up to $0.05 per ADS cancelled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Up to $0.05 per ADS held on the applicable record date(s) established by the depositary bank</w:t>
      </w:r>
    </w:p>
    <w:p>
      <w:pPr>
        <w:spacing w:after="0" w:line="186" w:lineRule="exact"/>
        <w:rPr>
          <w:sz w:val="20"/>
          <w:szCs w:val="20"/>
          <w:color w:val="auto"/>
        </w:rPr>
      </w:pPr>
    </w:p>
    <w:p>
      <w:pPr>
        <w:sectPr>
          <w:pgSz w:w="11900" w:h="16838" w:orient="portrait"/>
          <w:cols w:equalWidth="0" w:num="2">
            <w:col w:w="5380" w:space="480"/>
            <w:col w:w="5380"/>
          </w:cols>
          <w:pgMar w:left="320" w:top="131" w:right="339" w:bottom="1440" w:gutter="0" w:footer="0" w:header="0"/>
          <w:type w:val="continuous"/>
        </w:sectPr>
      </w:pPr>
    </w:p>
    <w:p>
      <w:pPr>
        <w:jc w:val="both"/>
        <w:ind w:right="400" w:firstLine="341"/>
        <w:spacing w:after="0" w:line="259"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207" w:lineRule="exact"/>
        <w:rPr>
          <w:sz w:val="20"/>
          <w:szCs w:val="20"/>
          <w:color w:val="auto"/>
        </w:rPr>
      </w:pPr>
    </w:p>
    <w:p>
      <w:pPr>
        <w:ind w:left="1080" w:right="14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Fees for the transfer and registration of shares charged by the registrar and transfer agent for the shares in the Kingdom of Denmark (i.e., upon deposit and withdrawal of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shares are deposited or withdrawn from deposit).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shares on deposit.</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shares, deposited securities, ADSs and ADRs.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connection with distributions of cash or securities to ADS holders and the depositary services fee are charged by the depositary bank to the holders of record of ADSs as of the applicable ADS record date.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72" w:lineRule="exact"/>
        <w:rPr>
          <w:sz w:val="20"/>
          <w:szCs w:val="20"/>
          <w:color w:val="auto"/>
        </w:rPr>
      </w:pPr>
    </w:p>
    <w:p>
      <w:pPr>
        <w:ind w:right="360" w:firstLine="351"/>
        <w:spacing w:after="0" w:line="331" w:lineRule="auto"/>
        <w:rPr>
          <w:sz w:val="20"/>
          <w:szCs w:val="20"/>
          <w:color w:val="auto"/>
        </w:rPr>
      </w:pPr>
      <w:r>
        <w:rPr>
          <w:rFonts w:ascii="Arial" w:cs="Arial" w:eastAsia="Arial" w:hAnsi="Arial"/>
          <w:sz w:val="16"/>
          <w:szCs w:val="16"/>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1" w:lineRule="exact"/>
        <w:rPr>
          <w:sz w:val="20"/>
          <w:szCs w:val="20"/>
          <w:color w:val="auto"/>
        </w:rPr>
      </w:pPr>
    </w:p>
    <w:p>
      <w:pPr>
        <w:ind w:right="480" w:firstLine="348"/>
        <w:spacing w:after="0" w:line="331"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right="20" w:firstLine="344"/>
        <w:spacing w:after="0" w:line="288" w:lineRule="auto"/>
        <w:rPr>
          <w:sz w:val="20"/>
          <w:szCs w:val="20"/>
          <w:color w:val="auto"/>
        </w:rPr>
      </w:pPr>
      <w:r>
        <w:rPr>
          <w:rFonts w:ascii="Arial" w:cs="Arial" w:eastAsia="Arial" w:hAnsi="Arial"/>
          <w:sz w:val="16"/>
          <w:szCs w:val="16"/>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11240"/>
          </w:cols>
          <w:pgMar w:left="320" w:top="131"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27"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01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Change the nominal or par value of our shares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Distribute securities on the shares that are not distributed to you, or</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left="-19"/>
        <w:spacing w:after="0"/>
        <w:rPr>
          <w:sz w:val="20"/>
          <w:szCs w:val="20"/>
          <w:color w:val="auto"/>
        </w:rPr>
      </w:pPr>
      <w:r>
        <w:rPr>
          <w:rFonts w:ascii="Arial" w:cs="Arial" w:eastAsia="Arial" w:hAnsi="Arial"/>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7620</wp:posOffset>
            </wp:positionV>
            <wp:extent cx="34201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220" w:lineRule="exact"/>
        <w:rPr>
          <w:sz w:val="20"/>
          <w:szCs w:val="20"/>
          <w:color w:val="auto"/>
        </w:rPr>
      </w:pPr>
    </w:p>
    <w:p>
      <w:pPr>
        <w:ind w:left="360" w:right="80"/>
        <w:spacing w:after="0" w:line="268"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213" w:lineRule="exact"/>
        <w:rPr>
          <w:sz w:val="20"/>
          <w:szCs w:val="20"/>
          <w:color w:val="auto"/>
        </w:rPr>
      </w:pPr>
    </w:p>
    <w:p>
      <w:pPr>
        <w:ind w:left="360" w:right="80"/>
        <w:spacing w:after="0" w:line="256"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13613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220"/>
            <w:col w:w="5740"/>
          </w:cols>
          <w:pgMar w:left="320" w:top="131" w:right="339" w:bottom="1440" w:gutter="0" w:footer="0" w:header="0"/>
          <w:type w:val="continuous"/>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30 days after the depositary notifies ADS holders of the amendment. </w:t>
      </w:r>
      <w:r>
        <w:rPr>
          <w:rFonts w:ascii="Arial" w:cs="Arial" w:eastAsia="Arial" w:hAnsi="Arial"/>
          <w:sz w:val="16"/>
          <w:szCs w:val="16"/>
          <w:i w:val="1"/>
          <w:iCs w:val="1"/>
          <w:color w:val="auto"/>
        </w:rPr>
        <w:t>At the time an amendment becomes effective, you are considered, by continuing to hold</w:t>
      </w:r>
      <w:r>
        <w:rPr>
          <w:rFonts w:ascii="Arial" w:cs="Arial" w:eastAsia="Arial" w:hAnsi="Arial"/>
          <w:sz w:val="16"/>
          <w:szCs w:val="16"/>
          <w:color w:val="auto"/>
        </w:rPr>
        <w:t xml:space="preserve"> </w:t>
      </w:r>
      <w:r>
        <w:rPr>
          <w:rFonts w:ascii="Arial" w:cs="Arial" w:eastAsia="Arial" w:hAnsi="Arial"/>
          <w:sz w:val="16"/>
          <w:szCs w:val="16"/>
          <w:i w:val="1"/>
          <w:iCs w:val="1"/>
          <w:color w:val="auto"/>
        </w:rPr>
        <w:t>your ADSs, to agree to the amendment and to be bound by the ADRs and the deposit agreement as amended</w:t>
      </w:r>
      <w:r>
        <w:rPr>
          <w:rFonts w:ascii="Arial" w:cs="Arial" w:eastAsia="Arial" w:hAnsi="Arial"/>
          <w:sz w:val="16"/>
          <w:szCs w:val="16"/>
          <w:color w:val="auto"/>
        </w:rPr>
        <w:t>. If any new laws are adopted which would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 agreement to be amended in order to comply therewith, we and the depositary may amend the deposit agreement in accordance with such laws and such amendment may become effective before notice thereof is given to ADS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After termination, the depositary and its agents will do the following under the deposit agreement but nothing else: collect distributions on the deposited securities, sell rights and other property and deliver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31" w:lineRule="exact"/>
        <w:rPr>
          <w:sz w:val="20"/>
          <w:szCs w:val="20"/>
          <w:color w:val="auto"/>
        </w:rPr>
      </w:pPr>
    </w:p>
    <w:p>
      <w:pPr>
        <w:jc w:val="both"/>
        <w:ind w:right="220" w:firstLine="348"/>
        <w:spacing w:after="0" w:line="369" w:lineRule="auto"/>
        <w:rPr>
          <w:sz w:val="20"/>
          <w:szCs w:val="20"/>
          <w:color w:val="auto"/>
        </w:rPr>
      </w:pPr>
      <w:r>
        <w:rPr>
          <w:rFonts w:ascii="Arial" w:cs="Arial" w:eastAsia="Arial" w:hAnsi="Arial"/>
          <w:sz w:val="15"/>
          <w:szCs w:val="15"/>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1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are only obligated to take the actions specifically set forth in the deposit agreement without gross negligence or willful misconduct;</w:t>
      </w:r>
    </w:p>
    <w:p>
      <w:pPr>
        <w:spacing w:after="0" w:line="275" w:lineRule="exact"/>
        <w:rPr>
          <w:rFonts w:ascii="Arial" w:cs="Arial" w:eastAsia="Arial" w:hAnsi="Arial"/>
          <w:sz w:val="16"/>
          <w:szCs w:val="16"/>
          <w:color w:val="auto"/>
        </w:rPr>
      </w:pPr>
    </w:p>
    <w:p>
      <w:pPr>
        <w:ind w:left="1080" w:right="40" w:hanging="532"/>
        <w:spacing w:after="0" w:line="25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Kingdom of Denmark or any other country, or of any other governmental authority or regulatory authority or stock exchange, or on account of the possible criminal or civil penalties or restraint, or by reason of any provision, present or future, of our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21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articles of association or provisions of or governing deposited securities;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shares for deposit or any other person believed by it in good faith to be competent to give such advice or information;</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are not liable for any special, consequential, indirect or punitive damages for any breach of the terms of the deposit agreement, or otherwise;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may rely upon any documents we believe in good faith to be genuine and to have been signed or presented by the proper party;</w:t>
      </w:r>
    </w:p>
    <w:p>
      <w:pPr>
        <w:spacing w:after="0" w:line="275"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disclaim any liability for any action or inaction or inaction of any of us or our respective controlling persons or agents in reliance upon the advice of or information from legal counsel, accountants, any person presenting shares for deposit, holders and beneficial owners (or authorized representatives) of ADSs, or any person believed in good faith to be competent to give such advice or information; and</w:t>
      </w:r>
    </w:p>
    <w:p>
      <w:pPr>
        <w:spacing w:after="0" w:line="173"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agree to indemnify the depositary under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and Arbitration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courts.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31"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shares, the depositary may require:</w:t>
      </w:r>
    </w:p>
    <w:p>
      <w:pPr>
        <w:spacing w:after="0" w:line="199" w:lineRule="exact"/>
        <w:rPr>
          <w:sz w:val="20"/>
          <w:szCs w:val="20"/>
          <w:color w:val="auto"/>
        </w:rPr>
      </w:pPr>
    </w:p>
    <w:p>
      <w:pPr>
        <w:ind w:left="1080" w:right="120" w:hanging="532"/>
        <w:spacing w:after="0" w:line="33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shares or other deposited securities and payment of the applicable fees, expenses and charges of the depositary;</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satisfactory proof of the identity and genuineness of any signature or any other matters contemplated in the deposit agreement; and</w:t>
      </w:r>
    </w:p>
    <w:p>
      <w:pPr>
        <w:spacing w:after="0" w:line="261" w:lineRule="exact"/>
        <w:rPr>
          <w:rFonts w:ascii="Arial" w:cs="Arial" w:eastAsia="Arial" w:hAnsi="Arial"/>
          <w:sz w:val="16"/>
          <w:szCs w:val="16"/>
          <w:color w:val="auto"/>
        </w:rPr>
      </w:pPr>
    </w:p>
    <w:p>
      <w:pPr>
        <w:ind w:left="1080" w:right="34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6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have the right to cancel your ADSs and withdraw the underlying shares at any time except:</w:t>
      </w:r>
    </w:p>
    <w:p>
      <w:pPr>
        <w:spacing w:after="0" w:line="239" w:lineRule="exact"/>
        <w:rPr>
          <w:sz w:val="20"/>
          <w:szCs w:val="20"/>
          <w:color w:val="auto"/>
        </w:rPr>
      </w:pPr>
    </w:p>
    <w:p>
      <w:pPr>
        <w:ind w:left="1080" w:right="160" w:hanging="532"/>
        <w:spacing w:after="0" w:line="331"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shares is blocked to permit voting at a shareholders' meeting; or (3) we are paying a dividend on our shares;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 or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depositary shall not knowingly accept for deposit under the deposit agreement any shares or other deposited securities required to be registered under the provisions of the Securities Act, unless a registration statement is in effect as to such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AND AMERICAN DEPOSITARY SHARES ELIGIBLE FOR FUTURE SALE</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Our shares are admitted to trading and official listing on Nasdaq Copenhagen. Future sales of our shares or ADSs, including shares issued upon the exercise of outstanding warrants, in the public market after this offering, or the perception that those sales may occur, could cause the prevailing market price for the ADSs to fall or impair our ability to raise equity capital in the future.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based on the number of shares outstanding as of December 31, 2018, and assuming (1) no exercise of the underwriters'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option to purchase additional ADSs and (2) no exercise of any of our outstanding warrants, we will have outstanding an aggregate of shares. All of our outstanding shares are freely tradable on Nasdaq Copenhagen. All of the ADSs to be sold in this offering (representing shares), and any ADSs sold upon exercise of the underwriters' option to purchase additional ADSs, will be freely tradable in the U.S. public market without restriction or further registration under the Securities Act of 1933, as amended, or the Securities Act, unless the ADSs are held by any of our "affiliates" as such term is defined in Rule 144 of the Securities Act (subject, in each case, to the terms of the lock-up agreements referred to below, as applicable). The number of ADSs available for sale immediately after this offering will be the number sold in this offering plus the number of ADSs available prior to this offering (reflecting any split or combination effected in conjunction with this offering) less any ADSs held by our directors and members of senior management, who will be subject to lock-up agreements for 90 days after the date of this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connection with this offering, we and all of our directors and members of senior management have agreed, subject to certain exceptions, with the underwriters not to dispose of or hedge any of our or their ADSs, shares or securities convertible into or exchangeable for ADSs or shares during the period from the date of the lock-up agreement continuing through the date that is 90 days after the date of this prospectus, except with the prior written consent of Merrill Lynch, Pierce, Fenner &amp; Smith Incorporated. See "Underwriting." Following the lock-up periods set forth in the agreements described above, and assuming that the underwriters do not release any parties from these agreements, all of the ADSs and shares that are held by these parties as of the date of this prospectus will be eligible for sale in the public market in compliance with Rule 144 and Regulation S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Rule 144 provides an exemption from the registration requirements of the Securities Act for restricted securities and securities held by certain affiliates of an issuer being sold in the United States, to U.S. persons or through U.S. securities markets. In general, once we have been subject to the public company reporting requirements of the Exchange Act for at least 90 days, a person (or persons whose securities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such securities in the U.S. public market without complying with the manner of sale, volume limitation or notice provisions of Rule 144, but subject to compliance with the public information requirements of Rule 144. If such a person has beneficially owned the securities proposed to be sold for at least one year, including the holding period of any prior owner other than "affiliates," then such person is entitled to sell such securities in the public market without complying with any of the requirements of Rule 144. In general, under Rule 144, as currently in effect, once we have been subject to the public company reporting requirements of the Exchange Act for at least 90 days, our "affiliates," as defined in Rule 144, who have beneficially owned the securities proposed to be sold for at least six months 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entitled to sell in the public market, and within any three-month period, a number of those securities that does not exceed the greater of:</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approximately immediately after this offering;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such sale.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Such sales under Rule 144 by our "affiliates" or persons selling ADSs on behalf of our "affiliates" are also subject to certain manner of sale provisions, notice requirements and to the availability of current public information about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may be sold outside the United States without registration in the United States being required.</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U.S. Internal Revenue Code of 1986, as amended, or the Code, and</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U.S. Treasury regulations promulgated thereunder, or the Treasury Regulations, as well as judicial and administrative interpretations thereof as in effect as of the date of this prospectus. All of the foregoing authorities are subject to change, which change could apply retroactively and could affect the tax consequences described below, and there can be no assurance that the U.S. Internal Revenue Service, or the IRS, or U.S. courts will agree with the tax consequences described in this summary. The Company undertakes no obligation to publicly update or otherwise revise this summary whether as a result of new Treasury Regulations, Code sections, judicial and administrative interpretations or otherwise.</w:t>
      </w:r>
    </w:p>
    <w:p>
      <w:pPr>
        <w:spacing w:after="0" w:line="170"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This summary applies only to U.S. Holders (as defined below) that purchase ADSs in this offering and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165"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dealers or traders in securities or currencies that use a mark-to-market method of accounting;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 exempt organizations, retirement plans, individual retirement accounts and other tax deferred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holding the ADSs as part of a straddle, hedging, conversion or integrated transaction for U.S. federal income tax purposes;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entity or arrangement classified as partnership for U.S. federal income tax purposes or investors therein;</w:t>
      </w:r>
    </w:p>
    <w:p>
      <w:pPr>
        <w:spacing w:after="0" w:line="252" w:lineRule="exact"/>
        <w:rPr>
          <w:rFonts w:ascii="Arial" w:cs="Arial" w:eastAsia="Arial" w:hAnsi="Arial"/>
          <w:sz w:val="18"/>
          <w:szCs w:val="18"/>
          <w:color w:val="auto"/>
        </w:rPr>
      </w:pPr>
    </w:p>
    <w:p>
      <w:pPr>
        <w:ind w:left="1080" w:right="580" w:hanging="532"/>
        <w:spacing w:after="0" w:line="331"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54"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the ADSs in connection with a trade or business conducted outside the United States;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that held, directly, indirectly or by attributions, ownership interest in us prior to this offering.</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discussion, the term "U.S. Holder" means a beneficial owner of the ADSs that is for U.S. federal income tax purposes:</w:t>
      </w:r>
    </w:p>
    <w:p>
      <w:pPr>
        <w:spacing w:after="0" w:line="252"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jc w:val="both"/>
        <w:ind w:left="1080" w:right="500" w:hanging="532"/>
        <w:spacing w:after="0" w:line="369" w:lineRule="auto"/>
        <w:tabs>
          <w:tab w:leader="none" w:pos="10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court within the United States and the control of one or more U.S. persons for all substantial decisions of the trust or (2) has a valid election in effect under applicable Treasury Regulations to be treated as a U.S. person.</w:t>
      </w:r>
    </w:p>
    <w:p>
      <w:pPr>
        <w:spacing w:after="0" w:line="11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U.S. federal income tax purposes, U.S. Holders of ADSs generally will be treated as the beneficial owners of the underlying shares represented by the ADSs and an exchange of ADSs for our shares generally will not be subject to U.S. federal income tax.</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Subject to the passive foreign investment company, or PFIC, rules discussed below, the gross amount of any distribution made by the Company to a 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17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United States, (2) the Company is not a PFIC (as discussed below) with respect to the relevant U.S. Holder for either its taxable year in which the dividend is paid or the preceding taxable year and (3) certain minimum holding period and other requirements are met.</w:t>
      </w:r>
    </w:p>
    <w:p>
      <w:pPr>
        <w:spacing w:after="0" w:line="166" w:lineRule="exact"/>
        <w:rPr>
          <w:sz w:val="20"/>
          <w:szCs w:val="20"/>
          <w:color w:val="auto"/>
        </w:rPr>
      </w:pPr>
    </w:p>
    <w:p>
      <w:pPr>
        <w:ind w:right="300" w:firstLine="351"/>
        <w:spacing w:after="0" w:line="317" w:lineRule="auto"/>
        <w:rPr>
          <w:sz w:val="20"/>
          <w:szCs w:val="20"/>
          <w:color w:val="auto"/>
        </w:rPr>
      </w:pPr>
      <w:r>
        <w:rPr>
          <w:rFonts w:ascii="Arial" w:cs="Arial" w:eastAsia="Arial" w:hAnsi="Arial"/>
          <w:sz w:val="15"/>
          <w:szCs w:val="15"/>
          <w:color w:val="auto"/>
        </w:rPr>
        <w:t>Under a published IRS Notice, common or ordinary shares, or ADSs representing such shares, are considered to be readily tradable on an established securities market in the United States if they are listed on the Nasdaq Global Select Market, as our ADSs are expected to be. However, based on existing guidance, it is unclear whether the shares will be considered to be readily tradable on an established securities market in the United States, because only the ADSs, and not the underlying shares, will be listed on a securities market in the United States. U.S. Holders should consult their tax advisors regarding the availability of the favorable rate applicable to qualified dividend income for any dividends the Company pays with respect to the ADSs.</w:t>
      </w:r>
    </w:p>
    <w:p>
      <w:pPr>
        <w:spacing w:after="0" w:line="15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amount of any distribution paid in Danish krone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16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a minimum holding period requirement), such taxes may be treated as non-U.S. taxes eligible for credit against such U.S. holder's U.S. federal income tax liability (to the extent not exceeding the withholding rate applicable to the U.S. Holder). In lieu of claiming a foreign tax credit, U.S. Holders may, at their election, deduct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186" w:lineRule="exact"/>
        <w:rPr>
          <w:sz w:val="20"/>
          <w:szCs w:val="20"/>
          <w:color w:val="auto"/>
        </w:rPr>
      </w:pPr>
    </w:p>
    <w:p>
      <w:pPr>
        <w:ind w:right="300" w:firstLine="348"/>
        <w:spacing w:after="0" w:line="331" w:lineRule="auto"/>
        <w:rPr>
          <w:sz w:val="20"/>
          <w:szCs w:val="20"/>
          <w:color w:val="auto"/>
        </w:rPr>
      </w:pPr>
      <w:r>
        <w:rPr>
          <w:rFonts w:ascii="Arial" w:cs="Arial" w:eastAsia="Arial" w:hAnsi="Arial"/>
          <w:sz w:val="16"/>
          <w:szCs w:val="16"/>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Dispositions of the ADSs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 term capital gain or loss if the U.S. Holder has held the ADS for more than one year at the time of disposition. For certain non-corporate taxpayers (including individuals), long term capital gains are subject to tax at favorable rates. The deductibility of capital losses is subject to limitations.</w:t>
      </w:r>
    </w:p>
    <w:p>
      <w:pPr>
        <w:spacing w:after="0" w:line="198"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Any gain or loss that a U.S. Holder recognizes on a sale or other taxable disposition of an ADS generally will be treated as U.S. source income or loss for U.S. foreign tax credit limitation purposes. U.S. Holders should consult their tax advisors regarding the proper treatment of any gain or loss in their particular circumstances, including the effects of any applicable income tax treaties.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Considerations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Based on the current and anticipated value of our assets and the nature and composition of the Company's income and assets, the Company does not expect to be a PFIC for our current taxable year ending December 31, 2018, or in the foreseeable future. However, the determination of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2018,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180"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non-U.S. corporation such as the Company will be treated as a PFIC for U.S. federal income tax purposes for any taxable year if, applying applicable look-through rules, either:</w:t>
      </w:r>
    </w:p>
    <w:p>
      <w:pPr>
        <w:spacing w:after="0" w:line="19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for purposes of the PFIC rules;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1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your holding period for the ADSs will be treated as an excess distribution. Under these rules:</w:t>
      </w:r>
    </w:p>
    <w:p>
      <w:pPr>
        <w:spacing w:after="0" w:line="183"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the U.S. Holder's holding period for the ADSs;</w:t>
      </w:r>
    </w:p>
    <w:p>
      <w:pPr>
        <w:spacing w:after="0" w:line="252"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spacing w:after="0" w:line="131"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16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16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should consult their own tax advisors regarding the application of the PFIC rules to their ownership of the ADSs.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Dividend payments with respect to the ADSs and proceeds from a sale, exchange, redemption or other taxable disposition of the ADSs made within the United States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DANISH INCOME TAX CONSIDERATIONS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The following is a summary of material Danish tax considerations relating to the ownership and disposition of ADSs. The summary is for general information purposes only and does not constitute exhaustive tax or legal advice.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w:t>
      </w:r>
    </w:p>
    <w:p>
      <w:pPr>
        <w:spacing w:after="0" w:line="16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In the context of the following section, "companies" mean entities that are treated as separate taxable entities under domestic tax laws of their jurisdiction of incorporation.</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The summary is based solely on the tax laws of Denmark in effect on the date of this prospectus. Danish tax laws may be subject to change, potentially with retroactive effect.</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Potential investors in the ADSs are advised to consult their tax advisors regarding the applicable tax consequences of ownership and disposition of the ADSs based on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ADSs Under Danish Tax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currently not clear under Danish tax legislation or case law how ADSs are to be treated for Danish tax purposes.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summary assumes that the ADS holder in respect of the ADSs is treated as the direct owner of the shares underlying the ADSs and accordingly as the shareholder for Danish domestic tax law purposes, and that the ADS holder is deemed the beneficial owner of any dividend distributed on the underlying shares for Danish domestic tax law purposes as well as under any applicable tax treaty.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the following deals with material Danish tax considerations relating to the ownership and disposition of listed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Tax Resident Individuals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 gains from the sale of shares realized by Danish tax resident individuals are taxed as share income at a rate of 27% on the first DKK 54,000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($8,700) (for cohabiting spouses, a total of DKK 108,000 ($17,401)) and at a rate of 42% on share income exceeding DKK 54,000 ($8,700) (for cohabiting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spouses over DKK 108,000 ($17,401)) (all 2019 amounts and thresholds). The threshold is subject to annual adjustments and include all share income included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the calculation (</w:t>
      </w:r>
      <w:r>
        <w:rPr>
          <w:rFonts w:ascii="Arial" w:cs="Arial" w:eastAsia="Arial" w:hAnsi="Arial"/>
          <w:sz w:val="18"/>
          <w:szCs w:val="18"/>
          <w:i w:val="1"/>
          <w:iCs w:val="1"/>
          <w:color w:val="auto"/>
        </w:rPr>
        <w:t>i.e.</w:t>
      </w:r>
      <w:r>
        <w:rPr>
          <w:rFonts w:ascii="Arial" w:cs="Arial" w:eastAsia="Arial" w:hAnsi="Arial"/>
          <w:sz w:val="18"/>
          <w:szCs w:val="18"/>
          <w:color w:val="auto"/>
        </w:rPr>
        <w:t>, all capital gains on shares and dividends derived by the individual or cohabiting spouses, respectively).</w:t>
      </w:r>
    </w:p>
    <w:p>
      <w:pPr>
        <w:spacing w:after="0" w:line="219"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Gains and losses on the sale of shares are calculated as the difference between the purchase price and the sales price. The purchase price is based on the average purchase price paid for the shares in the company (</w:t>
      </w:r>
      <w:r>
        <w:rPr>
          <w:rFonts w:ascii="Arial" w:cs="Arial" w:eastAsia="Arial" w:hAnsi="Arial"/>
          <w:sz w:val="16"/>
          <w:szCs w:val="16"/>
          <w:i w:val="1"/>
          <w:iCs w:val="1"/>
          <w:color w:val="auto"/>
        </w:rPr>
        <w:t>i.e.,</w:t>
      </w:r>
      <w:r>
        <w:rPr>
          <w:rFonts w:ascii="Arial" w:cs="Arial" w:eastAsia="Arial" w:hAnsi="Arial"/>
          <w:sz w:val="16"/>
          <w:szCs w:val="16"/>
          <w:color w:val="auto"/>
        </w:rPr>
        <w:t xml:space="preserve"> not the purchase price paid for each share).</w:t>
      </w:r>
    </w:p>
    <w:p>
      <w:pPr>
        <w:spacing w:after="0" w:line="14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Losses on the sale of listed shares can only be offset against other share income deriving from listed shares (</w:t>
      </w:r>
      <w:r>
        <w:rPr>
          <w:rFonts w:ascii="Arial" w:cs="Arial" w:eastAsia="Arial" w:hAnsi="Arial"/>
          <w:sz w:val="18"/>
          <w:szCs w:val="18"/>
          <w:i w:val="1"/>
          <w:iCs w:val="1"/>
          <w:color w:val="auto"/>
        </w:rPr>
        <w:t>i.e.</w:t>
      </w:r>
      <w:r>
        <w:rPr>
          <w:rFonts w:ascii="Arial" w:cs="Arial" w:eastAsia="Arial" w:hAnsi="Arial"/>
          <w:sz w:val="18"/>
          <w:szCs w:val="18"/>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Dividends paid to Danish tax resident individuals are included in the individual's share income and taxed as such, as outlined above. Dividends paid to Danish tax resident individuals are generally subject to withholding tax at the rate of 27%.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Non-Danish Tax Resident Individuals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Non-Danish tax resident individuals, including individuals tax resident in the United States, are generally not taxed in Denmark on gains realized on the sale of shares, subject to certain anti-avoidance rules (see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Dividends paid to non-Danish tax resident individuals, including individuals tax resident in the United States, are generally subject to withholding tax at the rate of 27%. No additional tax will be imposed.</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the shareholder is tax resident in a state with which Denmark has entered into a tax treaty and is entitled to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6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Similarly, Danish domestic tax law provides for a 15% tax rate, if the shareholder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application of the 15% tax rate that the shareholder together with related shareholders holds less than 10% of the share capital of the company.</w:t>
      </w:r>
    </w:p>
    <w:p>
      <w:pPr>
        <w:spacing w:after="0" w:line="166" w:lineRule="exact"/>
        <w:rPr>
          <w:sz w:val="20"/>
          <w:szCs w:val="20"/>
          <w:color w:val="auto"/>
        </w:rPr>
      </w:pPr>
    </w:p>
    <w:p>
      <w:pPr>
        <w:ind w:right="40" w:firstLine="341"/>
        <w:spacing w:after="0" w:line="331" w:lineRule="auto"/>
        <w:rPr>
          <w:sz w:val="20"/>
          <w:szCs w:val="20"/>
          <w:color w:val="auto"/>
        </w:rPr>
      </w:pPr>
      <w:r>
        <w:rPr>
          <w:rFonts w:ascii="Arial" w:cs="Arial" w:eastAsia="Arial" w:hAnsi="Arial"/>
          <w:sz w:val="16"/>
          <w:szCs w:val="16"/>
          <w:color w:val="auto"/>
        </w:rPr>
        <w:t xml:space="preserve">Any reduced tax rate according to an applicable tax treaty and/or Danish domestic tax law will not affect the withholding rate (27%). In order to receive a refund (from 27% to </w:t>
      </w:r>
      <w:r>
        <w:rPr>
          <w:rFonts w:ascii="Arial" w:cs="Arial" w:eastAsia="Arial" w:hAnsi="Arial"/>
          <w:sz w:val="16"/>
          <w:szCs w:val="16"/>
          <w:i w:val="1"/>
          <w:iCs w:val="1"/>
          <w:color w:val="auto"/>
        </w:rPr>
        <w:t>e.g.</w:t>
      </w:r>
      <w:r>
        <w:rPr>
          <w:rFonts w:ascii="Arial" w:cs="Arial" w:eastAsia="Arial" w:hAnsi="Arial"/>
          <w:sz w:val="16"/>
          <w:szCs w:val="16"/>
          <w:color w:val="auto"/>
        </w:rPr>
        <w:t>, 15%), the shareholder must make a claim for such refund through certain certification procedures.</w:t>
      </w:r>
    </w:p>
    <w:p>
      <w:pPr>
        <w:spacing w:after="0" w:line="141"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As a general rule, the refund shall be paid within six months following the Danish Tax Agency's receipt of the refund claim. If the refund is paid later than six months after the receipt of the claim, interest will in general be calculated on the amount of refund. For 2016 and subsequent years, the rate per month will be 0.4%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16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Danish Tax Agency has recently published new guidance on the documentation necessary for processing refund claims. The guidance is available in English from the Danish tax authorities' website, https://skat.dk/skat.aspx?oId=2244931&amp;vId=0&amp;lang=US. The information on, or information that can be accessed through, such website is not part of and should not be incorporated by reference into this prospectus. We have included such website address as an inactive textual reference only.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Tax Resident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purpose of taxation of sales of shares made by corporate shareholders (and dividends received by corporate shareholders, see below), a distinction is made between: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"Subsidiary Shares," which are generally defined as shares owned by a shareholder holding at least 10% of the share capital of the issuing company;</w:t>
      </w: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"Group Shares," which are generally defined as shares in a company in which the shareholder of the company and the issuing company are subject to Danish joint taxation or satisfy the requirements for international joint taxation under Danish law;</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"Tax-Exempt Portfolio Shares," which are generally defined as unlisted shares owned by a shareholder holding less than 10% of the share capital of the issuing company;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"Taxable Portfolio Shares," which are defined as shares that do not qualify as Subsidiary Shares, Group Shares or Tax-Exempt Portfolio Shares.</w:t>
      </w:r>
    </w:p>
    <w:p>
      <w:pPr>
        <w:spacing w:after="0" w:line="248" w:lineRule="exact"/>
        <w:rPr>
          <w:sz w:val="20"/>
          <w:szCs w:val="20"/>
          <w:color w:val="auto"/>
        </w:rPr>
      </w:pPr>
    </w:p>
    <w:p>
      <w:pPr>
        <w:ind w:right="600" w:firstLine="351"/>
        <w:spacing w:after="0" w:line="331" w:lineRule="auto"/>
        <w:rPr>
          <w:sz w:val="20"/>
          <w:szCs w:val="20"/>
          <w:color w:val="auto"/>
        </w:rPr>
      </w:pPr>
      <w:r>
        <w:rPr>
          <w:rFonts w:ascii="Arial" w:cs="Arial" w:eastAsia="Arial" w:hAnsi="Arial"/>
          <w:sz w:val="16"/>
          <w:szCs w:val="16"/>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Capital gains on listed Taxable Portfolio Shares are taxable at the general corporate tax rate of 22% and losses on such shares are generally deductible.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listed Taxable Portfolio Shares are taxed under the mark-to-market principle irrespective of realization.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received on Subsidiary Shares and Group Shares are generally tax-exempt, subject to certain anti-avoidance rules (see below).</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received on Taxable Portfolio Shares are taxable at the general corporate tax rate of 22% and tax is generally withheld similarly at 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Non-Danish Tax Resident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Non-Danish tax resident companies, including companies tax resident in the United States, are generally not taxed in Denmark on gains realized on the sale of shares, subject to certain anti-avoidance rules (see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6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other cases, dividends will generally be subject to tax at a rate of 22% effective for dividends distributed on or after July 1, 2016. However, the withholding rate is 27%, meaning that all foreign corporate shareholders receiving taxable dividends distributed from Danish companies on or after July 1, 2016 will be able to ask for a refund of at least 5% of the total dividend.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Further, in the event that the shareholder is tax resident in a state with which Denmark has entered into a tax treaty and is entitled to the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Similarly, Danish domestic tax law provides for an applicable 15% tax rate, if the shareholder holds less than 10% of the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eligibility for the 15% tax rate that the shareholder together with related shareholders holds less than 10% of the nominal share capital of the company.</w:t>
      </w:r>
    </w:p>
    <w:p>
      <w:pPr>
        <w:spacing w:after="0" w:line="16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194"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a general rule, the refund shall be paid within six months following the Danish Tax Agency's receipt of the refund claim. If the refund is paid later than six months after the receipt of the claim, interest will be calculated on the amount of refund. For 2016 and subsequent years, the rate per month will be 0.4%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6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Danish Tax Agency has recently published new guidance on the documentation necessary for processing refund claims. The guidance is available in English from the Danish tax authorities' website, https://skat.dk/skat.aspx?oId=2244931&amp;vId=0&amp;lang=US. The information on, or information that can be accessed through, such website is not part of and should not be incorporated by reference into this prospectus. We have included such website address as an inactive textual reference only.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Danish anti-avoidance rules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Payments may be subject to Danish withholding tax irrespective of the above, if the ADS holder is not the beneficial owner of the shares and dividend (e.g. if the ADS holder reassigns the payments to a person or entity not itself entitled to the above exemptions).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Further, Danish law has certain general anti-avoidance rules, or the GAAR, which focus on substance over form. Under these rules the Danish tax authorities can set aside a setup, which constitutes a fictitious arrangement, which is carried out for the main purposes (or with one of the main purposes) of tax avoidance and resulting in no taxes being paid. This is the case where the relevant scheme presents a number of unusual features which suggest that it had not been entered into for commercial business reasons but to unduly obtain tax benefits. Subject to the conditions of the GAAR an investor might be denied the benefits of the Parent-Subsidiary Directive (2011/96/EU) or a tax treaty, and Danish withholding tax of 27% will in such cases be levied.</w:t>
      </w:r>
    </w:p>
    <w:p>
      <w:pPr>
        <w:spacing w:after="0" w:line="169"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Finally, it should be noted that it is the shareholder who owns the share, i.e. the ADS, at the time of the general meeting where the decision to distribute dividend is passed who is shareholder, who is subject to Danish taxation on the dividend, and thereby is entitled to make a tax reclaim if 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Merrill Lynch, Pierce, Fenner &amp; Smith Incorporated is acting as representative of each of the underwriters named below. Subject to the terms and conditions set forth in an underwriting agreement among us and the underwriters, we have agreed to issue shares which the underwriters will subscribe for and, upon issuance, deposit with the depositary, allowing the depositary to issue the ADSs which are subject to this offering. Consequently, the underwriters have agreed, severally and not jointly, to subscribe for the shares equivalent to the number of ADSs set forth opposite its name below.</w:t>
      </w:r>
    </w:p>
    <w:p>
      <w:pPr>
        <w:spacing w:after="0" w:line="162" w:lineRule="exact"/>
        <w:rPr>
          <w:sz w:val="20"/>
          <w:szCs w:val="20"/>
          <w:color w:val="auto"/>
        </w:rPr>
      </w:pPr>
    </w:p>
    <w:p>
      <w:pPr>
        <w:ind w:left="1700"/>
        <w:spacing w:after="0"/>
        <w:tabs>
          <w:tab w:leader="none" w:pos="8300" w:val="left"/>
        </w:tabs>
        <w:rPr>
          <w:sz w:val="20"/>
          <w:szCs w:val="20"/>
          <w:color w:val="auto"/>
        </w:rPr>
      </w:pPr>
      <w:r>
        <w:rPr>
          <w:rFonts w:ascii="Arial" w:cs="Arial" w:eastAsia="Arial" w:hAnsi="Arial"/>
          <w:sz w:val="13"/>
          <w:szCs w:val="13"/>
          <w:b w:val="1"/>
          <w:bCs w:val="1"/>
          <w:u w:val="single" w:color="auto"/>
          <w:color w:val="auto"/>
        </w:rPr>
        <w:t>Underwriter</w:t>
      </w:r>
      <w:r>
        <w:rPr>
          <w:sz w:val="20"/>
          <w:szCs w:val="20"/>
          <w:color w:val="auto"/>
        </w:rPr>
        <w:tab/>
      </w:r>
      <w:r>
        <w:rPr>
          <w:rFonts w:ascii="Arial" w:cs="Arial" w:eastAsia="Arial" w:hAnsi="Arial"/>
          <w:sz w:val="13"/>
          <w:szCs w:val="13"/>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7620</wp:posOffset>
            </wp:positionV>
            <wp:extent cx="7372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1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-125730</wp:posOffset>
            </wp:positionV>
            <wp:extent cx="4989195" cy="274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89195" cy="274320"/>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Incorporated</w:t>
      </w:r>
    </w:p>
    <w:p>
      <w:pPr>
        <w:spacing w:after="0" w:line="1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-130175</wp:posOffset>
            </wp:positionV>
            <wp:extent cx="7372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7372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31750</wp:posOffset>
            </wp:positionV>
            <wp:extent cx="7372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subscribe for all of the shares issued by us under the underwriting agreement if any of such shares are subscribed for. If an underwriter defaults, the underwriting agreement provides that the subscription commitments of the nondefaulting underwriters may be increased or the underwriting agreement may be terminated.</w:t>
      </w:r>
    </w:p>
    <w:p>
      <w:pPr>
        <w:spacing w:after="0" w:line="16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underwriters are offering the ADSs, when, as and if issued to and accepted by them, subject to approval of legal matters by their counsel, including the validity of the ADSs,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 has advised us that the underwriters propose initially to offer the ADSs to the public at the public offering price set forth on the cover</w:t>
      </w:r>
    </w:p>
    <w:p>
      <w:pPr>
        <w:spacing w:after="0" w:line="38"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page of this prospectus and to dealers at that price less a concession not in excess of $ per ADS. After the initial offering, the public offering price, concession or any other term of the offering may be changed.</w:t>
      </w:r>
    </w:p>
    <w:p>
      <w:pPr>
        <w:spacing w:after="0" w:line="193"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shows the public offering price, underwriting commission and proceeds before expenses to us. The information assumes either no exercise or full exercise by the underwriters of their option to purchase additional ADSs.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Per ADS</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Without Option</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With Option</w:t>
            </w:r>
          </w:p>
        </w:tc>
        <w:tc>
          <w:tcPr>
            <w:tcW w:w="160" w:type="dxa"/>
            <w:vAlign w:val="bottom"/>
          </w:tcPr>
          <w:p>
            <w:pPr>
              <w:spacing w:after="0"/>
              <w:rPr>
                <w:sz w:val="14"/>
                <w:szCs w:val="14"/>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6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Underwriting commission</w:t>
            </w:r>
          </w:p>
        </w:tc>
        <w:tc>
          <w:tcPr>
            <w:tcW w:w="116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6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7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gridSpan w:val="2"/>
          </w:tcPr>
          <w:p>
            <w:pPr>
              <w:ind w:left="360"/>
              <w:spacing w:after="0"/>
              <w:rPr>
                <w:sz w:val="20"/>
                <w:szCs w:val="20"/>
                <w:color w:val="auto"/>
              </w:rPr>
            </w:pPr>
            <w:r>
              <w:rPr>
                <w:rFonts w:ascii="Arial" w:cs="Arial" w:eastAsia="Arial" w:hAnsi="Arial"/>
                <w:sz w:val="18"/>
                <w:szCs w:val="18"/>
                <w:color w:val="auto"/>
                <w:w w:val="91"/>
              </w:rPr>
              <w:t>The expenses of the offering, not including the underwriting commission, are estimated at $</w:t>
            </w:r>
          </w:p>
        </w:tc>
        <w:tc>
          <w:tcPr>
            <w:tcW w:w="2360" w:type="dxa"/>
            <w:vAlign w:val="bottom"/>
          </w:tcPr>
          <w:p>
            <w:pPr>
              <w:ind w:left="260"/>
              <w:spacing w:after="0"/>
              <w:rPr>
                <w:sz w:val="20"/>
                <w:szCs w:val="20"/>
                <w:color w:val="auto"/>
              </w:rPr>
            </w:pPr>
            <w:r>
              <w:rPr>
                <w:rFonts w:ascii="Arial" w:cs="Arial" w:eastAsia="Arial" w:hAnsi="Arial"/>
                <w:sz w:val="18"/>
                <w:szCs w:val="18"/>
                <w:color w:val="auto"/>
              </w:rPr>
              <w:t>and are payable by us.</w:t>
            </w:r>
          </w:p>
        </w:tc>
        <w:tc>
          <w:tcPr>
            <w:tcW w:w="1820" w:type="dxa"/>
            <w:vAlign w:val="bottom"/>
          </w:tcPr>
          <w:p>
            <w:pPr>
              <w:spacing w:after="0"/>
              <w:rPr>
                <w:sz w:val="19"/>
                <w:szCs w:val="19"/>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Option to Purchase Additional ADSs</w:t>
            </w: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26"/>
        </w:trPr>
        <w:tc>
          <w:tcPr>
            <w:tcW w:w="9420" w:type="dxa"/>
            <w:vAlign w:val="bottom"/>
            <w:gridSpan w:val="3"/>
          </w:tcPr>
          <w:p>
            <w:pPr>
              <w:ind w:left="360"/>
              <w:spacing w:after="0"/>
              <w:rPr>
                <w:sz w:val="20"/>
                <w:szCs w:val="20"/>
                <w:color w:val="auto"/>
              </w:rPr>
            </w:pPr>
            <w:r>
              <w:rPr>
                <w:rFonts w:ascii="Arial" w:cs="Arial" w:eastAsia="Arial" w:hAnsi="Arial"/>
                <w:sz w:val="18"/>
                <w:szCs w:val="18"/>
                <w:color w:val="auto"/>
                <w:w w:val="90"/>
              </w:rPr>
              <w:t>We have granted an option to the underwriters, exercisable for 30 days after the date of this prospectus, to subscribe for up to</w:t>
            </w:r>
          </w:p>
        </w:tc>
        <w:tc>
          <w:tcPr>
            <w:tcW w:w="1820" w:type="dxa"/>
            <w:vAlign w:val="bottom"/>
          </w:tcPr>
          <w:p>
            <w:pPr>
              <w:ind w:left="280"/>
              <w:spacing w:after="0"/>
              <w:rPr>
                <w:sz w:val="20"/>
                <w:szCs w:val="20"/>
                <w:color w:val="auto"/>
              </w:rPr>
            </w:pPr>
            <w:r>
              <w:rPr>
                <w:rFonts w:ascii="Arial" w:cs="Arial" w:eastAsia="Arial" w:hAnsi="Arial"/>
                <w:sz w:val="18"/>
                <w:szCs w:val="18"/>
                <w:color w:val="auto"/>
              </w:rPr>
              <w:t>additional shares</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representing</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ADSs at the public offering price, less the underwriting commission. If the underwriters exercise this option, each will be</w:t>
            </w:r>
          </w:p>
        </w:tc>
      </w:tr>
      <w:tr>
        <w:trPr>
          <w:trHeight w:val="432"/>
        </w:trPr>
        <w:tc>
          <w:tcPr>
            <w:tcW w:w="1140" w:type="dxa"/>
            <w:vAlign w:val="bottom"/>
          </w:tcPr>
          <w:p>
            <w:pPr>
              <w:spacing w:after="0"/>
              <w:rPr>
                <w:sz w:val="24"/>
                <w:szCs w:val="24"/>
                <w:color w:val="auto"/>
              </w:rPr>
            </w:pPr>
          </w:p>
        </w:tc>
        <w:tc>
          <w:tcPr>
            <w:tcW w:w="5920" w:type="dxa"/>
            <w:vAlign w:val="bottom"/>
          </w:tcPr>
          <w:p>
            <w:pPr>
              <w:jc w:val="right"/>
              <w:ind w:right="1212"/>
              <w:spacing w:after="0"/>
              <w:rPr>
                <w:sz w:val="20"/>
                <w:szCs w:val="20"/>
                <w:color w:val="auto"/>
              </w:rPr>
            </w:pPr>
            <w:r>
              <w:rPr>
                <w:rFonts w:ascii="Arial" w:cs="Arial" w:eastAsia="Arial" w:hAnsi="Arial"/>
                <w:sz w:val="18"/>
                <w:szCs w:val="18"/>
                <w:color w:val="auto"/>
              </w:rPr>
              <w:t>233</w:t>
            </w: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obligated, subject to conditions contained in the underwriting agreement, to subscribe for a number of additional shares representing the number of ADSs proportionate to that underwriter's initial amount reflected in the above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300" w:firstLine="348"/>
        <w:spacing w:after="0" w:line="335" w:lineRule="auto"/>
        <w:rPr>
          <w:sz w:val="20"/>
          <w:szCs w:val="20"/>
          <w:color w:val="auto"/>
        </w:rPr>
      </w:pPr>
      <w:r>
        <w:rPr>
          <w:rFonts w:ascii="Arial" w:cs="Arial" w:eastAsia="Arial" w:hAnsi="Arial"/>
          <w:sz w:val="15"/>
          <w:szCs w:val="15"/>
          <w:color w:val="auto"/>
        </w:rPr>
        <w:t>We, our senior management and our directors have agreed not to sell or transfer any shares or ADSs or securities convertible into, exchangeable for, exercisable for, or repayable with shares or ADSs, for 90 days after the date of this prospectus without first obtaining the written consent of Merrill Lynch, Pierce, Fenner &amp; Smith Incorporated. Specifically, we and these other persons have agreed, with certain limited exceptions, not to directly or indirectly</w:t>
      </w:r>
    </w:p>
    <w:p>
      <w:pPr>
        <w:spacing w:after="0" w:line="155"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offer, pledge, sell or contract to sell any shares or ADSs,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sell any option or contract to purchase any shares or ADSs,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purchase any option or contract to sell any shares or ADSs,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shares or ADSs,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dispose of or transfer any shares or ADSs,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shares or ADSs, or</w:t>
      </w:r>
    </w:p>
    <w:p>
      <w:pPr>
        <w:spacing w:after="0" w:line="238" w:lineRule="exact"/>
        <w:rPr>
          <w:rFonts w:ascii="Arial" w:cs="Arial" w:eastAsia="Arial" w:hAnsi="Arial"/>
          <w:sz w:val="18"/>
          <w:szCs w:val="18"/>
          <w:color w:val="auto"/>
        </w:rPr>
      </w:pPr>
    </w:p>
    <w:p>
      <w:pPr>
        <w:ind w:left="1080" w:right="440" w:hanging="532"/>
        <w:spacing w:after="0" w:line="331"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shares or ADSs whether any such swap or transaction is to be settled by delivery of shares or ADSs or other securities, in cash or otherwise.</w:t>
      </w:r>
    </w:p>
    <w:p>
      <w:pPr>
        <w:spacing w:after="0" w:line="14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This lock-up provision applies to shares or ADSs and to securities convertible into, or exchangeable or exercisable for, or repayable with shares or ADSs owned now or acquired later by the person executing the agreement, including such shares, ADSs or securities for which the person executing the agreement has or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apply to list our ADSs on the Nasdaq Global Select Market under the symbol "GMAB."</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Before this offering, neither our shares nor our ADSs have been listed for trading on an exchange in the United States. However, our shares are listed on Nasdaq Copenhagen under the symbol "GEN," and our existing ADSs are traded on the U.S. over-the-counter market under the symbol "GMXAY." The initial public offering price of our ADSs will be determined through negotiations between us and the representative and based in large part on the closing price of our shares on Nasdaq Copenhagen. In addition to the closing price of our shares on Nasdaq Copenhagen, the factors to be considered in determining the initial public offering price are:</w:t>
      </w:r>
    </w:p>
    <w:p>
      <w:pPr>
        <w:spacing w:after="0" w:line="22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 believes to be comparable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 active trading market for the ADSs may not develop. It is also possible that after the offering the ADSs will not trade in the public market at or above the initial public offering price.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do not expect to sell more than 5% of the ADSs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Until the distribution of the ADSs is completed, SEC rules may limit underwriters and selling group members from bidding for and purchasing our ADSs.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representative may engage in transactions that stabilize the price of the ADSs, such as bids or purchases to peg, fix or maintain that price.</w:t>
      </w:r>
    </w:p>
    <w:p>
      <w:pPr>
        <w:spacing w:after="0" w:line="24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the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granted to them.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76"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 has repurchased ADSs sold by or for the account of such underwriter in stabilizing or short covering transactions.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Select Market, in the over-the-counter market or otherwise.</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 will engage in these transactions or that these transactions, once commenced, will not be discontinued without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right="120" w:firstLine="351"/>
        <w:spacing w:after="0" w:line="369"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relation to each member state of the European Economic Area, each a "Member State", no offer of ADSs which are the subject of the offering has been, or will be made to the public in that Member State, other than under the following exemptions under the Prospectus Directive:</w:t>
      </w:r>
    </w:p>
    <w:p>
      <w:pPr>
        <w:spacing w:after="0" w:line="154"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640" w:firstLine="351"/>
        <w:spacing w:after="0" w:line="33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referred to in (a) to (c) above shall result in a requirement for the Company or the representative to publish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pursuant to Article 3 of the Prospectus Directive, or supplement a prospectus pursuant to Article 16 of the Prospectus Directive.</w:t>
      </w:r>
    </w:p>
    <w:p>
      <w:pPr>
        <w:spacing w:after="0" w:line="141" w:lineRule="exact"/>
        <w:rPr>
          <w:sz w:val="20"/>
          <w:szCs w:val="20"/>
          <w:color w:val="auto"/>
        </w:rPr>
      </w:pPr>
    </w:p>
    <w:p>
      <w:pPr>
        <w:ind w:right="180" w:firstLine="351"/>
        <w:spacing w:after="0" w:line="285" w:lineRule="auto"/>
        <w:rPr>
          <w:sz w:val="20"/>
          <w:szCs w:val="20"/>
          <w:color w:val="auto"/>
        </w:rPr>
      </w:pPr>
      <w:r>
        <w:rPr>
          <w:rFonts w:ascii="Arial" w:cs="Arial" w:eastAsia="Arial" w:hAnsi="Arial"/>
          <w:sz w:val="16"/>
          <w:szCs w:val="16"/>
          <w:color w:val="auto"/>
        </w:rPr>
        <w:t>Each person located in a Member State to whom any offer of ADSs is made or who receives any communication in respect of an offer of ADSs, or who initially acquires any ADSs will be deemed to have represented, warranted, acknowledged and agreed to and with the representative and the Company that</w:t>
      </w:r>
    </w:p>
    <w:p>
      <w:pPr>
        <w:spacing w:after="0" w:line="1" w:lineRule="exact"/>
        <w:rPr>
          <w:sz w:val="20"/>
          <w:szCs w:val="20"/>
          <w:color w:val="auto"/>
        </w:rPr>
      </w:pPr>
    </w:p>
    <w:p>
      <w:pPr>
        <w:ind w:firstLine="8"/>
        <w:spacing w:after="0" w:line="290" w:lineRule="auto"/>
        <w:tabs>
          <w:tab w:leader="none" w:pos="2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a "qualified investor" within the meaning of the law in that Member State implementing Article 2(1)(e) of the Prospectus Directive; and (2) in the case of any ADSs acquired by it as a financial intermediary as that term is used in Article 3(2) of the Prospectus Directive, the ADSs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 has been given to the offer or resale; or where ADSs have been acquired by it on behalf of persons in any Member State other than qualified investors, the offer of those ADSs to it is not treated under the Prospectus Directive as having been made to such persons.</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the representative and their respective affiliates will rely upon the truth and accuracy of the foregoing representations, acknowledgments and agreements.</w:t>
      </w:r>
    </w:p>
    <w:p>
      <w:pPr>
        <w:spacing w:after="0" w:line="186"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This prospectus has been prepared on the basis that any offer of ADSs in any Member State will be made pursuant to an exemption under the Prospectus Directive from the requirement to publish a prospectus for offers of ADSs. Accordingly any person making or intending to make an offer in that Member State of ADSs which are the subject of the offering contemplated in this prospectus may only do so in circumstances in which no obligation arises for the Company or the representative to publish a prospectus pursuant to Article 3 of the Prospectus Directive in relation to such offer. Neither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nor the representative has authorized, nor do they authorize, the making of any offer of ADSs in circumstances in which an obligation arises for the Company or the representative to publish a prospectus for such offer.</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ADSs in any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w:t>
      </w:r>
    </w:p>
    <w:p>
      <w:pPr>
        <w:spacing w:after="0" w:line="1" w:lineRule="exact"/>
        <w:rPr>
          <w:sz w:val="20"/>
          <w:szCs w:val="20"/>
          <w:color w:val="auto"/>
        </w:rPr>
      </w:pPr>
    </w:p>
    <w:p>
      <w:pPr>
        <w:jc w:val="both"/>
        <w:ind w:right="40" w:firstLine="8"/>
        <w:spacing w:after="0" w:line="253" w:lineRule="auto"/>
        <w:tabs>
          <w:tab w:leader="none" w:pos="2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6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ADSs have been or will be filed with or approved by any Swiss regulatory authority. In particular, this document will not be filed with, and the offer of ADSs will not be supervised by, the Swiss Financial Market Supervisory Authority FINMA, or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9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6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authorities in effect at the relevant time. For the purposes of this paragraph, "Japanese Person" shall mean any person resident in Japan, including any corporation or other entity organized under the laws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239" w:lineRule="exact"/>
        <w:rPr>
          <w:sz w:val="20"/>
          <w:szCs w:val="20"/>
          <w:color w:val="auto"/>
        </w:rPr>
      </w:pPr>
    </w:p>
    <w:p>
      <w:pPr>
        <w:ind w:left="1080" w:right="140" w:hanging="532"/>
        <w:spacing w:after="0" w:line="331"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7"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200"/>
        <w:spacing w:after="0" w:line="331"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54" w:lineRule="exact"/>
        <w:rPr>
          <w:sz w:val="20"/>
          <w:szCs w:val="20"/>
          <w:color w:val="auto"/>
        </w:rPr>
      </w:pPr>
    </w:p>
    <w:p>
      <w:pPr>
        <w:ind w:left="1080" w:right="36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ADSs must be made in accordance with an exemption from, or in a transaction not subject to, the prospectus requirements of applicable securities laws.</w:t>
      </w:r>
    </w:p>
    <w:p>
      <w:pPr>
        <w:spacing w:after="0" w:line="16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OF THIS OFFERING</w:t>
      </w:r>
    </w:p>
    <w:p>
      <w:pPr>
        <w:spacing w:after="0" w:line="23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commission, payable by us in connection with the sale of the ADSs being registered. All amounts are estimates except for the SEC registration fee, the Financial Industry Regulatory Authority, or FINRA, filing fee and the Nasdaq Global Select Market listing fee.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0" w:type="dxa"/>
            <w:vAlign w:val="bottom"/>
          </w:tcPr>
          <w:p>
            <w:pPr>
              <w:jc w:val="right"/>
              <w:ind w:right="26"/>
              <w:spacing w:after="0"/>
              <w:rPr>
                <w:sz w:val="20"/>
                <w:szCs w:val="20"/>
                <w:color w:val="auto"/>
              </w:rPr>
            </w:pPr>
            <w:r>
              <w:rPr>
                <w:rFonts w:ascii="Arial" w:cs="Arial" w:eastAsia="Arial" w:hAnsi="Arial"/>
                <w:sz w:val="13"/>
                <w:szCs w:val="13"/>
                <w:b w:val="1"/>
                <w:bCs w:val="1"/>
                <w:color w:val="auto"/>
              </w:rPr>
              <w:t>Amount to</w:t>
            </w: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60" w:type="dxa"/>
            <w:vAlign w:val="bottom"/>
            <w:gridSpan w:val="3"/>
          </w:tcPr>
          <w:p>
            <w:pPr>
              <w:ind w:left="1700"/>
              <w:spacing w:after="0"/>
              <w:rPr>
                <w:sz w:val="20"/>
                <w:szCs w:val="20"/>
                <w:color w:val="auto"/>
              </w:rPr>
            </w:pPr>
            <w:r>
              <w:rPr>
                <w:rFonts w:ascii="Arial" w:cs="Arial" w:eastAsia="Arial" w:hAnsi="Arial"/>
                <w:sz w:val="13"/>
                <w:szCs w:val="13"/>
                <w:b w:val="1"/>
                <w:bCs w:val="1"/>
                <w:color w:val="auto"/>
              </w:rPr>
              <w:t>Item</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Arial" w:cs="Arial" w:eastAsia="Arial" w:hAnsi="Arial"/>
                <w:sz w:val="13"/>
                <w:szCs w:val="13"/>
                <w:b w:val="1"/>
                <w:bCs w:val="1"/>
                <w:color w:val="auto"/>
              </w:rPr>
              <w:t>be Paid</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0" w:type="dxa"/>
            <w:vAlign w:val="bottom"/>
            <w:tcBorders>
              <w:right w:val="single" w:sz="8" w:color="CCEEFF"/>
            </w:tcBorders>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36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6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1960" w:type="dxa"/>
            <w:vAlign w:val="bottom"/>
            <w:gridSpan w:val="2"/>
          </w:tcPr>
          <w:p>
            <w:pPr>
              <w:ind w:left="17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2840" w:type="dxa"/>
            <w:vAlign w:val="bottom"/>
            <w:gridSpan w:val="2"/>
          </w:tcPr>
          <w:p>
            <w:pPr>
              <w:ind w:left="80"/>
              <w:spacing w:after="0"/>
              <w:rPr>
                <w:sz w:val="20"/>
                <w:szCs w:val="20"/>
                <w:color w:val="auto"/>
              </w:rPr>
            </w:pPr>
            <w:r>
              <w:rPr>
                <w:rFonts w:ascii="Arial" w:cs="Arial" w:eastAsia="Arial" w:hAnsi="Arial"/>
                <w:sz w:val="13"/>
                <w:szCs w:val="13"/>
                <w:color w:val="auto"/>
              </w:rPr>
              <w:t>To be completed by amendment.</w:t>
            </w:r>
          </w:p>
        </w:tc>
        <w:tc>
          <w:tcPr>
            <w:tcW w:w="3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0" w:type="dxa"/>
            <w:vAlign w:val="bottom"/>
          </w:tcPr>
          <w:p>
            <w:pPr>
              <w:jc w:val="right"/>
              <w:ind w:right="2752"/>
              <w:spacing w:after="0"/>
              <w:rPr>
                <w:sz w:val="20"/>
                <w:szCs w:val="20"/>
                <w:color w:val="auto"/>
              </w:rPr>
            </w:pPr>
            <w:r>
              <w:rPr>
                <w:rFonts w:ascii="Arial" w:cs="Arial" w:eastAsia="Arial" w:hAnsi="Arial"/>
                <w:sz w:val="18"/>
                <w:szCs w:val="18"/>
                <w:color w:val="auto"/>
              </w:rPr>
              <w:t>241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validity of the issuance of the shares underlying the ADSs offered in this prospectus and certain other matters of Danish law will be passed upon for us by Kromann Reumert, Copenhagen, Denmark. Certain matters of U.S. law will be passed upon for us by Shearman &amp; Sterling LLP, New York, New York. Certain matters of U.S. law will be passed upon for the underwriters by Latham &amp; Watkins LLP, and certain matters of Danish law will be passed upon for the underwriters by Bech-Bruun Law Firm P/S, Copenhagen, Denmark.</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consolidated financial statements as of and for the year ended December 31, 2017 included in this prospectus have been so included in reliance on the report (which contains an explanatory paragraph relating to a departure from IFRS for lack of comparative figures as disclosed in Note 1.1 to the consolidated financials) of PricewaterhouseCoopers Statsautoriseret Revisionspartnerselskab, an independent registered public accounting firm, given on the authority of said firm as experts in auditing and accounting. The offices of PricewaterhouseCoopers Statsautoriseret Revisionspartnerselskab are located at Strandvejen 44, DK 2900 Hellerup, Denmark.</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organized under the laws of Denmark, with a domicile in the municipality of Copenhagen, Denmark.</w:t>
      </w:r>
    </w:p>
    <w:p>
      <w:pPr>
        <w:spacing w:after="0" w:line="225"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 majority of the members of our board of directors and senior management are residents of Denmark or other jurisdictions outside the United States. A substantial portion of ours and such persons' assets are located in Denmark or other jurisdictions outside the United States.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United States or any other laws of the United States.</w:t>
      </w:r>
    </w:p>
    <w:p>
      <w:pPr>
        <w:spacing w:after="0" w:line="169"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The United States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United States. A judgment by a federal or state court in the United States against the Company will neither be recognized nor enforced by a Danish court, but such judgment may serve as evidence in a similar action in a Danish court.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(including amendments and exhibits to the registration statement) on Form F-1 under the Securities Act with respect to the ADSs offered in this prospectus. This prospectus, which constitutes a part of the registration statement, does not contain all of the information set forth in the registration statement or the exhibits and schedules filed therewith. For further information with respect to Genmab A/S and the ADSs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currently make available to the public our annual and interim reports, as well as certain information regarding our corporate governance and other matters, on the Investors page of our website, </w:t>
      </w:r>
      <w:r>
        <w:rPr>
          <w:rFonts w:ascii="Arial" w:cs="Arial" w:eastAsia="Arial" w:hAnsi="Arial"/>
          <w:sz w:val="16"/>
          <w:szCs w:val="16"/>
          <w:i w:val="1"/>
          <w:iCs w:val="1"/>
          <w:color w:val="auto"/>
        </w:rPr>
        <w:t>www.genmab.com</w:t>
      </w:r>
      <w:r>
        <w:rPr>
          <w:rFonts w:ascii="Arial" w:cs="Arial" w:eastAsia="Arial" w:hAnsi="Arial"/>
          <w:sz w:val="16"/>
          <w:szCs w:val="16"/>
          <w:color w:val="auto"/>
        </w:rPr>
        <w:t>. The reference to our website address does not constitute incorporation by reference of the information contained on or available through our website, and you should not consider it to be a part of this prospectus.</w:t>
      </w:r>
    </w:p>
    <w:p>
      <w:pPr>
        <w:spacing w:after="0" w:line="17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this offering, we will be subject to the reporting requirements of the Exchange Act applicable to foreign private issuers. Because we are a foreign private issuer, the SEC's rules do not require us to deliver proxy statements or to file quarterly reports on Form 10-Q, among other things. However, we plan to produce quarterly financial reports and furnish them to the SEC after the end of each of the first three quarters of our fiscal year and to file our annual report on Form 20-F within four months after the end of our fiscal year. Our annual consolidated financial statements will be prepared in accordance with IFRS as issued by the IASB and certified by an independent public accounting firm.</w:t>
      </w:r>
    </w:p>
    <w:p>
      <w:pPr>
        <w:spacing w:after="0" w:line="169"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of the Exchange Act. Since many of the disclosure obligations required of us as a foreign private issuer are different than those required by U.S. domestic reporting companies, our shareholders, potential shareholders and the investing public in general should not expect to receive information about us in the same amount and at the same time as information is received from, or provided by, U.S. domestic reporting companies.</w:t>
      </w:r>
    </w:p>
    <w:p>
      <w:pPr>
        <w:spacing w:after="0" w:line="19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send the depositary a copy of all notices of shareholders meetings and other reports, communications and information that are made generally available to shareholders. The depositary will, if we so request, mail to all registered holders of ADSs a notice containing the information (or a summary of the information) contained in any notice of a meeting of our shareholders received by the depositary from us or will make available to all registered holders of ADSs such notices and all such other reports and communications received by the depositary from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98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6"/>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6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INDEX TO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Report of Independent Registered Public Accounting Firm</w:t>
              </w:r>
            </w:hyperlink>
          </w:p>
        </w:tc>
        <w:tc>
          <w:tcPr>
            <w:tcW w:w="1380" w:type="dxa"/>
            <w:vAlign w:val="bottom"/>
            <w:gridSpan w:val="2"/>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F-2</w:t>
              </w:r>
            </w:hyperlink>
          </w:p>
        </w:tc>
      </w:tr>
      <w:tr>
        <w:trPr>
          <w:trHeight w:val="20"/>
        </w:trPr>
        <w:tc>
          <w:tcPr>
            <w:tcW w:w="114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3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55">
              <w:r>
                <w:rPr>
                  <w:rFonts w:ascii="Arial" w:cs="Arial" w:eastAsia="Arial" w:hAnsi="Arial"/>
                  <w:sz w:val="18"/>
                  <w:szCs w:val="18"/>
                  <w:color w:val="0000EE"/>
                  <w:w w:val="87"/>
                </w:rPr>
                <w:t>Consolidated Statement of Comprehensive Income for the Year Ended December 31, 2017</w:t>
              </w:r>
            </w:hyperlink>
          </w:p>
        </w:tc>
        <w:tc>
          <w:tcPr>
            <w:tcW w:w="236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255">
              <w:r>
                <w:rPr>
                  <w:rFonts w:ascii="Arial" w:cs="Arial" w:eastAsia="Arial" w:hAnsi="Arial"/>
                  <w:sz w:val="18"/>
                  <w:szCs w:val="18"/>
                  <w:color w:val="0000EE"/>
                  <w:w w:val="88"/>
                </w:rPr>
                <w:t>F-4</w:t>
              </w:r>
            </w:hyperlink>
          </w:p>
        </w:tc>
        <w:tc>
          <w:tcPr>
            <w:tcW w:w="112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Consolidated Balance Sheet as of December 31, 2017</w:t>
              </w:r>
            </w:hyperlink>
          </w:p>
        </w:tc>
        <w:tc>
          <w:tcPr>
            <w:tcW w:w="1380" w:type="dxa"/>
            <w:vAlign w:val="bottom"/>
            <w:gridSpan w:val="2"/>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5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57">
              <w:r>
                <w:rPr>
                  <w:rFonts w:ascii="Arial" w:cs="Arial" w:eastAsia="Arial" w:hAnsi="Arial"/>
                  <w:sz w:val="18"/>
                  <w:szCs w:val="18"/>
                  <w:color w:val="0000EE"/>
                  <w:w w:val="87"/>
                </w:rPr>
                <w:t>Consolidated Statement of Cash Flows for the Year Ended December 31, 2017</w:t>
              </w:r>
            </w:hyperlink>
          </w:p>
        </w:tc>
        <w:tc>
          <w:tcPr>
            <w:tcW w:w="3200" w:type="dxa"/>
            <w:vAlign w:val="bottom"/>
            <w:gridSpan w:val="2"/>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257">
              <w:r>
                <w:rPr>
                  <w:rFonts w:ascii="Arial" w:cs="Arial" w:eastAsia="Arial" w:hAnsi="Arial"/>
                  <w:sz w:val="18"/>
                  <w:szCs w:val="18"/>
                  <w:color w:val="0000EE"/>
                  <w:w w:val="88"/>
                </w:rPr>
                <w:t>F-6</w:t>
              </w:r>
            </w:hyperlink>
          </w:p>
        </w:tc>
        <w:tc>
          <w:tcPr>
            <w:tcW w:w="112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58">
              <w:r>
                <w:rPr>
                  <w:rFonts w:ascii="Arial" w:cs="Arial" w:eastAsia="Arial" w:hAnsi="Arial"/>
                  <w:sz w:val="18"/>
                  <w:szCs w:val="18"/>
                  <w:color w:val="0000EE"/>
                  <w:w w:val="87"/>
                </w:rPr>
                <w:t>Consolidated Statement of Changes in Equity at December 31, 2017</w:t>
              </w:r>
            </w:hyperlink>
          </w:p>
        </w:tc>
        <w:tc>
          <w:tcPr>
            <w:tcW w:w="3920" w:type="dxa"/>
            <w:vAlign w:val="bottom"/>
            <w:gridSpan w:val="3"/>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258">
              <w:r>
                <w:rPr>
                  <w:rFonts w:ascii="Arial" w:cs="Arial" w:eastAsia="Arial" w:hAnsi="Arial"/>
                  <w:sz w:val="18"/>
                  <w:szCs w:val="18"/>
                  <w:color w:val="0000EE"/>
                  <w:w w:val="88"/>
                </w:rPr>
                <w:t>F-7</w:t>
              </w:r>
            </w:hyperlink>
          </w:p>
        </w:tc>
        <w:tc>
          <w:tcPr>
            <w:tcW w:w="112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Notes to the Consolidated Financial Statements</w:t>
              </w:r>
            </w:hyperlink>
          </w:p>
        </w:tc>
        <w:tc>
          <w:tcPr>
            <w:tcW w:w="1380" w:type="dxa"/>
            <w:vAlign w:val="bottom"/>
            <w:gridSpan w:val="2"/>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F-8</w:t>
              </w:r>
            </w:hyperlink>
          </w:p>
        </w:tc>
      </w:tr>
      <w:tr>
        <w:trPr>
          <w:trHeight w:val="450"/>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gridSpan w:val="4"/>
          </w:tcPr>
          <w:p>
            <w:pPr>
              <w:jc w:val="center"/>
              <w:ind w:right="3860"/>
              <w:spacing w:after="0"/>
              <w:rPr>
                <w:sz w:val="20"/>
                <w:szCs w:val="20"/>
                <w:color w:val="auto"/>
              </w:rPr>
            </w:pPr>
            <w:r>
              <w:rPr>
                <w:rFonts w:ascii="Arial" w:cs="Arial" w:eastAsia="Arial" w:hAnsi="Arial"/>
                <w:sz w:val="18"/>
                <w:szCs w:val="18"/>
                <w:color w:val="auto"/>
                <w:w w:val="88"/>
              </w:rPr>
              <w:t>F-1</w:t>
            </w:r>
          </w:p>
        </w:tc>
        <w:tc>
          <w:tcPr>
            <w:tcW w:w="2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Genmab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Opinion on the Financial Statements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 of Genmab A/S and its subsidiaries (the "Company") as of 31 December 2017 and the related consolidated statements of comprehensive income, cash flows and changes in equity for the year then ended, including the related notes (collectively referred to as the "consolidated financial statements"). In our opinion, except for the effect of the matter described in the following paragraph, the consolidated financial statements present fairly, in all material respects, the financial position of the Company as of 31 December 2017 and the results of its operations and its cash flows for the year then ended in conformity with International Financial Reporting Standards as issued by the International Accounting Standards Board.</w:t>
      </w:r>
    </w:p>
    <w:p>
      <w:pPr>
        <w:spacing w:after="0" w:line="198"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discussed in Note 1.1 to the consolidated financial statements, the accompanying consolidated financial statements are not presented in accordance with International Accounting Standard 1, Presentation of Financial Statements, as they do not include comparative information, which constitutes a departure from International Financial Reporting Standards as issued by the International Accounting Standards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Qualified Opinion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Statsautoriseret Revisionspartnerselskab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Table of Contents</w:t>
              </w:r>
            </w:hyperlink>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66"/>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w w:val="86"/>
              </w:rPr>
              <w:t>Financial Statements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7"/>
          </w:tcPr>
          <w:p>
            <w:pPr>
              <w:jc w:val="center"/>
              <w:ind w:right="3180"/>
              <w:spacing w:after="0"/>
              <w:rPr>
                <w:sz w:val="20"/>
                <w:szCs w:val="20"/>
                <w:color w:val="auto"/>
              </w:rPr>
            </w:pPr>
            <w:r>
              <w:rPr>
                <w:rFonts w:ascii="Arial" w:cs="Arial" w:eastAsia="Arial" w:hAnsi="Arial"/>
                <w:sz w:val="18"/>
                <w:szCs w:val="18"/>
                <w:b w:val="1"/>
                <w:bCs w:val="1"/>
                <w:color w:val="auto"/>
                <w:w w:val="86"/>
              </w:rPr>
              <w:t>Table of Contents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6"/>
        </w:trPr>
        <w:tc>
          <w:tcPr>
            <w:tcW w:w="1140" w:type="dxa"/>
            <w:vAlign w:val="bottom"/>
          </w:tcPr>
          <w:p>
            <w:pPr>
              <w:spacing w:after="0"/>
              <w:rPr>
                <w:sz w:val="24"/>
                <w:szCs w:val="24"/>
                <w:color w:val="auto"/>
              </w:rPr>
            </w:pPr>
          </w:p>
        </w:tc>
        <w:tc>
          <w:tcPr>
            <w:tcW w:w="8480" w:type="dxa"/>
            <w:vAlign w:val="bottom"/>
            <w:gridSpan w:val="34"/>
          </w:tcPr>
          <w:p>
            <w:pPr>
              <w:spacing w:after="0"/>
              <w:rPr>
                <w:sz w:val="20"/>
                <w:szCs w:val="20"/>
                <w:color w:val="auto"/>
              </w:rPr>
            </w:pPr>
            <w:r>
              <w:rPr>
                <w:rFonts w:ascii="Arial" w:cs="Arial" w:eastAsia="Arial" w:hAnsi="Arial"/>
                <w:sz w:val="18"/>
                <w:szCs w:val="18"/>
                <w:b w:val="1"/>
                <w:bCs w:val="1"/>
                <w:color w:val="auto"/>
              </w:rPr>
              <w:t>PRIMARY STATEMENTS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3580" w:type="dxa"/>
            <w:vAlign w:val="bottom"/>
            <w:tcBorders>
              <w:bottom w:val="single" w:sz="8" w:color="0000EE"/>
            </w:tcBorders>
            <w:gridSpan w:val="26"/>
          </w:tcPr>
          <w:p>
            <w:pPr>
              <w:spacing w:after="0" w:line="184" w:lineRule="exact"/>
              <w:rPr>
                <w:rFonts w:ascii="Arial" w:cs="Arial" w:eastAsia="Arial" w:hAnsi="Arial"/>
                <w:sz w:val="18"/>
                <w:szCs w:val="18"/>
                <w:color w:val="0000EE"/>
                <w:w w:val="87"/>
              </w:rPr>
            </w:pPr>
            <w:hyperlink w:anchor="page255">
              <w:r>
                <w:rPr>
                  <w:rFonts w:ascii="Arial" w:cs="Arial" w:eastAsia="Arial" w:hAnsi="Arial"/>
                  <w:sz w:val="18"/>
                  <w:szCs w:val="18"/>
                  <w:color w:val="0000EE"/>
                  <w:w w:val="87"/>
                </w:rPr>
                <w:t>Consolidated Statement of Comprehensive Income</w:t>
              </w:r>
            </w:hyperlink>
          </w:p>
        </w:tc>
        <w:tc>
          <w:tcPr>
            <w:tcW w:w="4900" w:type="dxa"/>
            <w:vAlign w:val="bottom"/>
            <w:gridSpan w:val="8"/>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84" w:lineRule="exact"/>
              <w:rPr>
                <w:rFonts w:ascii="Arial" w:cs="Arial" w:eastAsia="Arial" w:hAnsi="Arial"/>
                <w:sz w:val="18"/>
                <w:szCs w:val="18"/>
                <w:color w:val="0000EE"/>
                <w:w w:val="88"/>
              </w:rPr>
            </w:pPr>
            <w:hyperlink w:anchor="page255">
              <w:r>
                <w:rPr>
                  <w:rFonts w:ascii="Arial" w:cs="Arial" w:eastAsia="Arial" w:hAnsi="Arial"/>
                  <w:sz w:val="18"/>
                  <w:szCs w:val="18"/>
                  <w:color w:val="0000EE"/>
                  <w:w w:val="88"/>
                </w:rPr>
                <w:t>F-4</w:t>
              </w:r>
            </w:hyperlink>
          </w:p>
        </w:tc>
        <w:tc>
          <w:tcPr>
            <w:tcW w:w="12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8480" w:type="dxa"/>
            <w:vAlign w:val="bottom"/>
            <w:gridSpan w:val="34"/>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Consolidated Balance Sheet</w:t>
              </w:r>
            </w:hyperlink>
          </w:p>
        </w:tc>
        <w:tc>
          <w:tcPr>
            <w:tcW w:w="80" w:type="dxa"/>
            <w:vAlign w:val="bottom"/>
          </w:tcPr>
          <w:p>
            <w:pPr>
              <w:spacing w:after="0"/>
              <w:rPr>
                <w:sz w:val="17"/>
                <w:szCs w:val="17"/>
                <w:color w:val="auto"/>
              </w:rPr>
            </w:pPr>
          </w:p>
        </w:tc>
        <w:tc>
          <w:tcPr>
            <w:tcW w:w="1540" w:type="dxa"/>
            <w:vAlign w:val="bottom"/>
            <w:gridSpan w:val="2"/>
          </w:tcPr>
          <w:p>
            <w:pPr>
              <w:jc w:val="right"/>
              <w:ind w:right="1280"/>
              <w:spacing w:after="0" w:line="196" w:lineRule="exact"/>
              <w:rPr>
                <w:rFonts w:ascii="Arial" w:cs="Arial" w:eastAsia="Arial" w:hAnsi="Arial"/>
                <w:sz w:val="18"/>
                <w:szCs w:val="18"/>
                <w:color w:val="0000EE"/>
                <w:w w:val="88"/>
              </w:rPr>
            </w:pPr>
            <w:hyperlink w:anchor="page256">
              <w:r>
                <w:rPr>
                  <w:rFonts w:ascii="Arial" w:cs="Arial" w:eastAsia="Arial" w:hAnsi="Arial"/>
                  <w:sz w:val="18"/>
                  <w:szCs w:val="18"/>
                  <w:color w:val="0000EE"/>
                  <w:w w:val="88"/>
                </w:rPr>
                <w:t>F-5</w:t>
              </w:r>
            </w:hyperlink>
          </w:p>
        </w:tc>
      </w:tr>
      <w:tr>
        <w:trPr>
          <w:trHeight w:val="20"/>
        </w:trPr>
        <w:tc>
          <w:tcPr>
            <w:tcW w:w="11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80" w:type="dxa"/>
            <w:vAlign w:val="bottom"/>
            <w:gridSpan w:val="34"/>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Consolidated Statement of Cash Flows</w:t>
              </w:r>
            </w:hyperlink>
          </w:p>
        </w:tc>
        <w:tc>
          <w:tcPr>
            <w:tcW w:w="80" w:type="dxa"/>
            <w:vAlign w:val="bottom"/>
          </w:tcPr>
          <w:p>
            <w:pPr>
              <w:spacing w:after="0"/>
              <w:rPr>
                <w:sz w:val="17"/>
                <w:szCs w:val="17"/>
                <w:color w:val="auto"/>
              </w:rPr>
            </w:pPr>
          </w:p>
        </w:tc>
        <w:tc>
          <w:tcPr>
            <w:tcW w:w="1540" w:type="dxa"/>
            <w:vAlign w:val="bottom"/>
            <w:gridSpan w:val="2"/>
          </w:tcPr>
          <w:p>
            <w:pPr>
              <w:jc w:val="right"/>
              <w:ind w:right="1280"/>
              <w:spacing w:after="0" w:line="196" w:lineRule="exact"/>
              <w:rPr>
                <w:rFonts w:ascii="Arial" w:cs="Arial" w:eastAsia="Arial" w:hAnsi="Arial"/>
                <w:sz w:val="18"/>
                <w:szCs w:val="18"/>
                <w:color w:val="0000EE"/>
                <w:w w:val="88"/>
              </w:rPr>
            </w:pPr>
            <w:hyperlink w:anchor="page257">
              <w:r>
                <w:rPr>
                  <w:rFonts w:ascii="Arial" w:cs="Arial" w:eastAsia="Arial" w:hAnsi="Arial"/>
                  <w:sz w:val="18"/>
                  <w:szCs w:val="18"/>
                  <w:color w:val="0000EE"/>
                  <w:w w:val="88"/>
                </w:rPr>
                <w:t>F-6</w:t>
              </w:r>
            </w:hyperlink>
          </w:p>
        </w:tc>
      </w:tr>
      <w:tr>
        <w:trPr>
          <w:trHeight w:val="20"/>
        </w:trPr>
        <w:tc>
          <w:tcPr>
            <w:tcW w:w="114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258">
              <w:r>
                <w:rPr>
                  <w:rFonts w:ascii="Arial" w:cs="Arial" w:eastAsia="Arial" w:hAnsi="Arial"/>
                  <w:sz w:val="18"/>
                  <w:szCs w:val="18"/>
                  <w:color w:val="0000EE"/>
                  <w:w w:val="87"/>
                </w:rPr>
                <w:t>Consolidated Statement of Changes in Equity</w:t>
              </w:r>
            </w:hyperlink>
          </w:p>
        </w:tc>
        <w:tc>
          <w:tcPr>
            <w:tcW w:w="528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8"/>
              </w:rPr>
            </w:pPr>
            <w:hyperlink w:anchor="page258">
              <w:r>
                <w:rPr>
                  <w:rFonts w:ascii="Arial" w:cs="Arial" w:eastAsia="Arial" w:hAnsi="Arial"/>
                  <w:sz w:val="18"/>
                  <w:szCs w:val="18"/>
                  <w:color w:val="0000EE"/>
                  <w:w w:val="88"/>
                </w:rPr>
                <w:t>F-7</w:t>
              </w:r>
            </w:hyperlink>
          </w:p>
        </w:tc>
        <w:tc>
          <w:tcPr>
            <w:tcW w:w="128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8480" w:type="dxa"/>
            <w:vAlign w:val="bottom"/>
            <w:gridSpan w:val="34"/>
          </w:tcPr>
          <w:p>
            <w:pPr>
              <w:spacing w:after="0"/>
              <w:rPr>
                <w:rFonts w:ascii="Arial" w:cs="Arial" w:eastAsia="Arial" w:hAnsi="Arial"/>
                <w:sz w:val="18"/>
                <w:szCs w:val="18"/>
                <w:b w:val="1"/>
                <w:bCs w:val="1"/>
                <w:color w:val="0000EE"/>
              </w:rPr>
            </w:pPr>
            <w:hyperlink w:anchor="page259">
              <w:r>
                <w:rPr>
                  <w:rFonts w:ascii="Arial" w:cs="Arial" w:eastAsia="Arial" w:hAnsi="Arial"/>
                  <w:sz w:val="18"/>
                  <w:szCs w:val="18"/>
                  <w:b w:val="1"/>
                  <w:bCs w:val="1"/>
                  <w:color w:val="0000EE"/>
                </w:rPr>
                <w:t>SECTION 1—BASIS OF PRESENTATION</w:t>
              </w:r>
            </w:hyperlink>
          </w:p>
        </w:tc>
        <w:tc>
          <w:tcPr>
            <w:tcW w:w="80" w:type="dxa"/>
            <w:vAlign w:val="bottom"/>
          </w:tcPr>
          <w:p>
            <w:pPr>
              <w:spacing w:after="0"/>
              <w:rPr>
                <w:sz w:val="24"/>
                <w:szCs w:val="24"/>
                <w:color w:val="auto"/>
              </w:rPr>
            </w:pPr>
          </w:p>
        </w:tc>
        <w:tc>
          <w:tcPr>
            <w:tcW w:w="1540" w:type="dxa"/>
            <w:vAlign w:val="bottom"/>
            <w:gridSpan w:val="2"/>
          </w:tcPr>
          <w:p>
            <w:pPr>
              <w:jc w:val="right"/>
              <w:ind w:right="1280"/>
              <w:spacing w:after="0"/>
              <w:rPr>
                <w:rFonts w:ascii="Arial" w:cs="Arial" w:eastAsia="Arial" w:hAnsi="Arial"/>
                <w:sz w:val="18"/>
                <w:szCs w:val="18"/>
                <w:color w:val="0000EE"/>
                <w:w w:val="88"/>
              </w:rPr>
            </w:pPr>
            <w:hyperlink w:anchor="page259">
              <w:r>
                <w:rPr>
                  <w:rFonts w:ascii="Arial" w:cs="Arial" w:eastAsia="Arial" w:hAnsi="Arial"/>
                  <w:sz w:val="18"/>
                  <w:szCs w:val="18"/>
                  <w:color w:val="0000EE"/>
                  <w:w w:val="88"/>
                </w:rPr>
                <w:t>F-8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59">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Nature of the Business and Accounting Policies</w:t>
              </w:r>
            </w:hyperlink>
          </w:p>
        </w:tc>
        <w:tc>
          <w:tcPr>
            <w:tcW w:w="80" w:type="dxa"/>
            <w:vAlign w:val="bottom"/>
          </w:tcPr>
          <w:p>
            <w:pPr>
              <w:spacing w:after="0"/>
              <w:rPr>
                <w:sz w:val="17"/>
                <w:szCs w:val="17"/>
                <w:color w:val="auto"/>
              </w:rPr>
            </w:pPr>
          </w:p>
        </w:tc>
        <w:tc>
          <w:tcPr>
            <w:tcW w:w="1540" w:type="dxa"/>
            <w:vAlign w:val="bottom"/>
            <w:gridSpan w:val="2"/>
          </w:tcPr>
          <w:p>
            <w:pPr>
              <w:jc w:val="right"/>
              <w:ind w:right="1280"/>
              <w:spacing w:after="0" w:line="196" w:lineRule="exact"/>
              <w:rPr>
                <w:rFonts w:ascii="Arial" w:cs="Arial" w:eastAsia="Arial" w:hAnsi="Arial"/>
                <w:sz w:val="18"/>
                <w:szCs w:val="18"/>
                <w:color w:val="0000EE"/>
                <w:w w:val="88"/>
              </w:rPr>
            </w:pPr>
            <w:hyperlink w:anchor="page259">
              <w:r>
                <w:rPr>
                  <w:rFonts w:ascii="Arial" w:cs="Arial" w:eastAsia="Arial" w:hAnsi="Arial"/>
                  <w:sz w:val="18"/>
                  <w:szCs w:val="18"/>
                  <w:color w:val="0000EE"/>
                  <w:w w:val="88"/>
                </w:rPr>
                <w:t>F-8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3">
              <w:r>
                <w:rPr>
                  <w:rFonts w:ascii="Arial" w:cs="Arial" w:eastAsia="Arial" w:hAnsi="Arial"/>
                  <w:sz w:val="18"/>
                  <w:szCs w:val="18"/>
                  <w:color w:val="0000EE"/>
                  <w:w w:val="87"/>
                </w:rPr>
                <w:t>1.</w:t>
              </w:r>
              <w:r>
                <w:rPr>
                  <w:rFonts w:ascii="Arial" w:cs="Arial" w:eastAsia="Arial" w:hAnsi="Arial"/>
                  <w:sz w:val="18"/>
                  <w:szCs w:val="18"/>
                  <w:u w:val="single" w:color="auto"/>
                  <w:color w:val="0000EE"/>
                  <w:w w:val="87"/>
                </w:rPr>
                <w:t>2</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New Accounting Policies and Disclosures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3">
              <w:r>
                <w:rPr>
                  <w:rFonts w:ascii="Arial" w:cs="Arial" w:eastAsia="Arial" w:hAnsi="Arial"/>
                  <w:sz w:val="18"/>
                  <w:szCs w:val="18"/>
                  <w:color w:val="0000EE"/>
                  <w:w w:val="86"/>
                </w:rPr>
                <w:t>F-12</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4">
              <w:r>
                <w:rPr>
                  <w:rFonts w:ascii="Arial" w:cs="Arial" w:eastAsia="Arial" w:hAnsi="Arial"/>
                  <w:sz w:val="18"/>
                  <w:szCs w:val="18"/>
                  <w:color w:val="0000EE"/>
                  <w:w w:val="87"/>
                </w:rPr>
                <w:t>1.</w:t>
              </w:r>
              <w:r>
                <w:rPr>
                  <w:rFonts w:ascii="Arial" w:cs="Arial" w:eastAsia="Arial" w:hAnsi="Arial"/>
                  <w:sz w:val="18"/>
                  <w:szCs w:val="18"/>
                  <w:u w:val="single" w:color="auto"/>
                  <w:color w:val="0000EE"/>
                  <w:w w:val="87"/>
                </w:rPr>
                <w:t>3</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Management's Judgments and Estimates under IFRS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4">
              <w:r>
                <w:rPr>
                  <w:rFonts w:ascii="Arial" w:cs="Arial" w:eastAsia="Arial" w:hAnsi="Arial"/>
                  <w:sz w:val="18"/>
                  <w:szCs w:val="18"/>
                  <w:color w:val="0000EE"/>
                  <w:w w:val="86"/>
                </w:rPr>
                <w:t>F-13</w:t>
              </w:r>
            </w:hyperlink>
          </w:p>
        </w:tc>
      </w:tr>
      <w:tr>
        <w:trPr>
          <w:trHeight w:val="412"/>
        </w:trPr>
        <w:tc>
          <w:tcPr>
            <w:tcW w:w="1140" w:type="dxa"/>
            <w:vAlign w:val="bottom"/>
          </w:tcPr>
          <w:p>
            <w:pPr>
              <w:spacing w:after="0"/>
              <w:rPr>
                <w:sz w:val="24"/>
                <w:szCs w:val="24"/>
                <w:color w:val="auto"/>
              </w:rPr>
            </w:pPr>
          </w:p>
        </w:tc>
        <w:tc>
          <w:tcPr>
            <w:tcW w:w="3960" w:type="dxa"/>
            <w:vAlign w:val="bottom"/>
            <w:tcBorders>
              <w:top w:val="single" w:sz="8" w:color="0000EE"/>
            </w:tcBorders>
            <w:gridSpan w:val="28"/>
          </w:tcPr>
          <w:p>
            <w:pPr>
              <w:spacing w:after="0"/>
              <w:rPr>
                <w:rFonts w:ascii="Arial" w:cs="Arial" w:eastAsia="Arial" w:hAnsi="Arial"/>
                <w:sz w:val="18"/>
                <w:szCs w:val="18"/>
                <w:b w:val="1"/>
                <w:bCs w:val="1"/>
                <w:color w:val="0000EE"/>
              </w:rPr>
            </w:pPr>
            <w:hyperlink w:anchor="page265">
              <w:r>
                <w:rPr>
                  <w:rFonts w:ascii="Arial" w:cs="Arial" w:eastAsia="Arial" w:hAnsi="Arial"/>
                  <w:sz w:val="18"/>
                  <w:szCs w:val="18"/>
                  <w:b w:val="1"/>
                  <w:bCs w:val="1"/>
                  <w:color w:val="0000EE"/>
                </w:rPr>
                <w:t>SECTION 2—RESULTS FOR THE YEAR</w:t>
              </w:r>
            </w:hyperlink>
          </w:p>
        </w:tc>
        <w:tc>
          <w:tcPr>
            <w:tcW w:w="4520" w:type="dxa"/>
            <w:vAlign w:val="bottom"/>
            <w:gridSpan w:val="6"/>
          </w:tcPr>
          <w:p>
            <w:pPr>
              <w:spacing w:after="0"/>
              <w:rPr>
                <w:sz w:val="24"/>
                <w:szCs w:val="24"/>
                <w:color w:val="auto"/>
              </w:rPr>
            </w:pPr>
          </w:p>
        </w:tc>
        <w:tc>
          <w:tcPr>
            <w:tcW w:w="340" w:type="dxa"/>
            <w:vAlign w:val="bottom"/>
            <w:tcBorders>
              <w:top w:val="single" w:sz="8" w:color="0000EE"/>
            </w:tcBorders>
            <w:gridSpan w:val="2"/>
          </w:tcPr>
          <w:p>
            <w:pPr>
              <w:jc w:val="right"/>
              <w:spacing w:after="0"/>
              <w:rPr>
                <w:rFonts w:ascii="Arial" w:cs="Arial" w:eastAsia="Arial" w:hAnsi="Arial"/>
                <w:sz w:val="18"/>
                <w:szCs w:val="18"/>
                <w:color w:val="0000EE"/>
                <w:w w:val="86"/>
              </w:rPr>
            </w:pPr>
            <w:hyperlink w:anchor="page265">
              <w:r>
                <w:rPr>
                  <w:rFonts w:ascii="Arial" w:cs="Arial" w:eastAsia="Arial" w:hAnsi="Arial"/>
                  <w:sz w:val="18"/>
                  <w:szCs w:val="18"/>
                  <w:color w:val="0000EE"/>
                  <w:w w:val="86"/>
                </w:rPr>
                <w:t>F-14</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Revenue</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5">
              <w:r>
                <w:rPr>
                  <w:rFonts w:ascii="Arial" w:cs="Arial" w:eastAsia="Arial" w:hAnsi="Arial"/>
                  <w:sz w:val="18"/>
                  <w:szCs w:val="18"/>
                  <w:color w:val="0000EE"/>
                  <w:w w:val="86"/>
                </w:rPr>
                <w:t>F-14</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Information about Geographical Areas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7">
              <w:r>
                <w:rPr>
                  <w:rFonts w:ascii="Arial" w:cs="Arial" w:eastAsia="Arial" w:hAnsi="Arial"/>
                  <w:sz w:val="18"/>
                  <w:szCs w:val="18"/>
                  <w:color w:val="0000EE"/>
                  <w:w w:val="86"/>
                </w:rPr>
                <w:t>F-16</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Staff Costs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7">
              <w:r>
                <w:rPr>
                  <w:rFonts w:ascii="Arial" w:cs="Arial" w:eastAsia="Arial" w:hAnsi="Arial"/>
                  <w:sz w:val="18"/>
                  <w:szCs w:val="18"/>
                  <w:color w:val="0000EE"/>
                  <w:w w:val="86"/>
                </w:rPr>
                <w:t>F-16</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6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4</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Corporate and Deferred Tax</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69">
              <w:r>
                <w:rPr>
                  <w:rFonts w:ascii="Arial" w:cs="Arial" w:eastAsia="Arial" w:hAnsi="Arial"/>
                  <w:sz w:val="18"/>
                  <w:szCs w:val="18"/>
                  <w:color w:val="0000EE"/>
                  <w:w w:val="86"/>
                </w:rPr>
                <w:t>F-18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5</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Result Per Share</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2">
              <w:r>
                <w:rPr>
                  <w:rFonts w:ascii="Arial" w:cs="Arial" w:eastAsia="Arial" w:hAnsi="Arial"/>
                  <w:sz w:val="18"/>
                  <w:szCs w:val="18"/>
                  <w:color w:val="0000EE"/>
                  <w:w w:val="86"/>
                </w:rPr>
                <w:t>F-21</w:t>
              </w:r>
            </w:hyperlink>
          </w:p>
        </w:tc>
      </w:tr>
      <w:tr>
        <w:trPr>
          <w:trHeight w:val="20"/>
        </w:trPr>
        <w:tc>
          <w:tcPr>
            <w:tcW w:w="11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400" w:type="dxa"/>
            <w:vAlign w:val="bottom"/>
            <w:tcBorders>
              <w:bottom w:val="single" w:sz="8" w:color="0000EE"/>
            </w:tcBorders>
            <w:gridSpan w:val="29"/>
          </w:tcPr>
          <w:p>
            <w:pPr>
              <w:spacing w:after="0"/>
              <w:rPr>
                <w:rFonts w:ascii="Arial" w:cs="Arial" w:eastAsia="Arial" w:hAnsi="Arial"/>
                <w:sz w:val="18"/>
                <w:szCs w:val="18"/>
                <w:b w:val="1"/>
                <w:bCs w:val="1"/>
                <w:color w:val="0000EE"/>
                <w:w w:val="97"/>
              </w:rPr>
            </w:pPr>
            <w:hyperlink w:anchor="page273">
              <w:r>
                <w:rPr>
                  <w:rFonts w:ascii="Arial" w:cs="Arial" w:eastAsia="Arial" w:hAnsi="Arial"/>
                  <w:sz w:val="18"/>
                  <w:szCs w:val="18"/>
                  <w:b w:val="1"/>
                  <w:bCs w:val="1"/>
                  <w:color w:val="0000EE"/>
                  <w:w w:val="97"/>
                </w:rPr>
                <w:t>SECTION 3—OPERATING ASSETS AND LIABILITIES</w:t>
              </w:r>
            </w:hyperlink>
          </w:p>
        </w:tc>
        <w:tc>
          <w:tcPr>
            <w:tcW w:w="4080" w:type="dxa"/>
            <w:vAlign w:val="bottom"/>
            <w:gridSpan w:val="5"/>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273">
              <w:r>
                <w:rPr>
                  <w:rFonts w:ascii="Arial" w:cs="Arial" w:eastAsia="Arial" w:hAnsi="Arial"/>
                  <w:sz w:val="18"/>
                  <w:szCs w:val="18"/>
                  <w:color w:val="0000EE"/>
                  <w:w w:val="86"/>
                </w:rPr>
                <w:t>F-22</w:t>
              </w:r>
            </w:hyperlink>
          </w:p>
        </w:tc>
        <w:tc>
          <w:tcPr>
            <w:tcW w:w="1280" w:type="dxa"/>
            <w:vAlign w:val="bottom"/>
          </w:tcPr>
          <w:p>
            <w:pPr>
              <w:spacing w:after="0"/>
              <w:rPr>
                <w:sz w:val="24"/>
                <w:szCs w:val="24"/>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Intangible Assets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3">
              <w:r>
                <w:rPr>
                  <w:rFonts w:ascii="Arial" w:cs="Arial" w:eastAsia="Arial" w:hAnsi="Arial"/>
                  <w:sz w:val="18"/>
                  <w:szCs w:val="18"/>
                  <w:color w:val="0000EE"/>
                  <w:w w:val="86"/>
                </w:rPr>
                <w:t>F-22</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Property, Plant and Equipment</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5">
              <w:r>
                <w:rPr>
                  <w:rFonts w:ascii="Arial" w:cs="Arial" w:eastAsia="Arial" w:hAnsi="Arial"/>
                  <w:sz w:val="18"/>
                  <w:szCs w:val="18"/>
                  <w:color w:val="0000EE"/>
                  <w:w w:val="86"/>
                </w:rPr>
                <w:t>F-24</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Receivables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6">
              <w:r>
                <w:rPr>
                  <w:rFonts w:ascii="Arial" w:cs="Arial" w:eastAsia="Arial" w:hAnsi="Arial"/>
                  <w:sz w:val="18"/>
                  <w:szCs w:val="18"/>
                  <w:color w:val="0000EE"/>
                  <w:w w:val="86"/>
                </w:rPr>
                <w:t>F-25</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Provisions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7">
              <w:r>
                <w:rPr>
                  <w:rFonts w:ascii="Arial" w:cs="Arial" w:eastAsia="Arial" w:hAnsi="Arial"/>
                  <w:sz w:val="18"/>
                  <w:szCs w:val="18"/>
                  <w:color w:val="0000EE"/>
                  <w:w w:val="86"/>
                </w:rPr>
                <w:t>F-26</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Other Payables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8">
              <w:r>
                <w:rPr>
                  <w:rFonts w:ascii="Arial" w:cs="Arial" w:eastAsia="Arial" w:hAnsi="Arial"/>
                  <w:sz w:val="18"/>
                  <w:szCs w:val="18"/>
                  <w:color w:val="0000EE"/>
                  <w:w w:val="86"/>
                </w:rPr>
                <w:t>F-27</w:t>
              </w:r>
            </w:hyperlink>
          </w:p>
        </w:tc>
      </w:tr>
      <w:tr>
        <w:trPr>
          <w:trHeight w:val="20"/>
        </w:trPr>
        <w:tc>
          <w:tcPr>
            <w:tcW w:w="114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34"/>
          </w:tcPr>
          <w:p>
            <w:pPr>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SECTION 4—CAPITAL STRUCTURE, FINANCIAL RISK AND RELATED ITEMS</w:t>
              </w:r>
            </w:hyperlink>
          </w:p>
        </w:tc>
        <w:tc>
          <w:tcPr>
            <w:tcW w:w="1620" w:type="dxa"/>
            <w:vAlign w:val="bottom"/>
            <w:gridSpan w:val="3"/>
          </w:tcPr>
          <w:p>
            <w:pPr>
              <w:jc w:val="right"/>
              <w:ind w:right="1280"/>
              <w:spacing w:after="0"/>
              <w:rPr>
                <w:rFonts w:ascii="Arial" w:cs="Arial" w:eastAsia="Arial" w:hAnsi="Arial"/>
                <w:sz w:val="18"/>
                <w:szCs w:val="18"/>
                <w:color w:val="0000EE"/>
                <w:w w:val="86"/>
              </w:rPr>
            </w:pPr>
            <w:hyperlink w:anchor="page279">
              <w:r>
                <w:rPr>
                  <w:rFonts w:ascii="Arial" w:cs="Arial" w:eastAsia="Arial" w:hAnsi="Arial"/>
                  <w:sz w:val="18"/>
                  <w:szCs w:val="18"/>
                  <w:color w:val="0000EE"/>
                  <w:w w:val="86"/>
                </w:rPr>
                <w:t>F-28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Capital Management</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9">
              <w:r>
                <w:rPr>
                  <w:rFonts w:ascii="Arial" w:cs="Arial" w:eastAsia="Arial" w:hAnsi="Arial"/>
                  <w:sz w:val="18"/>
                  <w:szCs w:val="18"/>
                  <w:color w:val="0000EE"/>
                  <w:w w:val="86"/>
                </w:rPr>
                <w:t>F-28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Financial Risk</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79">
              <w:r>
                <w:rPr>
                  <w:rFonts w:ascii="Arial" w:cs="Arial" w:eastAsia="Arial" w:hAnsi="Arial"/>
                  <w:sz w:val="18"/>
                  <w:szCs w:val="18"/>
                  <w:color w:val="0000EE"/>
                  <w:w w:val="86"/>
                </w:rPr>
                <w:t>F-28</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Financial Assets and Liabilities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83">
              <w:r>
                <w:rPr>
                  <w:rFonts w:ascii="Arial" w:cs="Arial" w:eastAsia="Arial" w:hAnsi="Arial"/>
                  <w:sz w:val="18"/>
                  <w:szCs w:val="18"/>
                  <w:color w:val="0000EE"/>
                  <w:w w:val="86"/>
                </w:rPr>
                <w:t>F-32</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Marketable Securities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85">
              <w:r>
                <w:rPr>
                  <w:rFonts w:ascii="Arial" w:cs="Arial" w:eastAsia="Arial" w:hAnsi="Arial"/>
                  <w:sz w:val="18"/>
                  <w:szCs w:val="18"/>
                  <w:color w:val="0000EE"/>
                  <w:w w:val="86"/>
                </w:rPr>
                <w:t>F-34</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8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Financial Income and Expenses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87">
              <w:r>
                <w:rPr>
                  <w:rFonts w:ascii="Arial" w:cs="Arial" w:eastAsia="Arial" w:hAnsi="Arial"/>
                  <w:sz w:val="18"/>
                  <w:szCs w:val="18"/>
                  <w:color w:val="0000EE"/>
                  <w:w w:val="86"/>
                </w:rPr>
                <w:t>F-36</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8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Share-Based Instruments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88">
              <w:r>
                <w:rPr>
                  <w:rFonts w:ascii="Arial" w:cs="Arial" w:eastAsia="Arial" w:hAnsi="Arial"/>
                  <w:sz w:val="18"/>
                  <w:szCs w:val="18"/>
                  <w:color w:val="0000EE"/>
                  <w:w w:val="86"/>
                </w:rPr>
                <w:t>F-37</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9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Share Capital</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92">
              <w:r>
                <w:rPr>
                  <w:rFonts w:ascii="Arial" w:cs="Arial" w:eastAsia="Arial" w:hAnsi="Arial"/>
                  <w:sz w:val="18"/>
                  <w:szCs w:val="18"/>
                  <w:color w:val="0000EE"/>
                  <w:w w:val="86"/>
                </w:rPr>
                <w:t>F-41</w:t>
              </w:r>
            </w:hyperlink>
          </w:p>
        </w:tc>
      </w:tr>
      <w:tr>
        <w:trPr>
          <w:trHeight w:val="20"/>
        </w:trPr>
        <w:tc>
          <w:tcPr>
            <w:tcW w:w="114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34"/>
          </w:tcPr>
          <w:p>
            <w:pPr>
              <w:spacing w:after="0"/>
              <w:rPr>
                <w:rFonts w:ascii="Arial" w:cs="Arial" w:eastAsia="Arial" w:hAnsi="Arial"/>
                <w:sz w:val="18"/>
                <w:szCs w:val="18"/>
                <w:b w:val="1"/>
                <w:bCs w:val="1"/>
                <w:color w:val="0000EE"/>
              </w:rPr>
            </w:pPr>
            <w:hyperlink w:anchor="page294">
              <w:r>
                <w:rPr>
                  <w:rFonts w:ascii="Arial" w:cs="Arial" w:eastAsia="Arial" w:hAnsi="Arial"/>
                  <w:sz w:val="18"/>
                  <w:szCs w:val="18"/>
                  <w:b w:val="1"/>
                  <w:bCs w:val="1"/>
                  <w:color w:val="0000EE"/>
                </w:rPr>
                <w:t>SECTION 5—OTHER DISCLOSURES</w:t>
              </w:r>
            </w:hyperlink>
          </w:p>
        </w:tc>
        <w:tc>
          <w:tcPr>
            <w:tcW w:w="1620" w:type="dxa"/>
            <w:vAlign w:val="bottom"/>
            <w:gridSpan w:val="3"/>
          </w:tcPr>
          <w:p>
            <w:pPr>
              <w:jc w:val="right"/>
              <w:ind w:right="1280"/>
              <w:spacing w:after="0"/>
              <w:rPr>
                <w:rFonts w:ascii="Arial" w:cs="Arial" w:eastAsia="Arial" w:hAnsi="Arial"/>
                <w:sz w:val="18"/>
                <w:szCs w:val="18"/>
                <w:color w:val="0000EE"/>
                <w:w w:val="86"/>
              </w:rPr>
            </w:pPr>
            <w:hyperlink w:anchor="page294">
              <w:r>
                <w:rPr>
                  <w:rFonts w:ascii="Arial" w:cs="Arial" w:eastAsia="Arial" w:hAnsi="Arial"/>
                  <w:sz w:val="18"/>
                  <w:szCs w:val="18"/>
                  <w:color w:val="0000EE"/>
                  <w:w w:val="86"/>
                </w:rPr>
                <w:t>F-43</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294">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Remuneration of the Board of Directors and Executive Management</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294">
              <w:r>
                <w:rPr>
                  <w:rFonts w:ascii="Arial" w:cs="Arial" w:eastAsia="Arial" w:hAnsi="Arial"/>
                  <w:sz w:val="18"/>
                  <w:szCs w:val="18"/>
                  <w:color w:val="0000EE"/>
                  <w:w w:val="86"/>
                </w:rPr>
                <w:t>F-43</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1">
              <w:r>
                <w:rPr>
                  <w:rFonts w:ascii="Arial" w:cs="Arial" w:eastAsia="Arial" w:hAnsi="Arial"/>
                  <w:sz w:val="18"/>
                  <w:szCs w:val="18"/>
                  <w:color w:val="0000EE"/>
                  <w:w w:val="87"/>
                </w:rPr>
                <w:t>5.</w:t>
              </w:r>
              <w:r>
                <w:rPr>
                  <w:rFonts w:ascii="Arial" w:cs="Arial" w:eastAsia="Arial" w:hAnsi="Arial"/>
                  <w:sz w:val="18"/>
                  <w:szCs w:val="18"/>
                  <w:u w:val="single" w:color="auto"/>
                  <w:color w:val="0000EE"/>
                  <w:w w:val="87"/>
                </w:rPr>
                <w:t>2</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1">
              <w:r>
                <w:rPr>
                  <w:rFonts w:ascii="Arial" w:cs="Arial" w:eastAsia="Arial" w:hAnsi="Arial"/>
                  <w:sz w:val="18"/>
                  <w:szCs w:val="18"/>
                  <w:color w:val="0000EE"/>
                </w:rPr>
                <w:t>Related Party Disclosures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1">
              <w:r>
                <w:rPr>
                  <w:rFonts w:ascii="Arial" w:cs="Arial" w:eastAsia="Arial" w:hAnsi="Arial"/>
                  <w:sz w:val="18"/>
                  <w:szCs w:val="18"/>
                  <w:color w:val="0000EE"/>
                  <w:w w:val="86"/>
                </w:rPr>
                <w:t>F-50</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3</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Company Overview</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2">
              <w:r>
                <w:rPr>
                  <w:rFonts w:ascii="Arial" w:cs="Arial" w:eastAsia="Arial" w:hAnsi="Arial"/>
                  <w:sz w:val="18"/>
                  <w:szCs w:val="18"/>
                  <w:color w:val="0000EE"/>
                  <w:w w:val="86"/>
                </w:rPr>
                <w:t>F-51</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720" w:type="dxa"/>
            <w:vAlign w:val="bottom"/>
            <w:gridSpan w:val="1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4</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Commitments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2">
              <w:r>
                <w:rPr>
                  <w:rFonts w:ascii="Arial" w:cs="Arial" w:eastAsia="Arial" w:hAnsi="Arial"/>
                  <w:sz w:val="18"/>
                  <w:szCs w:val="18"/>
                  <w:color w:val="0000EE"/>
                  <w:w w:val="86"/>
                </w:rPr>
                <w:t>F-51</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140" w:type="dxa"/>
            <w:vAlign w:val="bottom"/>
            <w:gridSpan w:val="18"/>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5</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3">
              <w:r>
                <w:rPr>
                  <w:rFonts w:ascii="Arial" w:cs="Arial" w:eastAsia="Arial" w:hAnsi="Arial"/>
                  <w:sz w:val="18"/>
                  <w:szCs w:val="18"/>
                  <w:color w:val="0000EE"/>
                </w:rPr>
                <w:t>Contingent Assets, Contingent Liabilities and Subsequent Events</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3">
              <w:r>
                <w:rPr>
                  <w:rFonts w:ascii="Arial" w:cs="Arial" w:eastAsia="Arial" w:hAnsi="Arial"/>
                  <w:sz w:val="18"/>
                  <w:szCs w:val="18"/>
                  <w:color w:val="0000EE"/>
                  <w:w w:val="86"/>
                </w:rPr>
                <w:t>F-52</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160" w:type="dxa"/>
            <w:vAlign w:val="bottom"/>
            <w:gridSpan w:val="2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5">
              <w:r>
                <w:rPr>
                  <w:rFonts w:ascii="Arial" w:cs="Arial" w:eastAsia="Arial" w:hAnsi="Arial"/>
                  <w:sz w:val="18"/>
                  <w:szCs w:val="18"/>
                  <w:color w:val="0000EE"/>
                  <w:w w:val="87"/>
                </w:rPr>
                <w:t>5.</w:t>
              </w:r>
              <w:r>
                <w:rPr>
                  <w:rFonts w:ascii="Arial" w:cs="Arial" w:eastAsia="Arial" w:hAnsi="Arial"/>
                  <w:sz w:val="18"/>
                  <w:szCs w:val="18"/>
                  <w:u w:val="single" w:color="auto"/>
                  <w:color w:val="0000EE"/>
                  <w:w w:val="87"/>
                </w:rPr>
                <w:t>6</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Fees to Auditors Appointed at the Annual General Meeting</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5">
              <w:r>
                <w:rPr>
                  <w:rFonts w:ascii="Arial" w:cs="Arial" w:eastAsia="Arial" w:hAnsi="Arial"/>
                  <w:sz w:val="18"/>
                  <w:szCs w:val="18"/>
                  <w:color w:val="0000EE"/>
                  <w:w w:val="86"/>
                </w:rPr>
                <w:t>F-54</w:t>
              </w:r>
            </w:hyperlink>
          </w:p>
        </w:tc>
      </w:tr>
      <w:tr>
        <w:trPr>
          <w:trHeight w:val="20"/>
        </w:trPr>
        <w:tc>
          <w:tcPr>
            <w:tcW w:w="11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160" w:type="dxa"/>
            <w:vAlign w:val="bottom"/>
            <w:gridSpan w:val="2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80" w:type="dxa"/>
            <w:vAlign w:val="bottom"/>
            <w:gridSpan w:val="3"/>
          </w:tcPr>
          <w:p>
            <w:pPr>
              <w:ind w:left="1140"/>
              <w:spacing w:after="0" w:line="196" w:lineRule="exact"/>
              <w:rPr>
                <w:rFonts w:ascii="Arial" w:cs="Arial" w:eastAsia="Arial" w:hAnsi="Arial"/>
                <w:sz w:val="18"/>
                <w:szCs w:val="18"/>
                <w:color w:val="0000EE"/>
                <w:w w:val="87"/>
              </w:rPr>
            </w:pPr>
            <w:hyperlink w:anchor="page306">
              <w:r>
                <w:rPr>
                  <w:rFonts w:ascii="Arial" w:cs="Arial" w:eastAsia="Arial" w:hAnsi="Arial"/>
                  <w:sz w:val="18"/>
                  <w:szCs w:val="18"/>
                  <w:color w:val="0000EE"/>
                  <w:w w:val="87"/>
                </w:rPr>
                <w:t>5.</w:t>
              </w:r>
              <w:r>
                <w:rPr>
                  <w:rFonts w:ascii="Arial" w:cs="Arial" w:eastAsia="Arial" w:hAnsi="Arial"/>
                  <w:sz w:val="18"/>
                  <w:szCs w:val="18"/>
                  <w:u w:val="single" w:color="auto"/>
                  <w:color w:val="0000EE"/>
                  <w:w w:val="87"/>
                </w:rPr>
                <w:t>7</w:t>
              </w:r>
            </w:hyperlink>
          </w:p>
        </w:tc>
        <w:tc>
          <w:tcPr>
            <w:tcW w:w="8240" w:type="dxa"/>
            <w:vAlign w:val="bottom"/>
            <w:gridSpan w:val="32"/>
          </w:tcPr>
          <w:p>
            <w:pPr>
              <w:ind w:left="20"/>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Adjustments related to Cash Flow Statement</w:t>
              </w:r>
            </w:hyperlink>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306">
              <w:r>
                <w:rPr>
                  <w:rFonts w:ascii="Arial" w:cs="Arial" w:eastAsia="Arial" w:hAnsi="Arial"/>
                  <w:sz w:val="18"/>
                  <w:szCs w:val="18"/>
                  <w:color w:val="0000EE"/>
                  <w:w w:val="86"/>
                </w:rPr>
                <w:t>F-55</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gridSpan w:val="6"/>
          </w:tcPr>
          <w:p>
            <w:pPr>
              <w:jc w:val="center"/>
              <w:ind w:right="3480"/>
              <w:spacing w:after="0"/>
              <w:rPr>
                <w:sz w:val="20"/>
                <w:szCs w:val="20"/>
                <w:color w:val="auto"/>
              </w:rPr>
            </w:pPr>
            <w:r>
              <w:rPr>
                <w:rFonts w:ascii="Arial" w:cs="Arial" w:eastAsia="Arial" w:hAnsi="Arial"/>
                <w:sz w:val="18"/>
                <w:szCs w:val="18"/>
                <w:color w:val="auto"/>
                <w:w w:val="88"/>
              </w:rPr>
              <w:t>F-3</w:t>
            </w: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20" w:type="dxa"/>
            <w:vAlign w:val="bottom"/>
          </w:tcPr>
          <w:p>
            <w:pPr>
              <w:ind w:left="340"/>
              <w:spacing w:after="0"/>
              <w:rPr>
                <w:sz w:val="20"/>
                <w:szCs w:val="20"/>
                <w:color w:val="auto"/>
              </w:rPr>
            </w:pPr>
            <w:r>
              <w:rPr>
                <w:rFonts w:ascii="Arial" w:cs="Arial" w:eastAsia="Arial" w:hAnsi="Arial"/>
                <w:sz w:val="13"/>
                <w:szCs w:val="13"/>
                <w:b w:val="1"/>
                <w:bCs w:val="1"/>
                <w:color w:val="auto"/>
              </w:rPr>
              <w:t>Note</w:t>
            </w:r>
          </w:p>
        </w:tc>
        <w:tc>
          <w:tcPr>
            <w:tcW w:w="1040" w:type="dxa"/>
            <w:vAlign w:val="bottom"/>
            <w:gridSpan w:val="2"/>
          </w:tcPr>
          <w:p>
            <w:pPr>
              <w:jc w:val="right"/>
              <w:ind w:right="21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2.1, 2.2</w:t>
            </w:r>
          </w:p>
        </w:tc>
        <w:tc>
          <w:tcPr>
            <w:tcW w:w="120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2,365,436</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2.3, 3.1, 3.2</w:t>
            </w:r>
          </w:p>
        </w:tc>
        <w:tc>
          <w:tcPr>
            <w:tcW w:w="1200" w:type="dxa"/>
            <w:vAlign w:val="bottom"/>
            <w:gridSpan w:val="3"/>
          </w:tcPr>
          <w:p>
            <w:pPr>
              <w:jc w:val="right"/>
              <w:ind w:right="18"/>
              <w:spacing w:after="0"/>
              <w:rPr>
                <w:sz w:val="20"/>
                <w:szCs w:val="20"/>
                <w:color w:val="auto"/>
              </w:rPr>
            </w:pPr>
            <w:r>
              <w:rPr>
                <w:rFonts w:ascii="Arial" w:cs="Arial" w:eastAsia="Arial" w:hAnsi="Arial"/>
                <w:sz w:val="18"/>
                <w:szCs w:val="18"/>
                <w:color w:val="auto"/>
              </w:rPr>
              <w:t>(874,278)</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2.3, 3.2</w:t>
            </w:r>
          </w:p>
        </w:tc>
        <w:tc>
          <w:tcPr>
            <w:tcW w:w="1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(146,987)</w:t>
            </w: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(1,021,265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w:t>
            </w:r>
          </w:p>
        </w:tc>
        <w:tc>
          <w:tcPr>
            <w:tcW w:w="9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1,344,171</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71,699</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(352,150)</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Net result before tax</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1,063,720</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tax</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20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39,831</w:t>
            </w: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Net result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result per share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20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18.14</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Diluted net result per share</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0" w:type="dxa"/>
            <w:vAlign w:val="bottom"/>
            <w:gridSpan w:val="3"/>
          </w:tcPr>
          <w:p>
            <w:pPr>
              <w:jc w:val="right"/>
              <w:ind w:right="58"/>
              <w:spacing w:after="0"/>
              <w:rPr>
                <w:sz w:val="20"/>
                <w:szCs w:val="20"/>
                <w:color w:val="auto"/>
              </w:rPr>
            </w:pPr>
            <w:r>
              <w:rPr>
                <w:rFonts w:ascii="Arial" w:cs="Arial" w:eastAsia="Arial" w:hAnsi="Arial"/>
                <w:sz w:val="18"/>
                <w:szCs w:val="18"/>
                <w:color w:val="auto"/>
              </w:rPr>
              <w:t>17.77</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Comprehensive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Net result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Amounts which will be re-classified to the income statement</w:t>
            </w: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of foreign currency fluctuations on subsidiaries</w:t>
            </w:r>
          </w:p>
        </w:tc>
        <w:tc>
          <w:tcPr>
            <w:tcW w:w="9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(16,631)</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Fair value adjustments of cash flow hedges</w:t>
            </w: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 during the period</w:t>
            </w:r>
          </w:p>
        </w:tc>
        <w:tc>
          <w:tcPr>
            <w:tcW w:w="9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15,879</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Fair value adjustments reclassified to the income statement to financial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(20,051)</w:t>
            </w: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1,082,748</w:t>
            </w: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b w:val="1"/>
                <w:bCs w:val="1"/>
                <w:color w:val="auto"/>
              </w:rPr>
              <w:t>Note</w:t>
            </w:r>
          </w:p>
        </w:tc>
        <w:tc>
          <w:tcPr>
            <w:tcW w:w="22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3"/>
                <w:szCs w:val="13"/>
                <w:b w:val="1"/>
                <w:bCs w:val="1"/>
                <w:color w:val="auto"/>
              </w:rPr>
              <w:t>DKK'000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2.2, 3.1</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124,395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2.2, 3.2</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113,415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8,756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296,949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543,515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Receivables</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0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579,002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Corporate taxes receivable</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57,688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4,075,192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1,347,545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6,059,427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6,602,942</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Shareholders' Equity and Liabilities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61,186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premium</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7,983,652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Other reserves</w:t>
            </w:r>
          </w:p>
        </w:tc>
        <w:tc>
          <w:tcPr>
            <w:tcW w:w="56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82,080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(1,854,726)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5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6,272,192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Provisions</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0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Other payables</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260" w:type="dxa"/>
            <w:vAlign w:val="bottom"/>
            <w:gridSpan w:val="2"/>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Arial" w:cs="Arial" w:eastAsia="Arial" w:hAnsi="Arial"/>
                <w:sz w:val="18"/>
                <w:szCs w:val="18"/>
                <w:color w:val="auto"/>
              </w:rPr>
              <w:t>Deferred income</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7"/>
              </w:rPr>
              <w:t>2.1</w:t>
            </w: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gridSpan w:val="2"/>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150,648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payables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176,473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5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327,121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5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330,750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5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6,602,942</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89"/>
              </w:rPr>
              <w:t>Note</w:t>
            </w:r>
          </w:p>
        </w:tc>
        <w:tc>
          <w:tcPr>
            <w:tcW w:w="104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Net result before tax</w:t>
            </w:r>
          </w:p>
        </w:tc>
        <w:tc>
          <w:tcPr>
            <w:tcW w:w="3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1,063,720</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Reversal of financial items, net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280,451</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Adjustment for non-cash transactions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145,895</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working capital</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239,646</w:t>
            </w:r>
          </w:p>
        </w:tc>
        <w:tc>
          <w:tcPr>
            <w:tcW w:w="14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generated by operating activities before financial items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1,729,712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interest received</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42,943</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Financial expenses paid</w:t>
            </w:r>
          </w:p>
        </w:tc>
        <w:tc>
          <w:tcPr>
            <w:tcW w:w="3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(2,802)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taxes received/(paid)</w:t>
            </w:r>
          </w:p>
        </w:tc>
        <w:tc>
          <w:tcPr>
            <w:tcW w:w="3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(180,881)</w:t>
            </w:r>
          </w:p>
        </w:tc>
      </w:tr>
      <w:tr>
        <w:trPr>
          <w:trHeight w:val="20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Net cash generated by operating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1,588,972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Investment in tangible assets</w:t>
            </w:r>
          </w:p>
        </w:tc>
        <w:tc>
          <w:tcPr>
            <w:tcW w:w="3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(88,510)</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 bought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(3,425,025)</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Marketable securities sold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2,845,961</w:t>
            </w:r>
          </w:p>
        </w:tc>
        <w:tc>
          <w:tcPr>
            <w:tcW w:w="14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(667,574)</w:t>
            </w:r>
          </w:p>
        </w:tc>
      </w:tr>
      <w:tr>
        <w:trPr>
          <w:trHeight w:val="20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for cash</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214,075</w:t>
            </w:r>
          </w:p>
        </w:tc>
        <w:tc>
          <w:tcPr>
            <w:tcW w:w="14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214,911</w:t>
            </w:r>
          </w:p>
        </w:tc>
        <w:tc>
          <w:tcPr>
            <w:tcW w:w="14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Changes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1,136,309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307,023</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Exchange rate adjustments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(95,787)</w:t>
            </w: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1,347,545</w:t>
            </w:r>
          </w:p>
        </w:tc>
        <w:tc>
          <w:tcPr>
            <w:tcW w:w="14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include: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deposits and petty cash</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1,347,545</w:t>
            </w:r>
          </w:p>
        </w:tc>
        <w:tc>
          <w:tcPr>
            <w:tcW w:w="140" w:type="dxa"/>
            <w:vAlign w:val="bottom"/>
            <w:shd w:val="clear" w:color="auto" w:fill="CCEEFF"/>
          </w:tcPr>
          <w:p>
            <w:pPr>
              <w:spacing w:after="0"/>
              <w:rPr>
                <w:sz w:val="18"/>
                <w:szCs w:val="18"/>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1,347,545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bl>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Statement of Changes in Equity</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Number of</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Share</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Share</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Translation</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Cash flow</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Shareholders'</w:t>
            </w:r>
          </w:p>
        </w:tc>
      </w:tr>
      <w:tr>
        <w:trPr>
          <w:trHeight w:val="161"/>
        </w:trPr>
        <w:tc>
          <w:tcPr>
            <w:tcW w:w="24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capital</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premium</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reserves</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hedges</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2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8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60,350,056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60,350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7,769,577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98,711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(3,106,114)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4,826,696</w:t>
            </w:r>
          </w:p>
        </w:tc>
      </w:tr>
      <w:tr>
        <w:trPr>
          <w:trHeight w:val="210"/>
        </w:trPr>
        <w:tc>
          <w:tcPr>
            <w:tcW w:w="242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4"/>
              </w:rPr>
              <w:t>1,103,551</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1,103,551</w:t>
            </w:r>
          </w:p>
        </w:tc>
        <w:tc>
          <w:tcPr>
            <w:tcW w:w="160" w:type="dxa"/>
            <w:vAlign w:val="bottom"/>
          </w:tcPr>
          <w:p>
            <w:pPr>
              <w:spacing w:after="0"/>
              <w:rPr>
                <w:sz w:val="18"/>
                <w:szCs w:val="18"/>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(20,803)</w:t>
            </w:r>
          </w:p>
        </w:tc>
      </w:tr>
      <w:tr>
        <w:trPr>
          <w:trHeight w:val="209"/>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w w:val="95"/>
              </w:rPr>
              <w:t>Total comprehensive income</w:t>
            </w:r>
          </w:p>
        </w:tc>
        <w:tc>
          <w:tcPr>
            <w:tcW w:w="8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w w:val="77"/>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(16,631)</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1,103,551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1,082,748</w:t>
            </w:r>
          </w:p>
        </w:tc>
        <w:tc>
          <w:tcPr>
            <w:tcW w:w="16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835,618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214,075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214,911</w:t>
            </w:r>
          </w:p>
        </w:tc>
      </w:tr>
      <w:tr>
        <w:trPr>
          <w:trHeight w:val="20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75,985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75,985</w:t>
            </w:r>
          </w:p>
        </w:tc>
      </w:tr>
      <w:tr>
        <w:trPr>
          <w:trHeight w:val="208"/>
        </w:trPr>
        <w:tc>
          <w:tcPr>
            <w:tcW w:w="2420" w:type="dxa"/>
            <w:vAlign w:val="bottom"/>
          </w:tcPr>
          <w:p>
            <w:pPr>
              <w:ind w:left="20"/>
              <w:spacing w:after="0"/>
              <w:rPr>
                <w:sz w:val="20"/>
                <w:szCs w:val="20"/>
                <w:color w:val="auto"/>
              </w:rPr>
            </w:pPr>
            <w:r>
              <w:rPr>
                <w:rFonts w:ascii="Arial" w:cs="Arial" w:eastAsia="Arial" w:hAnsi="Arial"/>
                <w:sz w:val="18"/>
                <w:szCs w:val="18"/>
                <w:color w:val="auto"/>
              </w:rPr>
              <w:t>Tax on items recognized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420" w:type="dxa"/>
            <w:vAlign w:val="bottom"/>
          </w:tcPr>
          <w:p>
            <w:pPr>
              <w:ind w:left="180"/>
              <w:spacing w:after="0"/>
              <w:rPr>
                <w:sz w:val="20"/>
                <w:szCs w:val="20"/>
                <w:color w:val="auto"/>
              </w:rPr>
            </w:pPr>
            <w:r>
              <w:rPr>
                <w:rFonts w:ascii="Arial" w:cs="Arial" w:eastAsia="Arial" w:hAnsi="Arial"/>
                <w:sz w:val="18"/>
                <w:szCs w:val="18"/>
                <w:color w:val="auto"/>
              </w:rPr>
              <w:t>directly in equity</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71,852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71,852</w:t>
            </w:r>
          </w:p>
        </w:tc>
      </w:tr>
      <w:tr>
        <w:trPr>
          <w:trHeight w:val="196"/>
        </w:trPr>
        <w:tc>
          <w:tcPr>
            <w:tcW w:w="2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61,185,674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61,186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7,983,652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82,080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(1,854,726)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6,272,192</w:t>
            </w:r>
          </w:p>
        </w:tc>
      </w:tr>
      <w:tr>
        <w:trPr>
          <w:trHeight w:val="20"/>
        </w:trPr>
        <w:tc>
          <w:tcPr>
            <w:tcW w:w="2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1.1—Nature of the Business and Accounting Policies</w:t>
      </w:r>
    </w:p>
    <w:p>
      <w:pPr>
        <w:spacing w:after="0" w:line="231"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Genmab A/S is a publicly traded, international biotechnology company specializing in the creation and development of differentiated antibody therapeutics for the treatment of cancer and other diseases. Founded in 1999, the company has two approved antibodies, a broad clinical and pre-clinical product pipeline and proprietary next generation antibody technologies.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have been prepared in accordance with IFRS as issued by the International Accounting Standards Board (IASB), with the exception that these financial statements do not include comparative information for the prior year as required by IAS 1 "Presentation of Financial Statements". Except as outlined in note 1.2, the financial statements have been prepared using the same accounting policies as 2016. These consolidated financial statements were approved by our Board of Directors on February 4, 2019.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refer to the overview below to see in which note/section the detailed accounting policy is included.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2—Results for the Year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2.2 Information about Geographical Areas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 Staff Costs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2.4 Corporate and Deferred Tax</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2.5 Result per Share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 Property, Plant and Equipment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3.3 Receivables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3.4 Provisions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 Other Payables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4.3 Financial Assets and Liabilities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4.4 Marketable Securities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4.5 Financial Income and Expenses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5—Other Disclosures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5.3 Company Overview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5.4 Commitments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5.5 Contingent Assets, Contingent Liabilities and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Materiality</w:t>
      </w:r>
    </w:p>
    <w:p>
      <w:pPr>
        <w:spacing w:after="0" w:line="225"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group's annual report is based on the concept of materiality and the group focuses on information that is considered material and relevant to the users of the consolidated financial statements. The consolidated financial statements consist of a large number of transactions. These transactions are aggregated into classes according to their nature or function and presented in classes of similar items in the consolidated financial statements as required by IFRS. If items are individually immaterial, they are aggregated with other items of similar nature in the financial statements or in the notes.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disclosure requirements are substantial in IFRS and the group provides these specific required disclosures unless the information is considered immaterial to the economic decision-making of the readers of the financial statements or 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consolidated financial statements include Genmab A/S (the parent company)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A group overview is included in note 5.3.</w:t>
      </w:r>
    </w:p>
    <w:p>
      <w:pPr>
        <w:spacing w:after="0" w:line="16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group's consolidated financial statements have been prepared on the basis of the financial statements of the parent company and subsidiaries— prepared under the group's accounting policies—by combining similar accounting items on a line-by-line basis. On consolidation, intercompany income and expenses, intercompany receivables and payables, and unrealized gains and losses on transactions between the consolidated companies are eliminated. There was no change in the scope of consolidation during 2017.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recorded value of the equity interests in the consolidated subsidiaries is eliminated with the proportionate share of the subsidiaries' equity.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Subsidiaries are consolidated from the date when control is transferred to the group.</w:t>
      </w:r>
    </w:p>
    <w:p>
      <w:pPr>
        <w:spacing w:after="0" w:line="21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income statements for subsidiaries with a different functional currency than the group presentation currency are translated into the group's presentation currency at the year's weighted average exchange rate, and the balance sheets are translated at the exchange rate in effect at the balance sheet date. 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 Translation reserves cannot be used for distribution.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financial statements have been prepared in Danish Kroner (DKK), which is the functional and presentation currency of the parent company. The financial statements have been rounded to the nearest thousand, unless otherwise stated.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Transactions in foreign currencies are translated at the exchange rates in effect at the date of the transaction. Exchange rate gains and losses arising between the transaction date and the settlement date are recognized in the income statement as financial items. Unsettled monetary assets and liabilities in foreign currencies are translated at the exchange rates in effect at the balance sheet date. Exchange rate gains and losses arising between the transaction date and the balance sheet date are recognized in the income statement as financial items.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Operating Expenses in the Income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Research and development expenses primarily include salaries, benefits and other employee related costs of our research and development staff, license costs, manufacturing costs, pre-clinical costs, clinical trials, contractors and outside service fees, amortization of licenses and rights, and depreciation and impairment of intangible assets and property, plant and equipment, to the extent that such costs are related to the group's research and development activities. Research and development activities are expensed as incurred. Please see note 3.1 for a more detailed description.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General and administrative expenses relate to the management and administration of the group. This includes salaries, benefits and other headcount costs related to management and support functions including human resources, information technology and the finance departments. In addition, depreciation and impairment of intangible assets and property, plant and equipment, to the extent such expenses are related to the administrative functions are also included. General and administrative expenses are recognized in the income statement in the period to which they relate.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cash flow statement is presented using the indirect method with basis in the net result before tax. Cash flow from operating activities is stated as the net result adjusted for net financial items, non-cash operating items such as depreciation, amortization, impairment losses, share-based compensation expenses, provisions, and for changes in working capital, interest paid and received, and corporate taxes paid. Working capital mainly comprises changes in receivables, deferred income, provisions paid and other payables excluding the items included in cash and cash equivalents. Changes in non-current assets and liabilities are included in working capital, if related to the main revenue-producing activities of Genmab.</w:t>
      </w:r>
    </w:p>
    <w:p>
      <w:pPr>
        <w:spacing w:after="0" w:line="16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Cash flow from investing activities is comprised of cash flow from the purchase and sale of intangible assets and property, plant and equipment and financial assets as well as purchase and sale of marketable securities.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Cash flow from financing activities is comprised of cash flow from the issuance of shares, if any, and payment of long-term loans including installments on lease liabilities.</w:t>
      </w:r>
    </w:p>
    <w:p>
      <w:pPr>
        <w:spacing w:after="0" w:line="186"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Finance lease transactions are considered non-cash transactions. Cash and cash equivalents comprise cash, bank deposits, and marketable securities with a maturity of three months or less on the date of acquisition. The cash flow statement cannot be derived solely from the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The method of recognizing the resulting gain or loss depends on whether the derivative is designated as a hedging instrument, and if so, the nature of the item being hedged. The group designates certain derivatives as either:</w:t>
      </w:r>
    </w:p>
    <w:p>
      <w:pPr>
        <w:spacing w:after="0" w:line="207" w:lineRule="exact"/>
        <w:rPr>
          <w:sz w:val="20"/>
          <w:szCs w:val="20"/>
          <w:color w:val="auto"/>
        </w:rPr>
      </w:pPr>
    </w:p>
    <w:p>
      <w:pPr>
        <w:ind w:left="5460" w:right="2980" w:hanging="4912"/>
        <w:spacing w:after="0" w:line="518" w:lineRule="auto"/>
        <w:tabs>
          <w:tab w:leader="none" w:pos="10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Fair value hedge (hedges of the fair value of recognized assets or liabilities or a firm commitment); or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45" w:lineRule="exact"/>
        <w:rPr>
          <w:sz w:val="20"/>
          <w:szCs w:val="20"/>
          <w:color w:val="auto"/>
        </w:rPr>
      </w:pPr>
    </w:p>
    <w:p>
      <w:pPr>
        <w:ind w:left="360" w:right="800" w:firstLine="188"/>
        <w:spacing w:after="0" w:line="500" w:lineRule="auto"/>
        <w:tabs>
          <w:tab w:leader="none" w:pos="10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flow hedge (hedges of a particular risk associated with a recognized asset or liability or a highly probable forecast transaction). There were no hedges of currency exposure in subsidiaries in 2017.</w:t>
      </w:r>
    </w:p>
    <w:p>
      <w:pPr>
        <w:spacing w:after="0" w:line="2" w:lineRule="exact"/>
        <w:rPr>
          <w:sz w:val="20"/>
          <w:szCs w:val="20"/>
          <w:color w:val="auto"/>
        </w:rPr>
      </w:pPr>
    </w:p>
    <w:p>
      <w:pPr>
        <w:jc w:val="both"/>
        <w:ind w:right="260" w:firstLine="341"/>
        <w:spacing w:after="0" w:line="335" w:lineRule="auto"/>
        <w:rPr>
          <w:sz w:val="20"/>
          <w:szCs w:val="20"/>
          <w:color w:val="auto"/>
        </w:rPr>
      </w:pPr>
      <w:r>
        <w:rPr>
          <w:rFonts w:ascii="Arial" w:cs="Arial" w:eastAsia="Arial" w:hAnsi="Arial"/>
          <w:sz w:val="15"/>
          <w:szCs w:val="15"/>
          <w:color w:val="auto"/>
        </w:rPr>
        <w:t>At the inception of a transaction, the group documents the relationship between hedging instruments and hedged items, as well as its risk management objectives and strategy for undertaking various hedging transactions. The group also documents its assessment, both at hedge inception and on an ongoing basis, of whether the derivatives that are used in hedging transactions are highly effective in offsetting changes in fair values or cash flows of hedged items.</w:t>
      </w:r>
    </w:p>
    <w:p>
      <w:pPr>
        <w:spacing w:after="0" w:line="14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Movements on the hedging reserve in other comprehensive income are shown as part of the statement of shareholders' equity. The full fair value of a hedging derivative is classified as a non-current asset or liability when the remaining maturity of the hedged item is more than 12 months and as a current asset or liability when the remaining maturity of the hedged item is less than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Changes in the fair value of derivatives that are designated and qualify as fair value hedges are recorded in the income statement, together with any changes in the fair value of the hedged asset or liability that is attributable to the hedged risk.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recognized in other comprehensive income. The gain or loss relating to the ineffective portion and changes in time value of the derivative instrument is recognized immediately in the income statement within financial income or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total amount paid to acquire treasury shares including directly attributable costs and the proceeds from the sale of treasury shares are recognized in accumulated deficit.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group has entered into various collaboration agreements, primarily in connection with the group's research and development projects and the clinical testing of product candidates. The collaboration agreements are structured such that each party contributes its respective skills in the various phases of the development project and contain contractual terms regarding sharing of control over the relevant activities under the agreement. No joint control exists for the group's collaborations with Janssen and Novartis as they retain final decision making authority over the relevant activities. The group's collaboration agreements with BioNTech and Aduro Biotech may become subject to joint control if product candidates under the agreements are selected for joint clinical development as this would require unanimous consent of both parties on decisions related to the relevant activities. Under these agreements, joint clinical development may be selected on a product by product basis and would result in development cost and product ownership being shared equally going forward. These agreements also include provisions which will allow the parties to opt out of joint development at key points along the development timeline. An opt out by one of the parties would result in loss of joint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control by the opt out party and the other party is entitled to continue developing the product on predetermined licensing terms. During 2017 Seattle Genetics exercised its option to co-develop &amp; co-commercialize tisotumab vedotin. All costs and profits for tisotumab vedotin will be shared on a 50:50 basis and joint control exists over the relevant activities. Accordingly, only the tisotumab collaboration with Seattle Genetics is considered a joint operation under IFRS 11, </w:t>
      </w:r>
      <w:r>
        <w:rPr>
          <w:rFonts w:ascii="Arial" w:cs="Arial" w:eastAsia="Arial" w:hAnsi="Arial"/>
          <w:sz w:val="18"/>
          <w:szCs w:val="18"/>
          <w:i w:val="1"/>
          <w:iCs w:val="1"/>
          <w:color w:val="auto"/>
        </w:rPr>
        <w:t xml:space="preserve">"Joint Arrangements." </w:t>
      </w:r>
      <w:r>
        <w:rPr>
          <w:rFonts w:ascii="Arial" w:cs="Arial" w:eastAsia="Arial" w:hAnsi="Arial"/>
          <w:sz w:val="18"/>
          <w:szCs w:val="18"/>
          <w:color w:val="auto"/>
        </w:rPr>
        <w:t>Revenues, expenses, receivables, and payables in connection with our collaboration agreements are included in the related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lines and footnotes.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1.2—New Accounting Policies and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Policies and Disclosures for 2017</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Genmab has, with effect from January 1, 2017, implemented the amendments to IAS 7 and IAS 12. The implementation has not impacted the recognition and measurement of Genmab's assets and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Policies and Disclosures Effective in 2018 or Later</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IASB has issued a number of new standards and updated some existing standards, the majority of which are effective for accounting periods beginning on January 1, 2018 or later. Therefore, they are not incorporated in the consolidated financial statements. Only standards and interpretations of relevance for the Genmab group, and in general are expected to change current accounting regulation most significantly are described below.</w:t>
      </w:r>
    </w:p>
    <w:p>
      <w:pPr>
        <w:spacing w:after="0" w:line="16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IASB has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with an effective date of January 1, 2018. Entities will apply a five step model to determine when, how and at what amount of revenue is to be recognized depending on whether certain criteria are met. This is different from the current accounting standards based on the transfer of risks and rewards. The standard permits either a full retrospective or a modified retrospective approach for the adoption. The IASB issued Clarifications to IFRS 15 </w:t>
      </w:r>
      <w:r>
        <w:rPr>
          <w:rFonts w:ascii="Arial" w:cs="Arial" w:eastAsia="Arial" w:hAnsi="Arial"/>
          <w:sz w:val="16"/>
          <w:szCs w:val="16"/>
          <w:i w:val="1"/>
          <w:iCs w:val="1"/>
          <w:color w:val="auto"/>
        </w:rPr>
        <w:t>"Amendments to IFRS 15—Clarifications to IFRS 15 Revenue from Contracts with Customers",</w:t>
      </w:r>
      <w:r>
        <w:rPr>
          <w:rFonts w:ascii="Arial" w:cs="Arial" w:eastAsia="Arial" w:hAnsi="Arial"/>
          <w:sz w:val="16"/>
          <w:szCs w:val="16"/>
          <w:color w:val="auto"/>
        </w:rPr>
        <w:t xml:space="preserve"> with an effective date of January 1, 2018. The clarifications address how to identify the performance obligations in a contract, how to determine whether a party involved in a transaction is the principal or the agent, how to determine whether a license provides the customer with a right to access or a right to use the entity's intellectual property, and added practical expedients to the transition requirements of IFRS 15. Genmab will adopt IFRS 15 on the effective date utilizing the modified retrospective method. Genmab has performed its analysis of the adoption of IFRS 15 and determined the adoption will have the following impact to our revenue recognition for our collaboration agreements:</w:t>
      </w:r>
    </w:p>
    <w:p>
      <w:pPr>
        <w:spacing w:after="0" w:line="186" w:lineRule="exact"/>
        <w:rPr>
          <w:sz w:val="20"/>
          <w:szCs w:val="20"/>
          <w:color w:val="auto"/>
        </w:rPr>
      </w:pPr>
    </w:p>
    <w:p>
      <w:pPr>
        <w:ind w:left="1080" w:right="60" w:hanging="532"/>
        <w:spacing w:after="0" w:line="314" w:lineRule="auto"/>
        <w:tabs>
          <w:tab w:leader="none" w:pos="10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Changes in revenue recognition for licenses of functional intellectual property resulted in a timing difference of revenue recognition between current accounting standards and IFRS 15. For certain of our agreements, the value associated with the licenses and certain other deliverables had been assessed as one unit of accounting and recognized over a period of time pursuant to revenue recognition guidance in effect at time of such agreements. Under IFRS 15, the licenses of functional intellectual property were determined to be distinct from other deliverables and the customers obtained the right to use the functional intellectual property on the effective date of the agreements when control transferred. This timing difference of revenue recognition will result in the deferred revenue balance of DKK 150.6 million as of December 31, 2017 being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reclassified to accumulated deficit (a concept known as "lost revenue") in the first quarter of 2018 as a transition adjustment.</w:t>
      </w:r>
    </w:p>
    <w:p>
      <w:pPr>
        <w:spacing w:after="0" w:line="239" w:lineRule="exact"/>
        <w:rPr>
          <w:sz w:val="20"/>
          <w:szCs w:val="20"/>
          <w:color w:val="auto"/>
        </w:rPr>
      </w:pPr>
    </w:p>
    <w:p>
      <w:pPr>
        <w:ind w:left="1080" w:right="120" w:hanging="532"/>
        <w:spacing w:after="0" w:line="298"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 milestone payments, under current accounting standards, we recognize such payments as revenue in the period that the payment-triggering event occurred or is achieved. IFRS 15 may require Genmab to recognize such payments as revenue before the payment-triggering event is completely achieved, subject to management's assessment of whether it is highly probable that the triggering event will be achieved and that a significant reversal in the amount of cumulative revenue recognized will not occur.</w:t>
      </w:r>
    </w:p>
    <w:p>
      <w:pPr>
        <w:spacing w:after="0" w:line="193"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Sales-based royalties and commercial sales-based milestones will be recognized in the period to which the sales relate based on estimates provided by collaborations partners which is consistent with Genmab's current accounting policies.</w:t>
      </w:r>
    </w:p>
    <w:p>
      <w:pPr>
        <w:spacing w:after="0" w:line="18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 xml:space="preserve">The IASB has issued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with an effective date of January 1, 2018. IFRS 9 addresses the classification, measurement and derecognition of financial assets and financial liabilities, new rules for hedge accounting and a new impairment model for financial assets. The new standard also introduces expanded disclosure requirements. Genmab has performed its analysis of the adoption of IFRS 9 and determined it will not have a material impact on the consolidated financial statements. Genmab will adopt IFRS 9 on the effective date.</w:t>
      </w:r>
    </w:p>
    <w:p>
      <w:pPr>
        <w:spacing w:after="0" w:line="16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IASB has issued IFRS 16 </w:t>
      </w:r>
      <w:r>
        <w:rPr>
          <w:rFonts w:ascii="Arial" w:cs="Arial" w:eastAsia="Arial" w:hAnsi="Arial"/>
          <w:sz w:val="16"/>
          <w:szCs w:val="16"/>
          <w:i w:val="1"/>
          <w:iCs w:val="1"/>
          <w:color w:val="auto"/>
        </w:rPr>
        <w:t>"Leasing",</w:t>
      </w:r>
      <w:r>
        <w:rPr>
          <w:rFonts w:ascii="Arial" w:cs="Arial" w:eastAsia="Arial" w:hAnsi="Arial"/>
          <w:sz w:val="16"/>
          <w:szCs w:val="16"/>
          <w:color w:val="auto"/>
        </w:rPr>
        <w:t xml:space="preserve"> with an effective date of January 1, 2019. The standard requires that all leases be recognized in the balance sheet with a corresponding lease liability, except for short term assets and minor assets. Leased assets are amortized over the lease term, and payments are allocated between installments on the lease obligation and interest expense, classified as financial items. Genmab is currently evaluating the guidance to determine the potential impact on the consolidated financial statements and thus far has identified that the most significant impact will be the recognition of new assets and liabilities for its non-cancellable operating leases of office and research facilities disclosed in note 5.4. However, Genmab has not yet determined to what extent these commitments will result in the recognition of an asset and a liability for future payments and how this will affect Genmab's profit and classification of cash flows. Genmab plans to adopt IFRS 16 on the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1.3—Management's Judgments and Estimates under IFRS</w:t>
      </w:r>
    </w:p>
    <w:p>
      <w:pPr>
        <w:spacing w:after="0" w:line="231"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In preparing financial statements under IFRS, certain provisions in the standards require management's judgments, including various accounting estimates and assumptions. Such judgments are considered important to understand the accounting policies and Genmab's compliance with the standards.</w:t>
      </w:r>
    </w:p>
    <w:p>
      <w:pPr>
        <w:spacing w:after="0" w:line="14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Determining the carrying amount of some assets and liabilities requires judgments, estimates and assumptions concerning future events that are based on historical experience and other factors, which by their very nature are associated with uncertainty and unpredictability. These assumptions may prove incomplete or incorrect, and unexpected events or circumstances may arise. The Genmab group is also subject to risks and uncertainties which may lead actual results to differ from these estimates, both positively and negatively. Specific risks for the Genmab group are discussed in the relevant section of the management's review and in the notes to the financial statements.</w:t>
      </w:r>
    </w:p>
    <w:p>
      <w:pPr>
        <w:spacing w:after="0" w:line="16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areas involving a high degree of judgment and estimation that are significant to the financial statements are described in more detail in the related sections/notes.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1—BASIS OF PRESENTATION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2—Results for the Year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2.1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 Staff Costs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2.4 Corporate and Deferred Tax</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 Intangible Assets—Research and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2.1—Revenue</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Royalties</w:t>
            </w:r>
          </w:p>
        </w:tc>
        <w:tc>
          <w:tcPr>
            <w:tcW w:w="840" w:type="dxa"/>
            <w:vAlign w:val="bottom"/>
          </w:tcPr>
          <w:p>
            <w:pPr>
              <w:jc w:val="right"/>
              <w:spacing w:after="0"/>
              <w:rPr>
                <w:sz w:val="20"/>
                <w:szCs w:val="20"/>
                <w:color w:val="auto"/>
              </w:rPr>
            </w:pPr>
            <w:r>
              <w:rPr>
                <w:rFonts w:ascii="Arial" w:cs="Arial" w:eastAsia="Arial" w:hAnsi="Arial"/>
                <w:sz w:val="18"/>
                <w:szCs w:val="18"/>
                <w:color w:val="auto"/>
              </w:rPr>
              <w:t>1,060,700</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1,133,316</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90,065</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81,355</w:t>
            </w:r>
          </w:p>
        </w:tc>
        <w:tc>
          <w:tcPr>
            <w:tcW w:w="16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2,365,436</w:t>
            </w:r>
          </w:p>
        </w:tc>
        <w:tc>
          <w:tcPr>
            <w:tcW w:w="16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split by collaboration partner:</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Janssen (Daratumumab &amp; DuoBody)</w:t>
            </w:r>
          </w:p>
        </w:tc>
        <w:tc>
          <w:tcPr>
            <w:tcW w:w="840" w:type="dxa"/>
            <w:vAlign w:val="bottom"/>
          </w:tcPr>
          <w:p>
            <w:pPr>
              <w:jc w:val="right"/>
              <w:spacing w:after="0"/>
              <w:rPr>
                <w:sz w:val="20"/>
                <w:szCs w:val="20"/>
                <w:color w:val="auto"/>
              </w:rPr>
            </w:pPr>
            <w:r>
              <w:rPr>
                <w:rFonts w:ascii="Arial" w:cs="Arial" w:eastAsia="Arial" w:hAnsi="Arial"/>
                <w:sz w:val="18"/>
                <w:szCs w:val="18"/>
                <w:color w:val="auto"/>
              </w:rPr>
              <w:t>2,214,040</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Novartis (Ofatumumab)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48,061</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103,335</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2,365,436</w:t>
            </w:r>
          </w:p>
        </w:tc>
        <w:tc>
          <w:tcPr>
            <w:tcW w:w="1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Revenue may vary from period to period as revenue comprises royalties, milestone payments, deferred revenue and reimbursement of certain research and development costs under Genmab's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Revenue is recognized when it is probable that future economic benefits will flow to the group and these benefits can be measured reliably and is expected to be received. Further, revenue recognition requires that all significant risks and rewards in the transaction have been transferred to the buyer.</w:t>
      </w:r>
    </w:p>
    <w:p>
      <w:pPr>
        <w:spacing w:after="0" w:line="14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Royalty income from licenses is based on third-party sales of licensed products and is recognized in accordance with contract terms when third-party results are available and are deemed to be reliable. Royalty estimates are made in advance of amounts collected using preliminary sales data received from the third party.</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Milestone payments related to reaching particular stages in product development are recognized immediately if a separate earnings process relative to the milestone payment has been completed and achieved. This determination is judgmental and assessments made by management include, among other items, consideration of the efforts made in achieving a milestone, e.g., the level, skill, and expertise of the personnel involved, as well as the costs incurred. The milestone events must have real substance and they must represent achievement of specific defined goals. In addition, the associated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risks related to the achievement of each milestone are evaluated and compared to all milestone payments designated under the collaboration agreement.</w:t>
      </w:r>
    </w:p>
    <w:p>
      <w:pPr>
        <w:spacing w:after="0" w:line="248"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Deferred income reflects the part of revenue that has not been recognized as income immediately on receipt of payment and which concerns agreements with multiple components that cannot be separated. Upfront payments that are deemed attributable to subsequent research and development work are initially recognized as deferred income and recognized and allocated as revenue over the planned development period. This judgment is made when entering the agreement and is based on development budgets and plans. The planned development period is assessed on an ongoing basis. If the expected development period is changed significantly, this will require a reassessment of the allocation period. The allocation periods have not been changed in 2017 for any of our collaborations. Deferred income is measured at nominal value. Revenue from research and development activities is considered as rendering of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Upfront Payments and Deferred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2017, Genmab entered into a second commercial license agreement with Novo Nordisk A/S granting use of the DuoBody technology platform.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Genmab recorded an upfront payment of USD 2.0 million, which was deferred and amortized over the planned development period.</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Deferred income split by collaboration partner: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2"/>
              </w:rPr>
              <w:t>Period (months)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Ends (year)</w:t>
            </w:r>
          </w:p>
        </w:tc>
        <w:tc>
          <w:tcPr>
            <w:tcW w:w="88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2740" w:type="dxa"/>
            <w:vAlign w:val="bottom"/>
            <w:tcBorders>
              <w:top w:val="single" w:sz="8" w:color="auto"/>
            </w:tcBorders>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 (Daratumumab)</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84</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103,677</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Janssen (DuoBody)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Up to 60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11,384</w:t>
            </w:r>
          </w:p>
        </w:tc>
        <w:tc>
          <w:tcPr>
            <w:tcW w:w="1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(DuoBody)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36</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17,819</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Novo Nordisk (DuoBody)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Up to 48</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60" w:type="dxa"/>
            <w:vAlign w:val="bottom"/>
          </w:tcPr>
          <w:p>
            <w:pPr>
              <w:spacing w:after="0"/>
              <w:rPr>
                <w:sz w:val="18"/>
                <w:szCs w:val="18"/>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150,648</w:t>
            </w:r>
          </w:p>
        </w:tc>
        <w:tc>
          <w:tcPr>
            <w:tcW w:w="160" w:type="dxa"/>
            <w:vAlign w:val="bottom"/>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331" w:lineRule="auto"/>
        <w:rPr>
          <w:sz w:val="20"/>
          <w:szCs w:val="20"/>
          <w:color w:val="auto"/>
        </w:rPr>
      </w:pPr>
      <w:r>
        <w:rPr>
          <w:rFonts w:ascii="Arial" w:cs="Arial" w:eastAsia="Arial" w:hAnsi="Arial"/>
          <w:sz w:val="16"/>
          <w:szCs w:val="16"/>
          <w:color w:val="auto"/>
        </w:rPr>
        <w:t>The deferred revenue balance of DKK 150.6 million as of December 31, 2017 will be reclassified to accumulated deficit in the first quarter of 2018 as a transition adjustment due to the adoption of IFRS 15. For information regarding the impact of the adoption of IFRS 15, please refer to note 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Evaluating the criteria for revenue recognition with respect to the group's research and development, license, and collaboration agreements requires management's judgment to ensure that all criteria have been fulfilled prior to recognizing any amount of revenue. In particular, such judgments are made with respect to determination of the nature of transactions, whether simultaneous transactions shall be considered as one or more revenue-generating transactions, allocation of the contractual price (upfront and milestone payments and obtained share premium to the market value on shares subscribed in connection with a collaboration agreement) to several elements included in an agreement, and the determination of whether the significant risks and rewards have been transferred to the buyer.</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Collaboration agreements are reviewed carefully to understand the nature of risks and rewards of the arrangement. All of the group's revenue-generating transactions have been subject to such evaluation by management.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2.2—Information about Geographical Areas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Genmab group is managed and operated as one business unit, which is reflected in the organizational structure and internal reporting. No separate lines of business or separate business entities have been identified with respect to any of the product candidates or geographical markets and no segment information is currently disclosed in the internal reporting.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2017</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5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6"/>
              </w:rPr>
              <w:t>Non-current</w:t>
            </w:r>
          </w:p>
        </w:tc>
        <w:tc>
          <w:tcPr>
            <w:tcW w:w="22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b w:val="1"/>
                <w:bCs w:val="1"/>
                <w:color w:val="auto"/>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78"/>
              </w:rPr>
              <w:t>assets</w:t>
            </w:r>
          </w:p>
        </w:tc>
      </w:tr>
      <w:tr>
        <w:trPr>
          <w:trHeight w:val="142"/>
        </w:trPr>
        <w:tc>
          <w:tcPr>
            <w:tcW w:w="5900" w:type="dxa"/>
            <w:vAlign w:val="bottom"/>
          </w:tcPr>
          <w:p>
            <w:pPr>
              <w:spacing w:after="0"/>
              <w:rPr>
                <w:sz w:val="12"/>
                <w:szCs w:val="12"/>
                <w:color w:val="auto"/>
              </w:rPr>
            </w:pPr>
          </w:p>
        </w:tc>
        <w:tc>
          <w:tcPr>
            <w:tcW w:w="74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DKK'000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3"/>
                <w:szCs w:val="13"/>
                <w:b w:val="1"/>
                <w:bCs w:val="1"/>
                <w:color w:val="auto"/>
              </w:rPr>
              <w:t>DKK'000</w:t>
            </w:r>
          </w:p>
        </w:tc>
        <w:tc>
          <w:tcPr>
            <w:tcW w:w="22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2,365,436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Netherlands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126,886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2,365,436</w:t>
            </w:r>
          </w:p>
        </w:tc>
        <w:tc>
          <w:tcPr>
            <w:tcW w:w="300" w:type="dxa"/>
            <w:vAlign w:val="bottom"/>
            <w:gridSpan w:val="2"/>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237,809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Geographical information is presented for the Genmab group's revenue and non-current assets. Revenue is attributed to countries on the basis of the location of the legal entity holding the contract with the counterparty and operations. Non-current assets comprise intangible assets and property, plant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2.3—Staff Costs</w:t>
      </w:r>
    </w:p>
    <w:p>
      <w:pPr>
        <w:sectPr>
          <w:pgSz w:w="11900" w:h="16838" w:orient="portrait"/>
          <w:cols w:equalWidth="0" w:num="1">
            <w:col w:w="10900"/>
          </w:cols>
          <w:pgMar w:left="320" w:top="131" w:right="6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Wages and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-125730</wp:posOffset>
            </wp:positionV>
            <wp:extent cx="4989195"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Other social security costs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b w:val="1"/>
          <w:bCs w:val="1"/>
          <w:color w:val="auto"/>
        </w:rPr>
        <w:t>Total</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Staff costs are included in the income statement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-107315</wp:posOffset>
            </wp:positionV>
            <wp:extent cx="4989195"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Government grants related to research and development expenses</w:t>
      </w:r>
    </w:p>
    <w:p>
      <w:pPr>
        <w:spacing w:after="0" w:line="4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4457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5"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color w:val="auto"/>
        </w:rPr>
        <w:t>DKK'000</w:t>
      </w:r>
    </w:p>
    <w:p>
      <w:pPr>
        <w:spacing w:after="0" w:line="5" w:lineRule="exact"/>
        <w:rPr>
          <w:sz w:val="20"/>
          <w:szCs w:val="20"/>
          <w:color w:val="auto"/>
        </w:rPr>
      </w:pPr>
    </w:p>
    <w:p>
      <w:pPr>
        <w:jc w:val="right"/>
        <w:ind w:right="1500"/>
        <w:spacing w:after="0"/>
        <w:rPr>
          <w:sz w:val="20"/>
          <w:szCs w:val="20"/>
          <w:color w:val="auto"/>
        </w:rPr>
      </w:pPr>
      <w:r>
        <w:rPr>
          <w:rFonts w:ascii="Arial" w:cs="Arial" w:eastAsia="Arial" w:hAnsi="Arial"/>
          <w:sz w:val="16"/>
          <w:szCs w:val="16"/>
          <w:color w:val="auto"/>
        </w:rPr>
        <w:t>230,720</w:t>
      </w:r>
    </w:p>
    <w:p>
      <w:pPr>
        <w:spacing w:after="0" w:line="24"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75,985</w:t>
      </w:r>
    </w:p>
    <w:p>
      <w:pPr>
        <w:spacing w:after="0" w:line="9"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18,763</w:t>
      </w:r>
    </w:p>
    <w:p>
      <w:pPr>
        <w:spacing w:after="0" w:line="9"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17,723</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(64,007)</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279,184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-115570</wp:posOffset>
            </wp:positionV>
            <wp:extent cx="4457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29210</wp:posOffset>
            </wp:positionV>
            <wp:extent cx="4457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46355</wp:posOffset>
            </wp:positionV>
            <wp:extent cx="4457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75" w:lineRule="exact"/>
        <w:rPr>
          <w:sz w:val="20"/>
          <w:szCs w:val="20"/>
          <w:color w:val="auto"/>
        </w:rPr>
      </w:pPr>
    </w:p>
    <w:p>
      <w:pPr>
        <w:jc w:val="right"/>
        <w:ind w:right="1500"/>
        <w:spacing w:after="0"/>
        <w:rPr>
          <w:sz w:val="20"/>
          <w:szCs w:val="20"/>
          <w:color w:val="auto"/>
        </w:rPr>
      </w:pPr>
      <w:r>
        <w:rPr>
          <w:rFonts w:ascii="Arial" w:cs="Arial" w:eastAsia="Arial" w:hAnsi="Arial"/>
          <w:sz w:val="16"/>
          <w:szCs w:val="16"/>
          <w:color w:val="auto"/>
        </w:rPr>
        <w:t>248,970</w:t>
      </w:r>
    </w:p>
    <w:p>
      <w:pPr>
        <w:spacing w:after="0" w:line="38"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94,221</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(64,007)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4457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279,184</w:t>
      </w:r>
    </w:p>
    <w:p>
      <w:pPr>
        <w:spacing w:after="0" w:line="37" w:lineRule="exact"/>
        <w:rPr>
          <w:sz w:val="20"/>
          <w:szCs w:val="20"/>
          <w:color w:val="auto"/>
        </w:rPr>
      </w:pPr>
    </w:p>
    <w:p>
      <w:pPr>
        <w:sectPr>
          <w:pgSz w:w="11900" w:h="16838" w:orient="portrait"/>
          <w:cols w:equalWidth="0" w:num="2">
            <w:col w:w="8040" w:space="720"/>
            <w:col w:w="2140"/>
          </w:cols>
          <w:pgMar w:left="320" w:top="131" w:right="679" w:bottom="1440" w:gutter="0" w:footer="0" w:header="0"/>
          <w:type w:val="continuous"/>
        </w:sectPr>
      </w:pPr>
    </w:p>
    <w:tbl>
      <w:tblPr>
        <w:tblLayout w:type="fixed"/>
        <w:tblInd w:w="170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Arial" w:cs="Arial" w:eastAsia="Arial" w:hAnsi="Arial"/>
                <w:sz w:val="18"/>
                <w:szCs w:val="18"/>
                <w:b w:val="1"/>
                <w:bCs w:val="1"/>
                <w:color w:val="auto"/>
              </w:rPr>
              <w:t>Average number of FTE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tcPr>
          <w:p>
            <w:pPr>
              <w:spacing w:after="0"/>
              <w:rPr>
                <w:sz w:val="20"/>
                <w:szCs w:val="20"/>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FTE at year-end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information regarding the remuneration of the Board of Directors and Executive Management, please refer to note 5.1.</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type w:val="continuous"/>
        </w:sectPr>
      </w:pPr>
    </w:p>
    <w:bookmarkStart w:id="267" w:name="page268"/>
    <w:bookmarkEnd w:id="2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Government grants, which are a reduction of payroll taxes in the Netherlands, amounted to DKK 64.0 million in 2017. These amounts are an offset to wages and salaries and research and development costs in the table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Genmab has granted restricted stock units (RSUs) and warrants to the Board of Directors, Executive Management and employees under various share-based compensation programs. The group applies IFRS 2, according to which the fair value of the warrants and RSUs at grant date is recognized as an expense in the income statement over the vesting period. Such compensation expenses represent calculated values of warrants and RSUs granted and do not represent actual cash expenditures. A corresponding amount is recognized in shareholders' equity as both the warrant and RSU programs are designated as equity-settled share-based payment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right="400" w:firstLine="348"/>
        <w:spacing w:after="0" w:line="331" w:lineRule="auto"/>
        <w:rPr>
          <w:sz w:val="20"/>
          <w:szCs w:val="20"/>
          <w:color w:val="auto"/>
        </w:rPr>
      </w:pPr>
      <w:r>
        <w:rPr>
          <w:rFonts w:ascii="Arial" w:cs="Arial" w:eastAsia="Arial" w:hAnsi="Arial"/>
          <w:sz w:val="16"/>
          <w:szCs w:val="16"/>
          <w:color w:val="auto"/>
        </w:rPr>
        <w:t>The Dutch Research and Development Act "WBSO" provides compensation for a part of research and development wages and other costs through a reduction in payroll taxes. WBSO grant amounts are offset against wages and salaries and research and development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right="460" w:firstLine="351"/>
        <w:spacing w:after="0" w:line="331" w:lineRule="auto"/>
        <w:rPr>
          <w:sz w:val="20"/>
          <w:szCs w:val="20"/>
          <w:color w:val="auto"/>
        </w:rPr>
      </w:pPr>
      <w:r>
        <w:rPr>
          <w:rFonts w:ascii="Arial" w:cs="Arial" w:eastAsia="Arial" w:hAnsi="Arial"/>
          <w:sz w:val="16"/>
          <w:szCs w:val="16"/>
          <w:color w:val="auto"/>
        </w:rPr>
        <w:t xml:space="preserve">In accordance with IFRS 2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fair value of the warrants and RSUs at grant date is recognized as an expense in the income statement over the vesting period, the period of delivery of work. Subsequently, the fair value is not remeasured.</w:t>
      </w:r>
    </w:p>
    <w:p>
      <w:pPr>
        <w:spacing w:after="0" w:line="14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fair value of each warrant granted during the year is calculated using the Black-Scholes pricing model. This pricing model requires the input of subjective assumptions such as:</w:t>
      </w:r>
    </w:p>
    <w:p>
      <w:pPr>
        <w:spacing w:after="0" w:line="19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expected stock price volatility, which is based upon the historical volatility of Genmab's stock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risk-free interest rate, which is determined as the interest rate on Danish government bonds (bullet issues) with a maturity of five years;</w:t>
      </w:r>
    </w:p>
    <w:p>
      <w:pPr>
        <w:spacing w:after="0" w:line="261" w:lineRule="exact"/>
        <w:rPr>
          <w:rFonts w:ascii="Arial" w:cs="Arial" w:eastAsia="Arial" w:hAnsi="Arial"/>
          <w:sz w:val="16"/>
          <w:szCs w:val="16"/>
          <w:color w:val="auto"/>
        </w:rPr>
      </w:pPr>
    </w:p>
    <w:p>
      <w:pPr>
        <w:ind w:left="360" w:right="640" w:firstLine="188"/>
        <w:spacing w:after="0" w:line="500" w:lineRule="auto"/>
        <w:tabs>
          <w:tab w:leader="none" w:pos="109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expected life of warrants, which is based on vesting terms, expected rate of exercise and life terms in the current warrant program. These assumptions can vary over time and can change the fair value of future warrants granted.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 for Warrants Granted in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each warrant granted during the year is calculated using the Black-Scholes pricing model with the following assumptions: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3"/>
                <w:szCs w:val="13"/>
                <w:b w:val="1"/>
                <w:bCs w:val="1"/>
                <w:color w:val="auto"/>
              </w:rPr>
              <w:t>Weighted average</w:t>
            </w:r>
          </w:p>
        </w:tc>
        <w:tc>
          <w:tcPr>
            <w:tcW w:w="7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2017</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warrant on grant date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Share price</w:t>
            </w:r>
          </w:p>
        </w:tc>
        <w:tc>
          <w:tcPr>
            <w:tcW w:w="760" w:type="dxa"/>
            <w:vAlign w:val="bottom"/>
          </w:tcPr>
          <w:p>
            <w:pPr>
              <w:jc w:val="right"/>
              <w:spacing w:after="0"/>
              <w:rPr>
                <w:sz w:val="20"/>
                <w:szCs w:val="20"/>
                <w:color w:val="auto"/>
              </w:rPr>
            </w:pPr>
            <w:r>
              <w:rPr>
                <w:rFonts w:ascii="Arial" w:cs="Arial" w:eastAsia="Arial" w:hAnsi="Arial"/>
                <w:sz w:val="18"/>
                <w:szCs w:val="18"/>
                <w:color w:val="auto"/>
              </w:rPr>
              <w:t>1,123.91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warrants</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Based on a weighted average fair value per warrant of DKK 366.78 the total fair value of warrants granted amounted to DKK 67.0 million on the grant date. The fair value of each RSU granted during the year is equal to the closing market price on the date of grant of one Genmab A/S share. Based on a weighted average fair value per RSU of DKK 1,128.30 the total fair value of RSUs granted amounted to DKK 74.4 million on the grant date.</w:t>
      </w:r>
    </w:p>
    <w:p>
      <w:pPr>
        <w:sectPr>
          <w:pgSz w:w="11900" w:h="16838" w:orient="portrait"/>
          <w:cols w:equalWidth="0" w:num="1">
            <w:col w:w="10960"/>
          </w:cols>
          <w:pgMar w:left="320" w:top="131" w:right="61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2.4—Corporate and Deferred Tax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Taxation—Income Statement</w:t>
      </w:r>
    </w:p>
    <w:p>
      <w:pPr>
        <w:spacing w:after="0" w:line="200" w:lineRule="exact"/>
        <w:rPr>
          <w:sz w:val="20"/>
          <w:szCs w:val="20"/>
          <w:color w:val="auto"/>
        </w:rPr>
      </w:pPr>
    </w:p>
    <w:p>
      <w:pPr>
        <w:spacing w:after="0" w:line="39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Current tax on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-125730</wp:posOffset>
            </wp:positionV>
            <wp:extent cx="4989195"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Adjustment to prior years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Adjustment to deferred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Adjustment to valuation allowance</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corporate tax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Genmab's effective tax rate relative to the Danish statutory tax rate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Net result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-125730</wp:posOffset>
            </wp:positionV>
            <wp:extent cx="498919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b w:val="1"/>
          <w:bCs w:val="1"/>
          <w:color w:val="auto"/>
        </w:rPr>
        <w:t>Computed 22%</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Tax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Recognition of previously unrecognized tax losses and deductible temporary differences</w:t>
      </w:r>
    </w:p>
    <w:p>
      <w:pPr>
        <w:spacing w:after="0" w:line="4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Non-deductible expenses/non-taxable income and other permanent differences,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498919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Deferred tax assets not capitalized and other changes in valuation allowance</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corporate tax for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4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7620</wp:posOffset>
            </wp:positionV>
            <wp:extent cx="4883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5" w:lineRule="exact"/>
        <w:rPr>
          <w:sz w:val="20"/>
          <w:szCs w:val="20"/>
          <w:color w:val="auto"/>
        </w:rPr>
      </w:pPr>
    </w:p>
    <w:p>
      <w:pPr>
        <w:jc w:val="center"/>
        <w:ind w:right="1640"/>
        <w:spacing w:after="0"/>
        <w:rPr>
          <w:sz w:val="20"/>
          <w:szCs w:val="20"/>
          <w:color w:val="auto"/>
        </w:rPr>
      </w:pPr>
      <w:r>
        <w:rPr>
          <w:rFonts w:ascii="Arial" w:cs="Arial" w:eastAsia="Arial" w:hAnsi="Arial"/>
          <w:sz w:val="13"/>
          <w:szCs w:val="13"/>
          <w:b w:val="1"/>
          <w:bCs w:val="1"/>
          <w:color w:val="auto"/>
        </w:rPr>
        <w:t>DKK'00</w:t>
      </w:r>
    </w:p>
    <w:p>
      <w:pPr>
        <w:spacing w:after="0" w:line="5"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132,881</w:t>
      </w:r>
    </w:p>
    <w:p>
      <w:pPr>
        <w:spacing w:after="0" w:line="1"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(798)</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625,895</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6"/>
          <w:szCs w:val="16"/>
          <w:color w:val="auto"/>
        </w:rPr>
        <w:t>(797,809)</w:t>
      </w:r>
    </w:p>
    <w:p>
      <w:pPr>
        <w:spacing w:after="0" w:line="33" w:lineRule="exact"/>
        <w:rPr>
          <w:sz w:val="20"/>
          <w:szCs w:val="20"/>
          <w:color w:val="auto"/>
        </w:rPr>
      </w:pPr>
    </w:p>
    <w:p>
      <w:pPr>
        <w:jc w:val="right"/>
        <w:ind w:right="1520"/>
        <w:spacing w:after="0"/>
        <w:rPr>
          <w:sz w:val="20"/>
          <w:szCs w:val="20"/>
          <w:color w:val="auto"/>
        </w:rPr>
      </w:pPr>
      <w:r>
        <w:rPr>
          <w:rFonts w:ascii="Arial" w:cs="Arial" w:eastAsia="Arial" w:hAnsi="Arial"/>
          <w:sz w:val="18"/>
          <w:szCs w:val="18"/>
          <w:b w:val="1"/>
          <w:bCs w:val="1"/>
          <w:color w:val="auto"/>
        </w:rPr>
        <w:t>(39,831)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-130175</wp:posOffset>
            </wp:positionV>
            <wp:extent cx="4883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14605</wp:posOffset>
            </wp:positionV>
            <wp:extent cx="48831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31750</wp:posOffset>
            </wp:positionV>
            <wp:extent cx="4883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5314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DKK'000</w:t>
      </w:r>
    </w:p>
    <w:p>
      <w:pPr>
        <w:spacing w:after="0" w:line="5" w:lineRule="exact"/>
        <w:rPr>
          <w:sz w:val="20"/>
          <w:szCs w:val="20"/>
          <w:color w:val="auto"/>
        </w:rPr>
      </w:pPr>
    </w:p>
    <w:p>
      <w:pPr>
        <w:jc w:val="right"/>
        <w:ind w:right="1560"/>
        <w:spacing w:after="0"/>
        <w:rPr>
          <w:sz w:val="20"/>
          <w:szCs w:val="20"/>
          <w:color w:val="auto"/>
        </w:rPr>
      </w:pPr>
      <w:r>
        <w:rPr>
          <w:rFonts w:ascii="Arial" w:cs="Arial" w:eastAsia="Arial" w:hAnsi="Arial"/>
          <w:sz w:val="16"/>
          <w:szCs w:val="16"/>
          <w:color w:val="auto"/>
        </w:rPr>
        <w:t>1,063,720</w:t>
      </w:r>
    </w:p>
    <w:p>
      <w:pPr>
        <w:spacing w:after="0" w:line="26"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234,018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-130175</wp:posOffset>
            </wp:positionV>
            <wp:extent cx="5314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11" w:lineRule="exact"/>
        <w:rPr>
          <w:sz w:val="20"/>
          <w:szCs w:val="20"/>
          <w:color w:val="auto"/>
        </w:rPr>
      </w:pPr>
    </w:p>
    <w:p>
      <w:pPr>
        <w:jc w:val="right"/>
        <w:ind w:right="1520"/>
        <w:spacing w:after="0"/>
        <w:rPr>
          <w:sz w:val="20"/>
          <w:szCs w:val="20"/>
          <w:color w:val="auto"/>
        </w:rPr>
      </w:pPr>
      <w:r>
        <w:rPr>
          <w:rFonts w:ascii="Arial" w:cs="Arial" w:eastAsia="Arial" w:hAnsi="Arial"/>
          <w:sz w:val="16"/>
          <w:szCs w:val="16"/>
          <w:color w:val="auto"/>
        </w:rPr>
        <w:t>(285,697)</w:t>
      </w:r>
    </w:p>
    <w:p>
      <w:pPr>
        <w:spacing w:after="0" w:line="38"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14,049</w:t>
      </w:r>
    </w:p>
    <w:p>
      <w:pPr>
        <w:spacing w:after="0" w:line="9"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(2,201)</w:t>
      </w:r>
    </w:p>
    <w:p>
      <w:pPr>
        <w:spacing w:after="0" w:line="10" w:lineRule="exact"/>
        <w:rPr>
          <w:sz w:val="20"/>
          <w:szCs w:val="20"/>
          <w:color w:val="auto"/>
        </w:rPr>
      </w:pPr>
    </w:p>
    <w:p>
      <w:pPr>
        <w:jc w:val="right"/>
        <w:ind w:right="1520"/>
        <w:spacing w:after="0"/>
        <w:rPr>
          <w:sz w:val="20"/>
          <w:szCs w:val="20"/>
          <w:color w:val="auto"/>
        </w:rPr>
      </w:pPr>
      <w:r>
        <w:rPr>
          <w:rFonts w:ascii="Arial" w:cs="Arial" w:eastAsia="Arial" w:hAnsi="Arial"/>
          <w:sz w:val="16"/>
          <w:szCs w:val="16"/>
          <w:b w:val="1"/>
          <w:bCs w:val="1"/>
          <w:color w:val="auto"/>
        </w:rPr>
        <w:t>(273,849)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-115570</wp:posOffset>
            </wp:positionV>
            <wp:extent cx="5314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6" w:lineRule="exact"/>
        <w:rPr>
          <w:sz w:val="20"/>
          <w:szCs w:val="20"/>
          <w:color w:val="auto"/>
        </w:rPr>
      </w:pPr>
    </w:p>
    <w:p>
      <w:pPr>
        <w:jc w:val="right"/>
        <w:ind w:right="1520"/>
        <w:spacing w:after="0"/>
        <w:rPr>
          <w:sz w:val="20"/>
          <w:szCs w:val="20"/>
          <w:color w:val="auto"/>
        </w:rPr>
      </w:pPr>
      <w:r>
        <w:rPr>
          <w:rFonts w:ascii="Arial" w:cs="Arial" w:eastAsia="Arial" w:hAnsi="Arial"/>
          <w:sz w:val="18"/>
          <w:szCs w:val="18"/>
          <w:b w:val="1"/>
          <w:bCs w:val="1"/>
          <w:color w:val="auto"/>
        </w:rPr>
        <w:t>(39,831)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-130175</wp:posOffset>
            </wp:positionV>
            <wp:extent cx="5314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14605</wp:posOffset>
            </wp:positionV>
            <wp:extent cx="5314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31750</wp:posOffset>
            </wp:positionV>
            <wp:extent cx="5314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280"/>
          </w:cols>
          <w:pgMar w:left="320" w:top="131" w:right="619" w:bottom="1440" w:gutter="0" w:footer="0" w:header="0"/>
          <w:type w:val="continuous"/>
        </w:sectPr>
      </w:pPr>
    </w:p>
    <w:p>
      <w:pPr>
        <w:spacing w:after="0" w:line="72"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type w:val="continuous"/>
        </w:sectPr>
      </w:pPr>
    </w:p>
    <w:bookmarkStart w:id="269" w:name="page270"/>
    <w:bookmarkEnd w:id="2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Corporate tax consists of current tax and the adjustment of deferred taxes during the year. Corporate tax for 2017 was income of DKK 39.8 million. The corporate tax income in 2017 was due to the partial reversal of valuation allowances on deferred tax assets related to future taxable income, resulting in a discrete tax benefit of DKK 285.7 million, which more than offset current and deferred tax expense of DKK 245.9 million. In 2017 a current tax benefit of DKK 71.9 million was recorded directly in shareholders' equity which was related to excess tax benefits for share-based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deferred tax asset are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deductible losses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1,049,118</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Deferred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27,443</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Costs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154,216</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1,241,868</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(944,919)</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296,949</w:t>
            </w:r>
          </w:p>
        </w:tc>
        <w:tc>
          <w:tcPr>
            <w:tcW w:w="1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Genmab records a valuation allowance to reduce deferred tax assets to reflect the net amount that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2017, Genmab determined that it was more likely than not that a portion of our deferred tax assets would be realizable and consequently released a portion of the valuation allowance against net deferred tax assets and during the fourth quarter of 2017 recorded a discrete tax benefit of DKK 285.7 million. The decision to reverse a portion of the valuation allowance was made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 The release of the valuation allowance resulted in the recognition of certain deferred tax assets and a decrease to corporate tax expense.</w:t>
      </w:r>
    </w:p>
    <w:p>
      <w:pPr>
        <w:spacing w:after="0" w:line="17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December 31, 2017, the group had gross tax loss carry-forwards of DKK 4.4 billion for income tax purposes, of which DKK 3.3 billion can be carried forward without limitation. The remaining portion of DKK 1.1 billion is primarily related to Genmab's U.S. subsidiary, with DKK 1.0 billion expiring in 2018. This amount relates to the capital loss on sale of Genmab's former manufacturing facility in 2013 which is limited to a 5 year carryforward period and can only be utilized to offset specific types of capital income.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Tax</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Corporate tax, which consists of current tax and the adjustment of deferred taxes for the year, is recognized in the income statement, except to the extent that the tax is attributable to items which directly relate to shareholders' equity or other comprehensive income. Current tax assets and liabilities for current and prior periods are measured at the amounts expected to be recovered from or paid to the tax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Deferred tax is accounted for under the liability method which requires recognition of deferred tax on all temporary differences between the carrying amount of assets and liabilities and the tax base of such assets and liabilities. This includes the tax value of tax losses carried forward. Deferred tax is calculated in accordance with the tax regulations in the individual countries and the tax rates expected to be in force at the time the deferred tax is utilized. Changes in deferred tax as a result of changes in tax rates are recognized in the income statement. 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Genmab recognizes deferred tax assets, including the tax base of tax loss carry-forwards, if management assesses that these tax assets can be offset against positive taxable income within a foreseeable future. This judgment is made on an ongoing basis and is based on actual results, budgets, and business plans for the coming years.</w:t>
      </w:r>
    </w:p>
    <w:p>
      <w:pPr>
        <w:spacing w:after="0" w:line="194"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Realization of deferred tax assets is dependent upon a number of factors, including future taxable earnings, the timing and amount of which is highly uncertain. At December 31, 2017 Genmab has recognized deferred tax assets for probable future taxable income which is mainly related to taxable income in 2018 and 2019. Genmab intends to continue maintaining a valuation allowance against a significant portion of its deferred tax assets until there is sufficient evidence to support the reversal of all or some additional portion of these allowances. A significant portion of Genmab's future taxable income will be driven by contingent future events that are highly susceptible to factors outside the control of the group including commercial growth of DARZALEX, specific clinical outcomes, regulatory approval, advancement of our product pipeline, and others. As a result, contingent future revenue is excluded when forecasting future taxable profits as it does not meet the probable/more likely than not threshold. However, considering the current assessment of the probability of commercial growth of DARZALEX, achieving future milestones, there is a reasonable possibility that, within the next year, additional positive evidence may become available to reach a conclusion that an additional portion of the valuation allowance will no longer be needed. As such, the Company may release an additional part of its valuation allowance against its deferred tax assets within the next twelve months. This release would result in the recognition of certain deferred tax assets and a decrease to income tax expense for the period such release is recorded.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1" w:name="page272"/>
    <w:bookmarkEnd w:id="2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2—RESULTS FOR THE YEAR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2.5—Result Per Share</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1,103,551</w:t>
            </w:r>
          </w:p>
        </w:tc>
        <w:tc>
          <w:tcPr>
            <w:tcW w:w="1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Shares'000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60,934</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Average number of treasury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number of shares excl. treasury shares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60,834</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Average number of share-based instruments, dilution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number of shares, diluted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62,094</w:t>
            </w:r>
          </w:p>
        </w:tc>
        <w:tc>
          <w:tcPr>
            <w:tcW w:w="16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Basic net result per share</w:t>
            </w:r>
          </w:p>
        </w:tc>
        <w:tc>
          <w:tcPr>
            <w:tcW w:w="840" w:type="dxa"/>
            <w:vAlign w:val="bottom"/>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 calculation of the diluted net result per share for 2017, 43,019 warrants (of which none were vested) have been excluded as these share-based instruments are out of the money.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Net Result Per Share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Basic net result per share is calculated as the net result for the year divided by the weighted average number of outstanding ordinary shares, excluding treasury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Net Result Per Share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Diluted net result per share is calculated as the net result for the year divided by the weighted average number of outstanding ordinary shares, excluding treasury shares adjusted for the dilutive effect of share equivalents.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272" w:name="page273"/>
    <w:bookmarkEnd w:id="2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3.1—Intangible Assets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Licenses,</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Rights, and</w:t>
            </w: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Intangible</w:t>
            </w:r>
          </w:p>
        </w:tc>
      </w:tr>
      <w:tr>
        <w:trPr>
          <w:trHeight w:val="161"/>
        </w:trPr>
        <w:tc>
          <w:tcPr>
            <w:tcW w:w="260" w:type="dxa"/>
            <w:vAlign w:val="bottom"/>
          </w:tcPr>
          <w:p>
            <w:pPr>
              <w:spacing w:after="0"/>
              <w:rPr>
                <w:sz w:val="20"/>
                <w:szCs w:val="20"/>
                <w:color w:val="auto"/>
              </w:rPr>
            </w:pPr>
            <w:r>
              <w:rPr>
                <w:rFonts w:ascii="Arial" w:cs="Arial" w:eastAsia="Arial" w:hAnsi="Arial"/>
                <w:sz w:val="13"/>
                <w:szCs w:val="13"/>
                <w:b w:val="1"/>
                <w:bCs w:val="1"/>
                <w:color w:val="auto"/>
                <w:w w:val="82"/>
              </w:rPr>
              <w:t>2017</w:t>
            </w: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Patents</w:t>
            </w: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Assets</w:t>
            </w:r>
          </w:p>
        </w:tc>
      </w:tr>
      <w:tr>
        <w:trPr>
          <w:trHeight w:val="142"/>
        </w:trPr>
        <w:tc>
          <w:tcPr>
            <w:tcW w:w="26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391,905</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391,905</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Additions for the year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Exchange rate adjustment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r>
      <w:tr>
        <w:trPr>
          <w:trHeight w:val="210"/>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at December 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391,971</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391,971</w:t>
            </w:r>
          </w:p>
        </w:tc>
        <w:tc>
          <w:tcPr>
            <w:tcW w:w="160" w:type="dxa"/>
            <w:vAlign w:val="bottom"/>
            <w:shd w:val="clear" w:color="auto" w:fill="CCEEFF"/>
          </w:tcPr>
          <w:p>
            <w:pPr>
              <w:spacing w:after="0"/>
              <w:rPr>
                <w:sz w:val="18"/>
                <w:szCs w:val="18"/>
                <w:color w:val="auto"/>
              </w:rPr>
            </w:pPr>
          </w:p>
        </w:tc>
      </w:tr>
      <w:tr>
        <w:trPr>
          <w:trHeight w:val="209"/>
        </w:trPr>
        <w:tc>
          <w:tcPr>
            <w:tcW w:w="5920" w:type="dxa"/>
            <w:vAlign w:val="bottom"/>
            <w:gridSpan w:val="3"/>
          </w:tcPr>
          <w:p>
            <w:pPr>
              <w:spacing w:after="0"/>
              <w:rPr>
                <w:sz w:val="20"/>
                <w:szCs w:val="20"/>
                <w:color w:val="auto"/>
              </w:rPr>
            </w:pPr>
            <w:r>
              <w:rPr>
                <w:rFonts w:ascii="Arial" w:cs="Arial" w:eastAsia="Arial" w:hAnsi="Arial"/>
                <w:sz w:val="18"/>
                <w:szCs w:val="18"/>
                <w:color w:val="auto"/>
              </w:rPr>
              <w:t>Accumulated amortization and impairment per January 1</w:t>
            </w:r>
          </w:p>
        </w:tc>
        <w:tc>
          <w:tcPr>
            <w:tcW w:w="840" w:type="dxa"/>
            <w:vAlign w:val="bottom"/>
          </w:tcPr>
          <w:p>
            <w:pPr>
              <w:jc w:val="right"/>
              <w:spacing w:after="0"/>
              <w:rPr>
                <w:sz w:val="20"/>
                <w:szCs w:val="20"/>
                <w:color w:val="auto"/>
              </w:rPr>
            </w:pPr>
            <w:r>
              <w:rPr>
                <w:rFonts w:ascii="Arial" w:cs="Arial" w:eastAsia="Arial" w:hAnsi="Arial"/>
                <w:sz w:val="18"/>
                <w:szCs w:val="18"/>
                <w:color w:val="auto"/>
              </w:rPr>
              <w:t>(210,010)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(210,010)</w:t>
            </w:r>
          </w:p>
        </w:tc>
        <w:tc>
          <w:tcPr>
            <w:tcW w:w="160" w:type="dxa"/>
            <w:vAlign w:val="bottom"/>
          </w:tcPr>
          <w:p>
            <w:pPr>
              <w:spacing w:after="0"/>
              <w:rPr>
                <w:sz w:val="18"/>
                <w:szCs w:val="18"/>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(35,328)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(35,328)</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Impairment for the year</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(22,221)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(22,221)</w:t>
            </w: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Exchange rate adjustment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r>
      <w:tr>
        <w:trPr>
          <w:trHeight w:val="20"/>
        </w:trPr>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 per December 31</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(267,576)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(267,576)</w:t>
            </w:r>
          </w:p>
        </w:tc>
      </w:tr>
      <w:tr>
        <w:trPr>
          <w:trHeight w:val="210"/>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Carrying amount at December 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124,395</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124,395</w:t>
            </w:r>
          </w:p>
        </w:tc>
        <w:tc>
          <w:tcPr>
            <w:tcW w:w="160" w:type="dxa"/>
            <w:vAlign w:val="bottom"/>
          </w:tcPr>
          <w:p>
            <w:pPr>
              <w:spacing w:after="0"/>
              <w:rPr>
                <w:sz w:val="18"/>
                <w:szCs w:val="18"/>
                <w:color w:val="auto"/>
              </w:rPr>
            </w:pPr>
          </w:p>
        </w:tc>
      </w:tr>
      <w:tr>
        <w:trPr>
          <w:trHeight w:val="777"/>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Depreciation, amortization,</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3"/>
                <w:szCs w:val="13"/>
                <w:b w:val="1"/>
                <w:bCs w:val="1"/>
                <w:color w:val="auto"/>
              </w:rPr>
              <w:t>and impairments are included in the income statement as follows: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3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26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57,549</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592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57,549</w:t>
            </w:r>
          </w:p>
        </w:tc>
        <w:tc>
          <w:tcPr>
            <w:tcW w:w="1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Impairment losses of DKK 22.2 million related to licensed assets were recognized as part of research and development costs in 2017 as certain programs were discontinued. There were no acquisitions of licenses and rights in 2017. The group has previously acquired licenses and rights to technology at a total cost of DKK 152.0 million, which have been fully amortized during the period from 2000 to 2005. The licenses and rights are still in use by the group and contribute to our research and development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group currently has no internally generated intangible assets from development, as the criteria for recognition of an asset are not met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and Rights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Licenses, rights, and patents are initially measured at cost and include the net present value of any future payments. The net present value of any future payments is recognized as a liability. Milestone payments are accounted for as an increase in the cost to acquire licenses, rights, and patents. Genmab acquires licenses and rights primarily to get access to targets and technologies identified by third parties.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3" w:name="page274"/>
    <w:bookmarkEnd w:id="2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Licenses, rights, and patents are amortized using the straight-line method over the estimated useful life of five to seven years. Amortization, impairment losses, and gains or losses on the disposal of intangible assets are recognized in the income statement as research and development costs, general and administrative expenses or discontinued operations, as appropriate.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If circumstances or changes in Genmab's operations indicate that the carrying amount of non-current assets in a cash-generating unit may not be recoverable, management reviews the asset for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Internally Generated Intangible Assets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 xml:space="preserve">According to the IAS 38,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intangible assets arising from development projects should be recognized in the balance sheet. The criteria that must be met for capitalization are that:</w:t>
      </w:r>
    </w:p>
    <w:p>
      <w:pPr>
        <w:spacing w:after="0" w:line="19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development project is clearly defined and identifiable and the attributable costs can be measured reliably during the development period;</w:t>
      </w:r>
    </w:p>
    <w:p>
      <w:pPr>
        <w:spacing w:after="0" w:line="275"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technological feasibility, adequate resources to complete and a market for the product or an internal use of the product can be documented;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management has the intent to produce and market the product or to use it internally.</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Such an intangible asset should be recognized if sufficient certainty can be documented that the future income from the development project will exceed the aggregate cost of production, development, and sale and administration of the product.</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development project involves a single product candidate undergoing a high number of tests to illustrate its safety profile and its effect on human beings prior to obtaining the necessary final approval of the product from the appropriate authorities. The future economic benefits associated with the individual development projects are dependent on obtaining such approval. Considering the significant risk and duration of the development period related to the development of biological products, management has concluded that the future economic benefits associated with the individual projects cannot be estimated with sufficient certainty until the project has been finalized and the necessary final regulatory approval of the product has been obtained. Accordingly, the group has not recognized such assets at this time and therefore all research and development costs are recognized in the income statement when incurred. The total research and development costs amounted to DKK 874.3 million in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 Clinical Trial Material Purchased for Use in Clinical Trials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According to our accounting policies, antibody clinical trial material (antibodies) for use in clinical trials that are purchased from third parties will only be recognized in the balance sheet at cost and expensed in the income statement when consumed, if all criteria for recognition as an asset are fulfilled. During 2017, no antibodies purchased from third parties for use in clinical trials have been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74" w:name="page275"/>
    <w:bookmarkEnd w:id="2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these antibodies do not qualify for being capitalized as inventory under either the "</w:t>
      </w:r>
      <w:r>
        <w:rPr>
          <w:rFonts w:ascii="Arial" w:cs="Arial" w:eastAsia="Arial" w:hAnsi="Arial"/>
          <w:sz w:val="16"/>
          <w:szCs w:val="16"/>
          <w:i w:val="1"/>
          <w:iCs w:val="1"/>
          <w:color w:val="auto"/>
        </w:rPr>
        <w:t>Framework</w:t>
      </w:r>
      <w:r>
        <w:rPr>
          <w:rFonts w:ascii="Arial" w:cs="Arial" w:eastAsia="Arial" w:hAnsi="Arial"/>
          <w:sz w:val="16"/>
          <w:szCs w:val="16"/>
          <w:color w:val="auto"/>
        </w:rPr>
        <w:t>" to IAS/IFRS or IAS 2, "</w:t>
      </w:r>
      <w:r>
        <w:rPr>
          <w:rFonts w:ascii="Arial" w:cs="Arial" w:eastAsia="Arial" w:hAnsi="Arial"/>
          <w:sz w:val="16"/>
          <w:szCs w:val="16"/>
          <w:i w:val="1"/>
          <w:iCs w:val="1"/>
          <w:color w:val="auto"/>
        </w:rPr>
        <w:t>Inventories</w:t>
      </w:r>
      <w:r>
        <w:rPr>
          <w:rFonts w:ascii="Arial" w:cs="Arial" w:eastAsia="Arial" w:hAnsi="Arial"/>
          <w:sz w:val="16"/>
          <w:szCs w:val="16"/>
          <w:color w:val="auto"/>
        </w:rPr>
        <w:t>."</w:t>
      </w:r>
    </w:p>
    <w:p>
      <w:pPr>
        <w:spacing w:after="0" w:line="248" w:lineRule="exact"/>
        <w:rPr>
          <w:sz w:val="20"/>
          <w:szCs w:val="20"/>
          <w:color w:val="auto"/>
        </w:rPr>
      </w:pPr>
    </w:p>
    <w:p>
      <w:pPr>
        <w:ind w:right="300" w:firstLine="351"/>
        <w:spacing w:after="0" w:line="369" w:lineRule="auto"/>
        <w:rPr>
          <w:sz w:val="20"/>
          <w:szCs w:val="20"/>
          <w:color w:val="auto"/>
        </w:rPr>
      </w:pPr>
      <w:r>
        <w:rPr>
          <w:rFonts w:ascii="Arial" w:cs="Arial" w:eastAsia="Arial" w:hAnsi="Arial"/>
          <w:sz w:val="15"/>
          <w:szCs w:val="15"/>
          <w:color w:val="auto"/>
        </w:rPr>
        <w:t>Management has concluded that the purchase of antibodies from third parties cannot be capitalized as the technical feasibility is not proven and no alternative use exists. Expenses in connection with purchase of antibodies are treated as described under "Research and Development Expense" in note 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3.2—Property, Plant and Equipment</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Equipment,</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Assets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property,</w:t>
            </w:r>
          </w:p>
        </w:tc>
      </w:tr>
      <w:tr>
        <w:trPr>
          <w:trHeight w:val="149"/>
        </w:trPr>
        <w:tc>
          <w:tcPr>
            <w:tcW w:w="2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Leasehold</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furniture and</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under</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plant and</w:t>
            </w:r>
          </w:p>
        </w:tc>
      </w:tr>
      <w:tr>
        <w:trPr>
          <w:trHeight w:val="161"/>
        </w:trPr>
        <w:tc>
          <w:tcPr>
            <w:tcW w:w="4740" w:type="dxa"/>
            <w:vAlign w:val="bottom"/>
            <w:gridSpan w:val="2"/>
          </w:tcPr>
          <w:p>
            <w:pPr>
              <w:ind w:left="20"/>
              <w:spacing w:after="0"/>
              <w:rPr>
                <w:sz w:val="20"/>
                <w:szCs w:val="20"/>
                <w:color w:val="auto"/>
              </w:rPr>
            </w:pPr>
            <w:r>
              <w:rPr>
                <w:rFonts w:ascii="Arial" w:cs="Arial" w:eastAsia="Arial" w:hAnsi="Arial"/>
                <w:sz w:val="13"/>
                <w:szCs w:val="13"/>
                <w:b w:val="1"/>
                <w:bCs w:val="1"/>
                <w:color w:val="auto"/>
              </w:rPr>
              <w:t>2017</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improvements</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fixtures</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construction</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equipment</w:t>
            </w:r>
          </w:p>
        </w:tc>
      </w:tr>
      <w:tr>
        <w:trPr>
          <w:trHeight w:val="142"/>
        </w:trPr>
        <w:tc>
          <w:tcPr>
            <w:tcW w:w="28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per January 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148,854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163,946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Additions for the year</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26,370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62,018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93,554</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Disposals for the year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(9,131)</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Exchange rate adjustment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0"/>
        </w:trPr>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at December 31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10,748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169,929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67,521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248,198</w:t>
            </w: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 and impairment at January 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(122,381)</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(131,752)</w:t>
            </w: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for the year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(12,209)</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Disposals for the year</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5,055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8,972</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Exchange rate adjustment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Accumulated depreciation and impairment at December 31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(129,079)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(134,783)</w:t>
            </w:r>
          </w:p>
        </w:tc>
        <w:tc>
          <w:tcPr>
            <w:tcW w:w="16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40,850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67,521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113,415</w:t>
            </w:r>
          </w:p>
        </w:tc>
      </w:tr>
      <w:tr>
        <w:trPr>
          <w:trHeight w:val="20"/>
        </w:trPr>
        <w:tc>
          <w:tcPr>
            <w:tcW w:w="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Capital expenditure in 2017 was primarily related to leasehold improvements in the new facility in the Netherlands for the continued expansion of our product pipeline.</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Depreciation, amortization,</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and impairments are included in the income statement as follows:</w:t>
            </w:r>
          </w:p>
        </w:tc>
        <w:tc>
          <w:tcPr>
            <w:tcW w:w="720" w:type="dxa"/>
            <w:vAlign w:val="bottom"/>
          </w:tcPr>
          <w:p>
            <w:pPr>
              <w:jc w:val="right"/>
              <w:ind w:right="140"/>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3780" w:type="dxa"/>
            <w:vAlign w:val="bottom"/>
            <w:tcBorders>
              <w:top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12,209</w:t>
            </w:r>
          </w:p>
        </w:tc>
        <w:tc>
          <w:tcPr>
            <w:tcW w:w="16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Property, plant and equipment is mainly comprised of leasehold improvements, assets under construction, and equipment, furniture and fixtures, which are measured at cost less accumulated depreciation, and any impairment losses.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cost is comprised of the acquisition price and direct costs related to the acquisition until the asset is ready for use. The present value of estimated liabilities related to the restoration of our offices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5" w:name="page276"/>
    <w:bookmarkEnd w:id="2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connection with the termination of the lease is added to the cost if the liabilities are provided for. Costs include direct costs, salary related expenses, and costs to subcontractors.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Depreciation, which is stated at cost net of any residual value, is calculated on a straight-line basis over the expected useful lives of the assets, which are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41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3 - 5 years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Computer equipment</w:t>
            </w:r>
          </w:p>
        </w:tc>
        <w:tc>
          <w:tcPr>
            <w:tcW w:w="4120" w:type="dxa"/>
            <w:vAlign w:val="bottom"/>
          </w:tcPr>
          <w:p>
            <w:pPr>
              <w:ind w:left="1400"/>
              <w:spacing w:after="0"/>
              <w:rPr>
                <w:sz w:val="20"/>
                <w:szCs w:val="20"/>
                <w:color w:val="auto"/>
              </w:rPr>
            </w:pPr>
            <w:r>
              <w:rPr>
                <w:rFonts w:ascii="Arial" w:cs="Arial" w:eastAsia="Arial" w:hAnsi="Arial"/>
                <w:sz w:val="18"/>
                <w:szCs w:val="18"/>
                <w:color w:val="auto"/>
              </w:rPr>
              <w:t>3 years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1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6"/>
              </w:rPr>
              <w:t>5 years or the lease term, if shorter</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useful lives and residual values are reviewed and adjusted if appropriate on a yearly basis. Assets under construction are not depreciated.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circumstances or changes in Genmab's operations indicate that the carrying amount of non-current assets in a cash-generating unit may not be recoverable, management reviews the asset for impairment. The basis for the review is the recoverable amount of the assets, determined as the greater of the fair value less cost to sell or its value in use. Value in use is calculated as the net present value of future cash inflow generated from the asset. If the carrying amount of an asset is greater than the recoverable amount, the asset is written down to the recoverable amount. An impairment loss is recognized in the income statement when the impairment is identified.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3.3—Receivables</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Receivables related to collaboration agreements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519,009</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receivables</w:t>
            </w:r>
          </w:p>
        </w:tc>
        <w:tc>
          <w:tcPr>
            <w:tcW w:w="720" w:type="dxa"/>
            <w:vAlign w:val="bottom"/>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(note 4.2)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 receivables</w:t>
            </w:r>
          </w:p>
        </w:tc>
        <w:tc>
          <w:tcPr>
            <w:tcW w:w="720" w:type="dxa"/>
            <w:vAlign w:val="bottom"/>
          </w:tcPr>
          <w:p>
            <w:pPr>
              <w:jc w:val="right"/>
              <w:spacing w:after="0"/>
              <w:rPr>
                <w:sz w:val="20"/>
                <w:szCs w:val="20"/>
                <w:color w:val="auto"/>
              </w:rPr>
            </w:pPr>
            <w:r>
              <w:rPr>
                <w:rFonts w:ascii="Arial" w:cs="Arial" w:eastAsia="Arial" w:hAnsi="Arial"/>
                <w:sz w:val="18"/>
                <w:szCs w:val="18"/>
                <w:color w:val="auto"/>
              </w:rPr>
              <w:t>26,634</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6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587,758</w:t>
            </w:r>
          </w:p>
        </w:tc>
        <w:tc>
          <w:tcPr>
            <w:tcW w:w="16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receivables</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8,756</w:t>
            </w:r>
          </w:p>
        </w:tc>
        <w:tc>
          <w:tcPr>
            <w:tcW w:w="16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receivables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579,002</w:t>
            </w:r>
          </w:p>
        </w:tc>
        <w:tc>
          <w:tcPr>
            <w:tcW w:w="16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587,758</w:t>
            </w:r>
          </w:p>
        </w:tc>
        <w:tc>
          <w:tcPr>
            <w:tcW w:w="16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During 2017, there were no losses related to receivables and the credit risk on receivables is considered to be limited. The receivables are mainly comprised of royalties and milestones from our collaboration agreements and non-interest bearing receivables which are due less than one year from the balance sheet date. For further information about the interest receivables and derivatives and related credit risk, please refer to note 4.2.</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76" w:name="page277"/>
    <w:bookmarkEnd w:id="2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Receivables except derivatives are designated as loans and receivables and are initially measured at fair value and subsequently measured in the balance sheet at amortized cost, which generally corresponds to nominal value less provision for bad debts. The provision for bad debts is calculated on the basis of an individual assessment of each receivable including analysis of capacity to pay, creditworthiness, and historical information on payment patterns and doubtful debts. Prepayments include expenditures related to a future financial year. Prepayments are measured at nominal value.</w:t>
      </w:r>
    </w:p>
    <w:p>
      <w:pPr>
        <w:sectPr>
          <w:pgSz w:w="11900" w:h="16838" w:orient="portrait"/>
          <w:cols w:equalWidth="0" w:num="1">
            <w:col w:w="11240"/>
          </w:cols>
          <w:pgMar w:left="320" w:top="131" w:right="3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3.4—Provisions</w:t>
      </w:r>
    </w:p>
    <w:p>
      <w:pPr>
        <w:spacing w:after="0" w:line="200" w:lineRule="exact"/>
        <w:rPr>
          <w:sz w:val="20"/>
          <w:szCs w:val="20"/>
          <w:color w:val="auto"/>
        </w:rPr>
      </w:pPr>
    </w:p>
    <w:p>
      <w:pPr>
        <w:spacing w:after="0" w:line="39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Provisions per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-111125</wp:posOffset>
            </wp:positionV>
            <wp:extent cx="498919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Additions during the year</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Used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6"/>
          <w:szCs w:val="16"/>
          <w:color w:val="auto"/>
        </w:rPr>
        <w:t>Released during the year</w:t>
      </w:r>
    </w:p>
    <w:p>
      <w:pPr>
        <w:spacing w:after="0" w:line="33"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Total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-107315</wp:posOffset>
            </wp:positionV>
            <wp:extent cx="498919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5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Non-current provisions</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Current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6"/>
          <w:szCs w:val="16"/>
          <w:b w:val="1"/>
          <w:bCs w:val="1"/>
          <w:color w:val="auto"/>
        </w:rPr>
        <w:t>Total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4457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DKK'000</w:t>
      </w:r>
    </w:p>
    <w:p>
      <w:pPr>
        <w:spacing w:after="0" w:line="5"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1,433</w:t>
      </w:r>
    </w:p>
    <w:p>
      <w:pPr>
        <w:spacing w:after="0" w:line="1"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1,200</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(552)</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(881)</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-115570</wp:posOffset>
            </wp:positionV>
            <wp:extent cx="4457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29210</wp:posOffset>
            </wp:positionV>
            <wp:extent cx="4457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46355</wp:posOffset>
            </wp:positionV>
            <wp:extent cx="4457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1,200</w:t>
      </w:r>
    </w:p>
    <w:p>
      <w:pPr>
        <w:spacing w:after="0" w:line="3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w:t>
      </w:r>
    </w:p>
    <w:p>
      <w:pPr>
        <w:spacing w:after="0" w:line="10" w:lineRule="exact"/>
        <w:rPr>
          <w:sz w:val="20"/>
          <w:szCs w:val="20"/>
          <w:color w:val="auto"/>
        </w:rPr>
      </w:pPr>
    </w:p>
    <w:p>
      <w:pPr>
        <w:jc w:val="right"/>
        <w:ind w:right="1840"/>
        <w:spacing w:after="0"/>
        <w:rPr>
          <w:sz w:val="20"/>
          <w:szCs w:val="20"/>
          <w:color w:val="auto"/>
        </w:rPr>
      </w:pPr>
      <w:r>
        <w:rPr>
          <w:rFonts w:ascii="Arial" w:cs="Arial" w:eastAsia="Arial" w:hAnsi="Arial"/>
          <w:sz w:val="18"/>
          <w:szCs w:val="18"/>
          <w:b w:val="1"/>
          <w:bCs w:val="1"/>
          <w:color w:val="auto"/>
        </w:rPr>
        <w:t>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-130175</wp:posOffset>
            </wp:positionV>
            <wp:extent cx="4457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14605</wp:posOffset>
            </wp:positionV>
            <wp:extent cx="4457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31750</wp:posOffset>
            </wp:positionV>
            <wp:extent cx="4457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80"/>
          </w:cols>
          <w:pgMar w:left="320" w:top="131" w:right="339" w:bottom="1440" w:gutter="0" w:footer="0" w:header="0"/>
          <w:type w:val="continuous"/>
        </w:sectPr>
      </w:pPr>
    </w:p>
    <w:p>
      <w:pPr>
        <w:spacing w:after="0" w:line="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Provisions include contractual restoration obligations related to our lease of offices. In determining the fair value of the restoration obligation, assumptions and estimates are made in relation to discounting, the expected cost to restore the offices and the expected timing of those costs. The majority of non-current provisions are expected to be settled in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Provisions are recognized when the group has an existing legal or constructive obligation as a result of events occurring prior to or on the balance sheet date, and it is probable that the utilization of economic resources will be required to settle the obligation. Provisions are measured at management's best estimate of the expenses required to settle the obligation. A provision for onerous contracts is recognized when the expected benefits to be derived by the group from a contract are lower than the unavoidable cost of meeting its obligations under the contract. The provision is measured at the present value of the lower of the expected cost of terminating the contract and the expected net cost of continuing with the contract. When the group has a legal obligation to restore our office lease in connection with the termination, a provision is recognized corresponding to the present value of expected future costs. The present value of a provision is calculated using a pre-tax rate that reflects current market assessments of the time value of money and the risks specific to the obligation. The increase in the provision due to passage of time is recognized as an interest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77" w:name="page278"/>
    <w:bookmarkEnd w:id="2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3—OPERATING ASSETS AND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3.5—Other Payables</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collaboration agreements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Staff cost 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22,012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Accounts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Non-current other payables</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other payables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at December 31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Other payables are initially measured at fair value and subsequently measured in the balance sheet at amortized cost. The current other payables are comprised of liabilities that are due less than one year from the balance sheet date and are in general not interest bearing and settled on an ongoing basis during the financial year. Non-current payables are measured at the present value of the expenditures expected to be required to settle the obligation using a pre-tax rate that reflects current market assessments of the time value of money and the risks specific to the obligation. The increase in the liability due to passage of time is recognized as 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Costs Liabilities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Wages and salaries, social security contributions, paid leave and bonuses, and other employee benefits are recognized in the financial year in which the employee performs the associated work.</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Termination benefits are recognized as an expense, when the Genmab group is committed demonstrably, without realistic possibility of withdrawal, to a formal detailed plan to terminate employment.</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are measured in the balance sheet at amortized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liabilities primarily includes accrued expenses related to our research and development project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8" w:name="page279"/>
    <w:bookmarkEnd w:id="2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4.1—Capital Management</w:t>
      </w:r>
    </w:p>
    <w:p>
      <w:pPr>
        <w:spacing w:after="0" w:line="231"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 Board of Directors' policy is to maintain a strong capital base so as to maintain investor, creditor and market confidence, and a continuous advancement of Genmab's product pipeline and business in general. Genmab is primarily financed through partnership collaboration income and had, as of December 31, 2017, a cash position of DKK 5,422.7 million. The cash position supports the advancement of our product pipeline and operations.</w:t>
      </w:r>
    </w:p>
    <w:p>
      <w:pPr>
        <w:spacing w:after="0" w:line="16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adequacy of our available funds will depend on many factors, including continued growth of DARZALEX sales,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we may require additional funds and may attempt to raise additional funds through equity or debt financings, collaborative agreements with partners, or from other sources.</w:t>
      </w:r>
    </w:p>
    <w:p>
      <w:pPr>
        <w:spacing w:after="0" w:line="16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monitors the share and capital structure to ensure that Genmab's capital resources support the strategic goals. There was no change in the group's approach to capital management procedures in 2017. Neither Genmab A/S nor any of its subsidiaries are subject to externally imposed capital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4.2—Financial Risk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financial risks of the Genmab group are managed centrally. The overall risk management guidelines have been approved by the Board of Directors and include the group's foreign exchange and investment policy related to our marketable securities. The group's risk management guidelines are established to identify and analyze the risks faced by the Genmab group, to set the appropriate risk limits and controls and to monitor the risks and adherence to limits. It is Genmab's policy not to actively speculate in financial risks. The group's financial risk management is directed solely against monitoring and reducing financial risks which are directly related to the group's operations.</w:t>
      </w:r>
    </w:p>
    <w:p>
      <w:pPr>
        <w:spacing w:after="0" w:line="16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primary objective of Genmab's investment activities is to preserve capital and ensure liquidity with a secondary objective of maximizing the income derived from security investments without significantly increasing risk. Therefore, our investment policy includes among other items, guidelines and ranges for which investments (all of which are shorter-term in nature) are considered to be eligible investments for Genmab and which investment parameters are to be applied, including maturity limitations and credit ratings. In addition, the policy includes specific diversification criteria and investment limits to minimize the risk of loss resulting from over concentration of assets in a specific class, issuer, currency, country, or economic sector.</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Currently, our marketable securities are administrated by two external investment managers. The guidelines and investment managers are reviewed regularly to reflect changes in market conditions, the group's activities and financial position. In 2016, the investment policy was amended to increase the investment limits for individual securities and reduce the percent of the total portfolio required to have a maturity of less than one year. The changes were made as a result of the higher value of our marketable securities portfolio and reduced need for short duration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9" w:name="page280"/>
    <w:bookmarkEnd w:id="2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to the capital management and financing risk mentioned in note 4.1, the group has identified the following key financial risk areas, which are mainly related to our marketable securities portfolio:</w:t>
      </w:r>
    </w:p>
    <w:p>
      <w:pPr>
        <w:spacing w:after="0" w:line="19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currency risk;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All our marketable securities are traded in established markets. Given the current market conditions, all future cash inflows including re-investments of proceeds from the disposal of marketable securities are invested in highly liquid and conservative investments. Refer to note 4.4 for additional details on our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Genmab is exposed to credit risk and losses on our marketable securities and bank deposits. The credit risk related to our other receivables is not 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80" w:firstLine="348"/>
        <w:spacing w:after="0" w:line="331" w:lineRule="auto"/>
        <w:rPr>
          <w:sz w:val="20"/>
          <w:szCs w:val="20"/>
          <w:color w:val="auto"/>
        </w:rPr>
      </w:pPr>
      <w:r>
        <w:rPr>
          <w:rFonts w:ascii="Arial" w:cs="Arial" w:eastAsia="Arial" w:hAnsi="Arial"/>
          <w:sz w:val="16"/>
          <w:szCs w:val="16"/>
          <w:color w:val="auto"/>
        </w:rPr>
        <w:t>To manage and reduce credit risks on our securities, only securities from investment grade issuers are eligible for our portfolios. No issuer of marketable securities can be accepted if it is not assumed that the credit quality of the issuer would be at least equal to the rating shown below:</w:t>
      </w:r>
    </w:p>
    <w:p>
      <w:pPr>
        <w:spacing w:after="0" w:line="13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80" w:type="dxa"/>
            <w:vAlign w:val="bottom"/>
            <w:gridSpan w:val="3"/>
          </w:tcPr>
          <w:p>
            <w:pPr>
              <w:spacing w:after="0"/>
              <w:rPr>
                <w:sz w:val="20"/>
                <w:szCs w:val="20"/>
                <w:color w:val="auto"/>
              </w:rPr>
            </w:pPr>
            <w:r>
              <w:rPr>
                <w:rFonts w:ascii="Arial" w:cs="Arial" w:eastAsia="Arial" w:hAnsi="Arial"/>
                <w:sz w:val="13"/>
                <w:szCs w:val="13"/>
                <w:b w:val="1"/>
                <w:bCs w:val="1"/>
                <w:color w:val="auto"/>
              </w:rPr>
              <w:t>Category</w:t>
            </w: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rPr>
              <w:t>S&amp;P</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5"/>
              </w:rPr>
              <w:t>Moody's</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6"/>
              </w:rPr>
              <w:t>Fitch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16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current portfolio is spread over a number of different securities and is conservative with a focus on liquidity and security. As of December 31, 2017,</w:t>
      </w:r>
    </w:p>
    <w:p>
      <w:pPr>
        <w:spacing w:after="0" w:line="3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91% of our marketable securities had a triple A-rating from Moody's, S&amp;P, or Fitch. The total value of marketable securities including interest receivables amounted to DKK 4,087.1 million at the end of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Deposits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To reduce the credit risk on our bank deposits, Genmab only invests its cash deposits with highly rated financial institutions. Currently, these financial institutions have a short-term Fitch and S&amp;P rating of at least F-1 and A-1, respectively. In addition, Genmab maintains bank deposits at a level necessary to support the short-term funding requirements of the Genmab group. The total value of bank deposits amounted to DKK 1,347.5 million as of December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Genmab has established derivative financial instruments under an International Swaps and Derivatives Association master agreement (see below). We are exposed to credit loss in the event of non-performance by our counterpart which is a financial institution with the following short term ratings: Moody's (P-1) and S&amp;P (A-1). The total value of receivables related to derivative financial instruments amounted to DKK 12.2 million at the end of 2017.</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80" w:name="page281"/>
    <w:bookmarkEnd w:id="2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Genmab is exposed to currency exposure, and as Genmab incurs income and expenses in a number of different currencies, the group is subject to currency risk. Increases or decreases in the exchange rate of such foreign currencies against our functional currency, the DKK, can affect the group's results and cash position negatively or positively. The foreign subsidiaries are not significantly affected by currency risks as both income and expenses are primarily settled in the foreign subsidiaries' functional currencies.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in Foreign Currency</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most significant cash flows of the group are DKK, EUR, USD and GBP and Genmab hedges its currency exposure by maintaining cash positions in these currencies. Our total marketable securities were invested in EUR (21%), DKK (42%), USD (35%) and GBP (2%) denominated securities as of December 31, 2017. In addition, Genmab uses derivatives (future contracts) as part of its overall strategy to hedge foreign currency exposure.</w:t>
      </w:r>
    </w:p>
    <w:p>
      <w:pPr>
        <w:spacing w:after="0" w:line="160"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Based on the amount of assets and liabilities denominated in EUR, USD and GBP as of December 31, 2017, a 1% change in the EUR to DKK exchange rate and a 10% change in both USD to DKK exchange rate and GBP to DKK exchange rate will impact our net financial items by approximately:</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1"/>
              </w:rPr>
              <w:t>Percentage</w:t>
            </w: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Impact of</w:t>
            </w:r>
          </w:p>
        </w:tc>
      </w:tr>
      <w:tr>
        <w:trPr>
          <w:trHeight w:val="148"/>
        </w:trPr>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Cash</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Net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c>
          <w:tcPr>
            <w:tcW w:w="2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change in</w:t>
            </w:r>
          </w:p>
        </w:tc>
      </w:tr>
      <w:tr>
        <w:trPr>
          <w:trHeight w:val="161"/>
        </w:trPr>
        <w:tc>
          <w:tcPr>
            <w:tcW w:w="2780" w:type="dxa"/>
            <w:vAlign w:val="bottom"/>
            <w:gridSpan w:val="3"/>
          </w:tcPr>
          <w:p>
            <w:pPr>
              <w:ind w:left="20"/>
              <w:spacing w:after="0"/>
              <w:rPr>
                <w:sz w:val="20"/>
                <w:szCs w:val="20"/>
                <w:color w:val="auto"/>
              </w:rPr>
            </w:pPr>
            <w:r>
              <w:rPr>
                <w:rFonts w:ascii="Arial" w:cs="Arial" w:eastAsia="Arial" w:hAnsi="Arial"/>
                <w:sz w:val="13"/>
                <w:szCs w:val="13"/>
                <w:b w:val="1"/>
                <w:bCs w:val="1"/>
                <w:color w:val="auto"/>
              </w:rPr>
              <w:t>DKK'000</w:t>
            </w:r>
          </w:p>
        </w:tc>
        <w:tc>
          <w:tcPr>
            <w:tcW w:w="10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Position</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Receivables</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Liabilities</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Exposure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exchange rate*</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exchange rate</w:t>
            </w:r>
          </w:p>
        </w:tc>
      </w:tr>
      <w:tr>
        <w:trPr>
          <w:trHeight w:val="209"/>
        </w:trPr>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EUR</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1,046,889.3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26,981.3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(140,156.1)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933,714.5</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3"/>
              <w:spacing w:after="0"/>
              <w:rPr>
                <w:sz w:val="20"/>
                <w:szCs w:val="20"/>
                <w:color w:val="auto"/>
              </w:rPr>
            </w:pPr>
            <w:r>
              <w:rPr>
                <w:rFonts w:ascii="Arial" w:cs="Arial" w:eastAsia="Arial" w:hAnsi="Arial"/>
                <w:sz w:val="18"/>
                <w:szCs w:val="18"/>
                <w:color w:val="auto"/>
              </w:rPr>
              <w:t>9,337.1</w:t>
            </w:r>
          </w:p>
        </w:tc>
        <w:tc>
          <w:tcPr>
            <w:tcW w:w="220" w:type="dxa"/>
            <w:vAlign w:val="bottom"/>
          </w:tcPr>
          <w:p>
            <w:pPr>
              <w:spacing w:after="0"/>
              <w:rPr>
                <w:sz w:val="18"/>
                <w:szCs w:val="18"/>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2,496,521.0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476,510.7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(124,283.5)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2,848,748.2</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284,874.8</w:t>
            </w:r>
          </w:p>
        </w:tc>
        <w:tc>
          <w:tcPr>
            <w:tcW w:w="220" w:type="dxa"/>
            <w:vAlign w:val="bottom"/>
            <w:shd w:val="clear" w:color="auto" w:fill="CCEEFF"/>
          </w:tcPr>
          <w:p>
            <w:pPr>
              <w:spacing w:after="0"/>
              <w:rPr>
                <w:sz w:val="18"/>
                <w:szCs w:val="18"/>
                <w:color w:val="auto"/>
              </w:rPr>
            </w:pPr>
          </w:p>
        </w:tc>
      </w:tr>
      <w:tr>
        <w:trPr>
          <w:trHeight w:val="228"/>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GBP</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76,797.3</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(25,068.3)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51,729.0</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3"/>
              <w:spacing w:after="0"/>
              <w:rPr>
                <w:sz w:val="20"/>
                <w:szCs w:val="20"/>
                <w:color w:val="auto"/>
              </w:rPr>
            </w:pPr>
            <w:r>
              <w:rPr>
                <w:rFonts w:ascii="Arial" w:cs="Arial" w:eastAsia="Arial" w:hAnsi="Arial"/>
                <w:sz w:val="18"/>
                <w:szCs w:val="18"/>
                <w:color w:val="auto"/>
              </w:rPr>
              <w:t>5,172.9</w:t>
            </w:r>
          </w:p>
        </w:tc>
        <w:tc>
          <w:tcPr>
            <w:tcW w:w="220" w:type="dxa"/>
            <w:vAlign w:val="bottom"/>
          </w:tcPr>
          <w:p>
            <w:pPr>
              <w:spacing w:after="0"/>
              <w:rPr>
                <w:sz w:val="19"/>
                <w:szCs w:val="19"/>
                <w:color w:val="auto"/>
              </w:rPr>
            </w:pPr>
          </w:p>
        </w:tc>
      </w:tr>
      <w:tr>
        <w:trPr>
          <w:trHeight w:val="96"/>
        </w:trPr>
        <w:tc>
          <w:tcPr>
            <w:tcW w:w="5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analysis assumes that all other variables, in particular interest rates, remain constant.</w:t>
      </w:r>
    </w:p>
    <w:p>
      <w:pPr>
        <w:spacing w:after="0" w:line="217"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Accordingly, significant changes in exchange rates could cause our net result to fluctuate significantly as gains and losses are recognized in the income statement. Our EUR exposure is mainly related to our marketable securities, contracts and other costs denominated in EUR. Since the introduction of EUR in 1999, Denmark has committed to maintaining a central rate of 7.46 DKK to the EUR. This rate may fluctuate within a +/– 2.25% band. Should Denmark's policy towards the EUR change, the DKK values of our EUR denominated assets and costs could be materially different compared to what is calculated and reported under the existing Danish policy towards the DKK/EUR. The USD currency exposure was mainly related to cash deposits, marketable securities, and receivables related to our collaborations with Janssen and Novartis. The GBP currency exposure is mainly related to contracts and marketable securities denominated in GBP.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of Expected Future Cash Flows (Cash Flow Hedges)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Genmab entered into derivative contracts during the fourth quarter of 2016 to hedge a portion of the associated currency exposure of royalty payments from net sales of DARZALEX by Janssen. The foreign exchange forward contracts were purchased to match the anticipated timing of quarterly royalty payments from Janssen in May 2017, August 2017, November 2017, and February 2018. The total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81" w:name="page282"/>
    <w:bookmarkEnd w:id="2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auto"/>
        </w:rPr>
        <w:t>notional amount of the forward contracts was USD 42.0 million with the USD/EUR forward contract rate ranging from 1.0469 to 1.0640. Due to their lower cost and Denmark's fixed exchange rate policy against the EUR, USD/EUR forward contracts were utilized instead of USD/DKK forward contracts.</w:t>
      </w:r>
    </w:p>
    <w:p>
      <w:pPr>
        <w:spacing w:after="0" w:line="14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total notional amount of foreign exchange forward contracts that matured in 2017 was USD 27.0 million and Genmab recognized a gain of DKK 18.0 million in the income statement as part of financial income related to these contracts. As of December 31, 2017, one forward exchange contract remained outstanding with a notional amount of USD 15.0 million and a fair value of DKK 12.2 million.</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10% change in the USD to EUR forward exchange rate will impact the valuation of the derivatives as outlined below. The analysis assumes that all other variables remain constant.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2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4"/>
              </w:rPr>
              <w:t>Impact of Change in Exchange Rate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in DKK'000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 debt or income</w:t>
            </w: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gridSpan w:val="3"/>
            <w:vMerge w:val="continue"/>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–10%</w:t>
            </w:r>
          </w:p>
        </w:tc>
        <w:tc>
          <w:tcPr>
            <w:tcW w:w="98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Base</w:t>
            </w:r>
          </w:p>
        </w:tc>
        <w:tc>
          <w:tcPr>
            <w:tcW w:w="720" w:type="dxa"/>
            <w:vAlign w:val="bottom"/>
          </w:tcPr>
          <w:p>
            <w:pPr>
              <w:jc w:val="right"/>
              <w:ind w:right="117"/>
              <w:spacing w:after="0" w:line="142" w:lineRule="exact"/>
              <w:rPr>
                <w:sz w:val="20"/>
                <w:szCs w:val="20"/>
                <w:color w:val="auto"/>
              </w:rPr>
            </w:pPr>
            <w:r>
              <w:rPr>
                <w:rFonts w:ascii="Arial" w:cs="Arial" w:eastAsia="Arial" w:hAnsi="Arial"/>
                <w:sz w:val="13"/>
                <w:szCs w:val="13"/>
                <w:b w:val="1"/>
                <w:bCs w:val="1"/>
                <w:color w:val="auto"/>
              </w:rPr>
              <w:t>+10%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9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(21,533.4)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(12,223.3)</w:t>
            </w:r>
          </w:p>
        </w:tc>
        <w:tc>
          <w:tcPr>
            <w:tcW w:w="720" w:type="dxa"/>
            <w:vAlign w:val="bottom"/>
          </w:tcPr>
          <w:p>
            <w:pPr>
              <w:jc w:val="right"/>
              <w:spacing w:after="0"/>
              <w:rPr>
                <w:sz w:val="20"/>
                <w:szCs w:val="20"/>
                <w:color w:val="auto"/>
              </w:rPr>
            </w:pPr>
            <w:r>
              <w:rPr>
                <w:rFonts w:ascii="Arial" w:cs="Arial" w:eastAsia="Arial" w:hAnsi="Arial"/>
                <w:sz w:val="18"/>
                <w:szCs w:val="18"/>
                <w:color w:val="auto"/>
              </w:rPr>
              <w:t>2,913.3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comprehensive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Genmab's exposure to interest rate risk is primarily related to the marketable securities, as we currently do not have significant interest bearing debts.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securities in which the group has invested bear interest rate risk, as a change in market derived interest rates may cause fluctuations in the fair value of the investments. In accordance with the objective of the investment activities, the portfolio of securities is monitored on a total return basis.</w:t>
      </w:r>
    </w:p>
    <w:p>
      <w:pPr>
        <w:spacing w:after="0" w:line="14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control and minimize the interest rate risk, the group maintains an investment portfolio in a variety of securities with a relatively short effective duration. As of December 31, 2017, the portfolio has an average effective duration of approximately 1.6 years and no securities have an effective duration of more than 8 years, which means that a change in the interest rates of one percentage point will cause the fair value of the securities to change by approximately 1.6%. Due to the short-term nature of the current investments and to the extent that we are able to hold the investments to maturity, we consider our current exposure to changes in fair value due to interest rate changes to be insignificant compared to the fair value of the portfolio.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2" w:name="page283"/>
    <w:bookmarkEnd w:id="2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maturity profile of our marketable securities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80" w:type="dxa"/>
            <w:vAlign w:val="bottom"/>
            <w:gridSpan w:val="4"/>
          </w:tcPr>
          <w:p>
            <w:pPr>
              <w:ind w:left="20"/>
              <w:spacing w:after="0"/>
              <w:rPr>
                <w:sz w:val="20"/>
                <w:szCs w:val="20"/>
                <w:color w:val="auto"/>
              </w:rPr>
            </w:pPr>
            <w:r>
              <w:rPr>
                <w:rFonts w:ascii="Arial" w:cs="Arial" w:eastAsia="Arial" w:hAnsi="Arial"/>
                <w:sz w:val="13"/>
                <w:szCs w:val="13"/>
                <w:b w:val="1"/>
                <w:bCs w:val="1"/>
                <w:color w:val="auto"/>
              </w:rPr>
              <w:t>DKK'000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80" w:type="dxa"/>
            <w:vAlign w:val="bottom"/>
            <w:gridSpan w:val="4"/>
          </w:tcPr>
          <w:p>
            <w:pPr>
              <w:ind w:left="20"/>
              <w:spacing w:after="0"/>
              <w:rPr>
                <w:sz w:val="20"/>
                <w:szCs w:val="20"/>
                <w:color w:val="auto"/>
              </w:rPr>
            </w:pPr>
            <w:r>
              <w:rPr>
                <w:rFonts w:ascii="Arial" w:cs="Arial" w:eastAsia="Arial" w:hAnsi="Arial"/>
                <w:sz w:val="13"/>
                <w:szCs w:val="13"/>
                <w:b w:val="1"/>
                <w:bCs w:val="1"/>
                <w:color w:val="auto"/>
              </w:rPr>
              <w:t>Year of Maturity</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1,423,542</w:t>
            </w:r>
          </w:p>
        </w:tc>
        <w:tc>
          <w:tcPr>
            <w:tcW w:w="16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2019</w:t>
            </w:r>
          </w:p>
        </w:tc>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1,119,042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617,631</w:t>
            </w:r>
          </w:p>
        </w:tc>
        <w:tc>
          <w:tcPr>
            <w:tcW w:w="16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2021</w:t>
            </w:r>
          </w:p>
        </w:tc>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498,507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416,470</w:t>
            </w:r>
          </w:p>
        </w:tc>
        <w:tc>
          <w:tcPr>
            <w:tcW w:w="16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4,075,192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4.3—Financial Assets and Liabilities</w:t>
            </w: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56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Categories of Financial Assets and Liabilities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20" w:type="dxa"/>
            <w:vAlign w:val="bottom"/>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3"/>
                <w:szCs w:val="13"/>
                <w:b w:val="1"/>
                <w:bCs w:val="1"/>
                <w:color w:val="auto"/>
              </w:rPr>
              <w:t>DKK'000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Category</w:t>
            </w:r>
          </w:p>
        </w:tc>
        <w:tc>
          <w:tcPr>
            <w:tcW w:w="6840" w:type="dxa"/>
            <w:vAlign w:val="bottom"/>
            <w:gridSpan w:val="3"/>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 designated at fair value through the income statement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Marketable securities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4,075,192</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4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 designated as hedging instruments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b w:val="1"/>
                <w:bCs w:val="1"/>
                <w:color w:val="auto"/>
              </w:rPr>
              <w:t>Loans and receivables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74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Receivables ex. prepayments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569,729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1,347,545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 measured at amortized cost</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Other payables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(178,902)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fair market values are determined by reference to external sources using unadjusted quoted prices in established markets for our marketable securities (Level 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Genmab entered into derivative instruments (forward contracts) to hedge currency exposure associated with future royalties on net sales of DARZALEX by Janssen. The derivatives are not traded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83" w:name="page284"/>
    <w:bookmarkEnd w:id="2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an active market based on quoted prices. The fair value is determined using valuation techniques that utilize market based data such as currency rates, yield curves and implied volatility (Level 2).</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DKK'000</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Level 1</w:t>
            </w:r>
          </w:p>
        </w:tc>
        <w:tc>
          <w:tcPr>
            <w:tcW w:w="560" w:type="dxa"/>
            <w:vAlign w:val="bottom"/>
          </w:tcPr>
          <w:p>
            <w:pPr>
              <w:jc w:val="right"/>
              <w:ind w:right="19"/>
              <w:spacing w:after="0" w:line="142" w:lineRule="exact"/>
              <w:rPr>
                <w:sz w:val="20"/>
                <w:szCs w:val="20"/>
                <w:color w:val="auto"/>
              </w:rPr>
            </w:pPr>
            <w:r>
              <w:rPr>
                <w:rFonts w:ascii="Arial" w:cs="Arial" w:eastAsia="Arial" w:hAnsi="Arial"/>
                <w:sz w:val="13"/>
                <w:szCs w:val="13"/>
                <w:b w:val="1"/>
                <w:bCs w:val="1"/>
                <w:color w:val="auto"/>
                <w:w w:val="99"/>
              </w:rPr>
              <w:t>Level 2</w:t>
            </w:r>
          </w:p>
        </w:tc>
        <w:tc>
          <w:tcPr>
            <w:tcW w:w="160" w:type="dxa"/>
            <w:vAlign w:val="bottom"/>
          </w:tcPr>
          <w:p>
            <w:pPr>
              <w:spacing w:after="0"/>
              <w:rPr>
                <w:sz w:val="12"/>
                <w:szCs w:val="12"/>
                <w:color w:val="auto"/>
              </w:rPr>
            </w:pPr>
          </w:p>
        </w:tc>
        <w:tc>
          <w:tcPr>
            <w:tcW w:w="60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Measured at Fair Value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4,075,192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Receivables—derivatives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Categories of Financial Assets and Liabilities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accordance with IFRS, Genmab has divided its financial assets and liabilities in the categories shown in the above overview. The classification is based on the nature, characteristics and risks of the asset and liability. The classification is re-assessed at the end of each reporting period. Financial assets are derecognized when the rights to receive cash flow from the financial assets have expired or been transferred and the risk and reward have been substantially transferred. Financial liabilities are derecognized when the obligation is discharged, cancelled or expired. Further details about the accounting policy for each of the categories are outlined in the respective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Genmab group measures financial instruments, such as marketable securities and derivatives, at fair value at each balance sheet date. Management assessed that financial assets and liabilities measured as amortized costs such as bank deposits, receivables and other payables approximate their carrying amounts largely due to the short-term maturities of these instruments.</w:t>
      </w:r>
    </w:p>
    <w:p>
      <w:pPr>
        <w:spacing w:after="0" w:line="194" w:lineRule="exact"/>
        <w:rPr>
          <w:sz w:val="20"/>
          <w:szCs w:val="20"/>
          <w:color w:val="auto"/>
        </w:rPr>
      </w:pPr>
    </w:p>
    <w:p>
      <w:pPr>
        <w:jc w:val="both"/>
        <w:ind w:right="380" w:firstLine="351"/>
        <w:spacing w:after="0" w:line="369"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3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252" w:lineRule="exact"/>
        <w:rPr>
          <w:rFonts w:ascii="Arial" w:cs="Arial" w:eastAsia="Arial" w:hAnsi="Arial"/>
          <w:sz w:val="18"/>
          <w:szCs w:val="18"/>
          <w:color w:val="auto"/>
        </w:rPr>
      </w:pPr>
    </w:p>
    <w:p>
      <w:pPr>
        <w:ind w:left="360" w:right="3480" w:firstLine="188"/>
        <w:spacing w:after="0" w:line="563" w:lineRule="auto"/>
        <w:tabs>
          <w:tab w:leader="none" w:pos="109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 The principal or the most advantageous market must be accessible by the Genmab group.</w:t>
      </w:r>
    </w:p>
    <w:p>
      <w:pPr>
        <w:spacing w:after="0" w:line="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 of an asset or a liability is measured using the assumptions that market participants would use when pricing the asset or liability, assuming that market participants act in their economic best interest. A fair value measurement of a non-financial asset takes into account a market participant's ability to generate economic benefits by using the asset in its highest and best use or by selling it to another market participant that would use the asset in its highest and best use. The Genmab group uses valuation techniques that are appropriate in the circumstances and for which sufficient data are available to measure fair value, maximizing the use of relevant observable inputs and minimizing the use of unobservable inputs.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84" w:name="page285"/>
    <w:bookmarkEnd w:id="2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For financial instruments that are measured in the balance sheet at fair value, IFRS 13 for financial instruments requires disclosure of fair value measurements by level of the following fair value measurement hierarchy for:</w:t>
      </w:r>
    </w:p>
    <w:p>
      <w:pPr>
        <w:spacing w:after="0" w:line="19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(that is, as prices) or indirectly (that is, derived from prices)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3—Inputs for the asset or liability that are not based on observable market data (that is, unobservable inputs).</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Currently no financial instruments are measured and determined with reference to level 3. Level 3 fair values of financial instruments measured at amortized cost and assumption used are disclosed above.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 There have not been any transfers between the different levels during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4.4—Marketable Securities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38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at January 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3,603,111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Additions for the year</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3,425,025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4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(2,833,393)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Cost at December 31</w:t>
            </w:r>
          </w:p>
        </w:tc>
        <w:tc>
          <w:tcPr>
            <w:tcW w:w="34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4,194,743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at January 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Fair value adjustment for the year</w:t>
            </w:r>
          </w:p>
        </w:tc>
        <w:tc>
          <w:tcPr>
            <w:tcW w:w="34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(131,382)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adjustment at December 31</w:t>
            </w:r>
          </w:p>
        </w:tc>
        <w:tc>
          <w:tcPr>
            <w:tcW w:w="3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(119,551</w:t>
            </w: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Net book value at December 31</w:t>
            </w:r>
          </w:p>
        </w:tc>
        <w:tc>
          <w:tcPr>
            <w:tcW w:w="34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4,075,192</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in percentage of cost</w:t>
            </w:r>
          </w:p>
        </w:tc>
        <w:tc>
          <w:tcPr>
            <w:tcW w:w="3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w:t>
            </w: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F-34</w:t>
            </w:r>
          </w:p>
        </w:tc>
        <w:tc>
          <w:tcPr>
            <w:tcW w:w="900" w:type="dxa"/>
            <w:vAlign w:val="bottom"/>
            <w:tcBorders>
              <w:top w:val="single" w:sz="8" w:color="auto"/>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5" w:name="page286"/>
    <w:bookmarkEnd w:id="2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Specification of the securities: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Market</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Average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value</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effective</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820" w:type="dxa"/>
            <w:vAlign w:val="bottom"/>
          </w:tcPr>
          <w:p>
            <w:pPr>
              <w:jc w:val="right"/>
              <w:ind w:right="179"/>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duration</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 %</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Kingdom of Denmark bonds and treasury bills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472,136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Danish mortgage-backed securities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1,213,814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DKK portfolio</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1,685,950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EUR portfolio</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government bonds and treasury bills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876,152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USD portfolio</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bonds and treasury bills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1,437,679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GBP portfolio</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government bonds and treasury bills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75,411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portfolio</w:t>
            </w: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4,075,192</w:t>
            </w:r>
          </w:p>
        </w:tc>
        <w:tc>
          <w:tcPr>
            <w:tcW w:w="1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4,075,192</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interest income amounted to DKK 41.3 million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Adjustment</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total fair value adjustment for 2017 was a loss of DKK 131.4 million, which was driven primarily by foreign exchange adjustments of DKK 117.6 million due the significant weakening of the USD against the DKK which negative impacted our USD denominated portfolio. Refer to note 4.2 for additional details on the risks related to our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Marketable securities consist of investments in securities with a maturity greater than three months at the time of acquisition. Genmab invests its cash in deposits with major financial institutions, in Danish mortgage bonds, and notes issued by the Danish, European and American governments. The securities can be purchased and sold using established markets. Genmab's portfolio of investments has been designated as financial assets at fair value through profit or loss as the portfolio is managed and evaluated on a fair value basis in accordance with Genmab's investment guidelines and the information provided internally to management. Marketable securities are initially and subsequently recognized at fair value, which equals the listed price. Realized and unrealized gains and losses (including unrealized foreign exchange rate gains and losses) are recognized in the income statement as financial items. Transactions are recognized at trade date.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86" w:name="page287"/>
    <w:bookmarkEnd w:id="2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4.5—Financial Income and Expenses</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and other financial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41,426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on fair value hedges, net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b w:val="1"/>
                <w:bCs w:val="1"/>
                <w:color w:val="auto"/>
              </w:rPr>
              <w:t>Total financial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expenses</w:t>
            </w: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and other financial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9"/>
              </w:rPr>
              <w:t>Realized and unrealized losses on marketable securities (fair value through the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 net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Realized and unrealized exchange rate losses, net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expenses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Net financial items</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(280,451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other financial income on financial assets measured at amortized cost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w w:val="99"/>
              </w:rPr>
              <w:t>Interest and other financial expenses on financial liabilities measured at amortized cost</w:t>
            </w:r>
          </w:p>
        </w:tc>
        <w:tc>
          <w:tcPr>
            <w:tcW w:w="78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Realized and unrealized exchange rate losses, net of DKK 329.7 million in 2017 were driven by foreign exchange movements which negatively impacted our USD denominated portfolio and cash holdings. The USD weakened significantly against the DKK during 2017, resulting in realized and unrealized exchange rates losses. More specifically, the USD/DKK foreign exchange rate decreased from 7.0528 at December 31, 2016 to 6.2067 at December 31, 2017. Refer to note 4.2 of the financial statements for more details about foreign currency risk.</w:t>
      </w:r>
    </w:p>
    <w:p>
      <w:pPr>
        <w:spacing w:after="0" w:line="166" w:lineRule="exact"/>
        <w:rPr>
          <w:sz w:val="20"/>
          <w:szCs w:val="20"/>
          <w:color w:val="auto"/>
        </w:rPr>
      </w:pPr>
    </w:p>
    <w:p>
      <w:pPr>
        <w:ind w:right="460" w:firstLine="351"/>
        <w:spacing w:after="0" w:line="331" w:lineRule="auto"/>
        <w:rPr>
          <w:sz w:val="20"/>
          <w:szCs w:val="20"/>
          <w:color w:val="auto"/>
        </w:rPr>
      </w:pPr>
      <w:r>
        <w:rPr>
          <w:rFonts w:ascii="Arial" w:cs="Arial" w:eastAsia="Arial" w:hAnsi="Arial"/>
          <w:sz w:val="16"/>
          <w:szCs w:val="16"/>
          <w:color w:val="auto"/>
        </w:rPr>
        <w:t>Realized losses on our marketable securities for 2017 amounted to DKK 12.4 million. These largely relate to the losses we incur when a security is purchased at a price above par and held to maturity. We are compensated for these realized losses with above market interest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Financial income and expenses include interest as well as realized and unrealized exchange rate adjustments and realized and unrealized gains and losses on marketable securities (designated as fair value through the income statement), realized gains and losses and write-downs of other securities and equity interests (designated as available-for-sale financial assets), and realized and unrealized gains and losses on derivative financial instruments.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and dividend income are shown separately from gains and losses on marketable securities and other securities and equity interests.</w:t>
      </w: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Gains or losses relating to the ineffective portion of a cash flow hedge and changes in time value are recognized immediately in the income statement as part of the financial income or expenses.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287" w:name="page288"/>
    <w:bookmarkEnd w:id="2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4.6—Share-Based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Genmab A/S has established an RSU program (equity-settled share-based payment transactions) as an incentive for all the Genmab group's employees, members of the Executive Management, and members of the Board of Directors. RSUs are granted by the Board of Directors in accordance with authorizations given to it by Genmab A/S' shareholders and are subject to the incentive guidelines (Remuneration Principles) adopted by the general meeting.</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terms of the RSU program, RSUs are subject to a cliff vesting period and become fully vested on the first banking day of the month following a period of three years from the date of grant. If an employee, member of Executive Management, or member of the Board of Directors ceases their employment or board membership prior to the vesting date, all RSUs that are granted, but not yet vested, shall lapse automatically. However, if an employee, a member of the Executive Management or a member of the Board of Directors ceases employment or board membership due to retirement or age limitation in Genmab A/S' articles of association, death, serious sickness or serious injury then all RSUs that are granted, but not yet vested shall remain outstanding and will be settled in accordance with their terms.</w:t>
      </w:r>
    </w:p>
    <w:p>
      <w:pPr>
        <w:spacing w:after="0" w:line="198" w:lineRule="exact"/>
        <w:rPr>
          <w:sz w:val="20"/>
          <w:szCs w:val="20"/>
          <w:color w:val="auto"/>
        </w:rPr>
      </w:pPr>
    </w:p>
    <w:p>
      <w:pPr>
        <w:jc w:val="both"/>
        <w:ind w:right="200" w:firstLine="351"/>
        <w:spacing w:after="0" w:line="294" w:lineRule="auto"/>
        <w:rPr>
          <w:sz w:val="20"/>
          <w:szCs w:val="20"/>
          <w:color w:val="auto"/>
        </w:rPr>
      </w:pPr>
      <w:r>
        <w:rPr>
          <w:rFonts w:ascii="Arial" w:cs="Arial" w:eastAsia="Arial" w:hAnsi="Arial"/>
          <w:sz w:val="16"/>
          <w:szCs w:val="16"/>
          <w:color w:val="auto"/>
        </w:rPr>
        <w:t>In addition, for an employee or a member of the Executive Management, RSUs that are granted, but not yet vested shall remain outstanding and will be settled in accordance with their terms in instances where the employment relationship is terminated by Genmab without cause. Within 30 days of the vesting date, the holder of an RSU receives one share in Genmab A/S for each RSU. Genmab A/S may at its sole discretion in extraordinary circumstances choose to make cash settlement instead of delivering shares. The RSU program contains anti-dilution provisions if changes occur in Genmab's share capital prior to the vesting date and provisions to accelerate vesting of RSUs in the event of change of control as defined in the RSU program.</w:t>
      </w:r>
    </w:p>
    <w:p>
      <w:pPr>
        <w:spacing w:after="0" w:line="169"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Genmab A/S intends to purchase its own shares in order to cover its obligations in relation to the RSUs. Authorization to purchase Genmab A/S' own shares up to a nominal value of DKK 500,000 (500,000 shares) was given at the Annual General Meeting in March 2016. During the third quarter of 2016, Genmab acquired 100,000 of its own shares, approximately 0.2% of share capital, to cover its current obligations under the RSU program. The total amount paid to acquire the shares, including directly attributable costs, was DKK 118.1 million and has been recognized as a deduction to shareholders' equity. There were no additional acquisitions of treasury shares in 2017. These shares are classified as treasury shares and are presented within accumulated deficit as of December 31, 2017. The shares were acquired in accordance with the authorization granted by the Annual General Meeting in March 2016 and the acquisition was carried out in compliance with applicable laws, the Nasdaq Copenhagen issuer rules and Genmab's internal policies on trading with shares of Genmab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8" w:name="page289"/>
    <w:bookmarkEnd w:id="2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 in 2017</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Number of RSUs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held by former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RSUs held by</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RSUs held by</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Number of RSUs</w:t>
            </w: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members of the</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the Board of</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the Executive</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held by</w:t>
            </w: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Board of Directors</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outstanding</w:t>
            </w:r>
          </w:p>
        </w:tc>
      </w:tr>
      <w:tr>
        <w:trPr>
          <w:trHeight w:val="161"/>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Directors</w:t>
            </w:r>
          </w:p>
        </w:tc>
        <w:tc>
          <w:tcPr>
            <w:tcW w:w="180" w:type="dxa"/>
            <w:vAlign w:val="bottom"/>
            <w:gridSpan w:val="2"/>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Management</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employees</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and employees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RSUs</w:t>
            </w:r>
          </w:p>
        </w:tc>
        <w:tc>
          <w:tcPr>
            <w:tcW w:w="160" w:type="dxa"/>
            <w:vAlign w:val="bottom"/>
          </w:tcPr>
          <w:p>
            <w:pPr>
              <w:spacing w:after="0"/>
              <w:rPr>
                <w:sz w:val="14"/>
                <w:szCs w:val="14"/>
                <w:color w:val="auto"/>
              </w:rPr>
            </w:pPr>
          </w:p>
        </w:tc>
      </w:tr>
      <w:tr>
        <w:trPr>
          <w:trHeight w:val="21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 2017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64,258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18,291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102,387</w:t>
            </w: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7,661</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19,599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38,691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65,951</w:t>
            </w: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Transferred</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3,505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r>
        <w:trPr>
          <w:trHeight w:val="210"/>
        </w:trPr>
        <w:tc>
          <w:tcPr>
            <w:tcW w:w="29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Outstanding at December 31, 2017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55,475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168,044</w:t>
            </w:r>
          </w:p>
        </w:tc>
        <w:tc>
          <w:tcPr>
            <w:tcW w:w="16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RSUs held by the Board of Directors includes RSUs granted to employee-elected Board Members as employees of Genmab A/S or its subsidiaries.</w:t>
      </w:r>
    </w:p>
    <w:p>
      <w:pPr>
        <w:spacing w:after="0" w:line="21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See note 5.1 for further information about the number of RSUs held by the Executive Management and the Board of Directors. The weighted average fair value of RSUs granted was DKK 1,128.30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Genmab A/S has established warrant programs (equity-settled share-based payment transactions) as an incentive for all the Genmab group's employees, and members of the Executive Management. Warrants are granted by the Board of Directors in accordance with authorizations given to it by Genmab A/S' shareholders. Warrant grants to Executive Management are subject to the incentive guidelines (Remuneration Principles) adopted by the general meeting.</w:t>
      </w:r>
    </w:p>
    <w:p>
      <w:pPr>
        <w:spacing w:after="0" w:line="14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the terms of the warrant programs, warrants are granted at an exercise price equal to the share price on the grant date. According to the warrant programs, the exercise price cannot be fixed at a lower price than the market price at the grant date. In connection with exercise, the warrants shall be settled with the delivery of shares in Genmab A/S. The warrant programs contain anti-dilution provisions if changes occur in Genmab's share capital prior to the warrants being exercised.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August 2004 until April 2012</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the August 2004 warrant program, warrants can be exercised starting from one year after the grant date. As a general rule, the warrant holder may only exercise 25% of the warrants granted per full year of employment or affiliation with Genmab after the grant date. However, the warrant holder will be entitled to continue to be able to exercise all warrants on a regular schedule in instances where the employment relationship is terminated by Genmab without cause.</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case of a change of control event as defined in the warrant programs, the warrant holder will immediately be granted the right to exercise all of his/her warrants regardless of the fact that such warrants would otherwise only become fully vested at a later point in time. Warrant holders who are no longer employed by or affiliated with us will, however, only be entitled to exercise such percentages as would otherwise have vested under the terms of the warrant program.</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89" w:name="page290"/>
    <w:bookmarkEnd w:id="2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April 2012 until March 2017</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Following the Annual General Meeting in April 2012, a new warrant program was adopted by the Board of Directors. Whereas warrants granted under the August 2004 warrant program will lapse on the tenth anniversary of the grant date, warrants granted under the new April 2012 warrant program will lapse at the seventh anniversary of the grant date. All other terms in the warrant programs are identical.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Granted from March 2017</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March 2017, a new warrant program was adopted by the Board of Directors. Whereas warrants granted under the April 2012 warrant program vested annually over a four year period, warrants granted under the new March 2017 warrant program are subject to a cliff vesting period and become fully vested three years from the date of grant. All other terms in the warrant programs are identical.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 in 2017</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warrants held</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by former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members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the Executive</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warrants held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Management,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warrants held</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by the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Board of</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Weighted</w:t>
            </w:r>
          </w:p>
        </w:tc>
      </w:tr>
      <w:tr>
        <w:trPr>
          <w:trHeight w:val="148"/>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by the Board</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Executive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warrants held</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Directors and</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outstanding</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r>
      <w:tr>
        <w:trPr>
          <w:trHeight w:val="161"/>
        </w:trPr>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of Directors</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Management</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by employees</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employees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warrants</w:t>
            </w: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exercise price</w:t>
            </w:r>
          </w:p>
        </w:tc>
      </w:tr>
      <w:tr>
        <w:trPr>
          <w:trHeight w:val="142"/>
        </w:trPr>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r>
      <w:tr>
        <w:trPr>
          <w:trHeight w:val="202"/>
        </w:trPr>
        <w:tc>
          <w:tcPr>
            <w:tcW w:w="2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Outstanding at January 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2017</w:t>
            </w:r>
          </w:p>
        </w:tc>
        <w:tc>
          <w:tcPr>
            <w:tcW w:w="8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129,742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877,418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644,097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539,054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2,190,311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311.52</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59,819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118,745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182,689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1,123.91</w:t>
            </w: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(294,784)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348.20</w:t>
            </w: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722.48</w:t>
            </w: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Transfers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(56,765)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66,765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95"/>
        </w:trPr>
        <w:tc>
          <w:tcPr>
            <w:tcW w:w="24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w w:val="95"/>
              </w:rPr>
              <w:t>Outstanding at December 31,</w:t>
            </w: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1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2017</w:t>
            </w:r>
          </w:p>
        </w:tc>
        <w:tc>
          <w:tcPr>
            <w:tcW w:w="8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92,242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559,737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574,295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291,912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1,518,186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436.01</w:t>
            </w:r>
          </w:p>
        </w:tc>
      </w:tr>
      <w:tr>
        <w:trPr>
          <w:trHeight w:val="20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Exercisable at year end</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79,380</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472,119</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262,414</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270,458</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1,084,371</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233.81</w:t>
            </w:r>
          </w:p>
        </w:tc>
        <w:tc>
          <w:tcPr>
            <w:tcW w:w="160" w:type="dxa"/>
            <w:vAlign w:val="bottom"/>
          </w:tcPr>
          <w:p>
            <w:pPr>
              <w:spacing w:after="0"/>
              <w:rPr>
                <w:sz w:val="18"/>
                <w:szCs w:val="18"/>
                <w:color w:val="auto"/>
              </w:rPr>
            </w:pPr>
          </w:p>
        </w:tc>
      </w:tr>
      <w:tr>
        <w:trPr>
          <w:trHeight w:val="20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warrants in the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at year end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269,313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1,053,786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201.27</w:t>
            </w:r>
          </w:p>
        </w:tc>
      </w:tr>
      <w:tr>
        <w:trPr>
          <w:trHeight w:val="108"/>
        </w:trPr>
        <w:tc>
          <w:tcPr>
            <w:tcW w:w="16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Warrants held by the Board of Directors includes warrants granted to employee-elected Board Members as employees of Genmab A/S or its subsidiaries.</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5.1 for further information about the number of warrants held by the Executive Management and the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1,518,186 outstanding warrants amounted to 2% of the share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exercised warrants in 2017 the weighted average share price at the exercise date amounted to DKK 1,368.32.</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0" w:name="page291"/>
    <w:bookmarkEnd w:id="2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 Average Outstanding Warrants at December 31,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Weighted average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2"/>
                <w:szCs w:val="12"/>
                <w:color w:val="auto"/>
              </w:rPr>
            </w:pPr>
          </w:p>
        </w:tc>
        <w:tc>
          <w:tcPr>
            <w:tcW w:w="206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5"/>
              </w:rPr>
              <w:t>Number of</w:t>
            </w: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warrants</w:t>
            </w:r>
          </w:p>
        </w:tc>
        <w:tc>
          <w:tcPr>
            <w:tcW w:w="22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contractual life</w:t>
            </w:r>
          </w:p>
        </w:tc>
        <w:tc>
          <w:tcPr>
            <w:tcW w:w="200" w:type="dxa"/>
            <w:vAlign w:val="bottom"/>
          </w:tcPr>
          <w:p>
            <w:pPr>
              <w:spacing w:after="0"/>
              <w:rPr>
                <w:sz w:val="12"/>
                <w:szCs w:val="12"/>
                <w:color w:val="auto"/>
              </w:rPr>
            </w:pPr>
          </w:p>
        </w:tc>
        <w:tc>
          <w:tcPr>
            <w:tcW w:w="2060" w:type="dxa"/>
            <w:vAlign w:val="bottom"/>
            <w:gridSpan w:val="3"/>
          </w:tcPr>
          <w:p>
            <w:pPr>
              <w:jc w:val="center"/>
              <w:ind w:right="1340"/>
              <w:spacing w:after="0"/>
              <w:rPr>
                <w:sz w:val="20"/>
                <w:szCs w:val="20"/>
                <w:color w:val="auto"/>
              </w:rPr>
            </w:pPr>
            <w:r>
              <w:rPr>
                <w:rFonts w:ascii="Arial" w:cs="Arial" w:eastAsia="Arial" w:hAnsi="Arial"/>
                <w:sz w:val="13"/>
                <w:szCs w:val="13"/>
                <w:b w:val="1"/>
                <w:bCs w:val="1"/>
                <w:color w:val="auto"/>
                <w:w w:val="95"/>
              </w:rPr>
              <w:t>warrants</w:t>
            </w:r>
          </w:p>
        </w:tc>
      </w:tr>
      <w:tr>
        <w:trPr>
          <w:trHeight w:val="161"/>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Exercise price</w:t>
            </w:r>
          </w:p>
        </w:tc>
        <w:tc>
          <w:tcPr>
            <w:tcW w:w="340" w:type="dxa"/>
            <w:vAlign w:val="bottom"/>
          </w:tcPr>
          <w:p>
            <w:pPr>
              <w:spacing w:after="0"/>
              <w:rPr>
                <w:sz w:val="14"/>
                <w:szCs w:val="14"/>
                <w:color w:val="auto"/>
              </w:rPr>
            </w:pPr>
          </w:p>
        </w:tc>
        <w:tc>
          <w:tcPr>
            <w:tcW w:w="2220" w:type="dxa"/>
            <w:vAlign w:val="bottom"/>
            <w:gridSpan w:val="2"/>
          </w:tcPr>
          <w:p>
            <w:pPr>
              <w:ind w:left="20"/>
              <w:spacing w:after="0"/>
              <w:rPr>
                <w:sz w:val="20"/>
                <w:szCs w:val="20"/>
                <w:color w:val="auto"/>
              </w:rPr>
            </w:pPr>
            <w:r>
              <w:rPr>
                <w:rFonts w:ascii="Arial" w:cs="Arial" w:eastAsia="Arial" w:hAnsi="Arial"/>
                <w:sz w:val="13"/>
                <w:szCs w:val="13"/>
                <w:b w:val="1"/>
                <w:bCs w:val="1"/>
                <w:color w:val="auto"/>
              </w:rPr>
              <w:t>Grant Date</w:t>
            </w: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4"/>
              </w:rPr>
              <w:t>outstanding</w:t>
            </w:r>
          </w:p>
        </w:tc>
        <w:tc>
          <w:tcPr>
            <w:tcW w:w="22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(in years)</w:t>
            </w:r>
          </w:p>
        </w:tc>
        <w:tc>
          <w:tcPr>
            <w:tcW w:w="200" w:type="dxa"/>
            <w:vAlign w:val="bottom"/>
          </w:tcPr>
          <w:p>
            <w:pPr>
              <w:spacing w:after="0"/>
              <w:rPr>
                <w:sz w:val="14"/>
                <w:szCs w:val="14"/>
                <w:color w:val="auto"/>
              </w:rPr>
            </w:pPr>
          </w:p>
        </w:tc>
        <w:tc>
          <w:tcPr>
            <w:tcW w:w="2060" w:type="dxa"/>
            <w:vAlign w:val="bottom"/>
            <w:gridSpan w:val="3"/>
          </w:tcPr>
          <w:p>
            <w:pPr>
              <w:jc w:val="center"/>
              <w:ind w:right="1340"/>
              <w:spacing w:after="0"/>
              <w:rPr>
                <w:sz w:val="20"/>
                <w:szCs w:val="20"/>
                <w:color w:val="auto"/>
              </w:rPr>
            </w:pPr>
            <w:r>
              <w:rPr>
                <w:rFonts w:ascii="Arial" w:cs="Arial" w:eastAsia="Arial" w:hAnsi="Arial"/>
                <w:sz w:val="13"/>
                <w:szCs w:val="13"/>
                <w:b w:val="1"/>
                <w:bCs w:val="1"/>
                <w:color w:val="auto"/>
                <w:w w:val="90"/>
              </w:rPr>
              <w:t>exercisable</w:t>
            </w:r>
          </w:p>
        </w:tc>
      </w:tr>
      <w:tr>
        <w:trPr>
          <w:trHeight w:val="142"/>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rPr>
              <w:t>DKK</w:t>
            </w: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14, 2011</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7,525</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3.79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7,525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22, 2011</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86,195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3.48</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86,195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25, 2012</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1.32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2, 2010</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88,750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2.42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88,750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6, 2011</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3.27</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December 9, 2010</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38,100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2.94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38,100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14, 2010</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3,250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2.79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April 21, 2010</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7,250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2.31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7,250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9, 2012</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1.78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December 5, 2012</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116,300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1.93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116,300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31, 2013</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2.08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October 8, 2009</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5,575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1.77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5,575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17, 2013</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20,250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2.30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17, 2009</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85,000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1.46</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85,000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12, 2013</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2.45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February 10, 2014</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5,688</w:t>
            </w:r>
          </w:p>
        </w:tc>
        <w:tc>
          <w:tcPr>
            <w:tcW w:w="1340" w:type="dxa"/>
            <w:vAlign w:val="bottom"/>
            <w:gridSpan w:val="4"/>
          </w:tcPr>
          <w:p>
            <w:pPr>
              <w:ind w:left="640"/>
              <w:spacing w:after="0"/>
              <w:rPr>
                <w:sz w:val="20"/>
                <w:szCs w:val="20"/>
                <w:color w:val="auto"/>
              </w:rPr>
            </w:pPr>
            <w:r>
              <w:rPr>
                <w:rFonts w:ascii="Arial" w:cs="Arial" w:eastAsia="Arial" w:hAnsi="Arial"/>
                <w:sz w:val="18"/>
                <w:szCs w:val="18"/>
                <w:color w:val="auto"/>
              </w:rPr>
              <w:t>3.11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215.60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9, 2014</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3.28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220.40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October 15, 2014</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34,751</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3.79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20,563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12, 2014</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8,475</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3.45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225.90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December 6, 2013</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281,986</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2.93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281,986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231.50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10, 2013</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12,675</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2.78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April 15, 2009</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10,975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1.29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10,975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234.75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17, 2008</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5,900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0.96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4, 2008</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15,275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0.43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15,275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254.00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24, 2008</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52,250</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0.32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52,250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October 8, 2008</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41,038</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0.77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41,038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337.40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15, 2014</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106,772</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3.96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68,397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466.20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March 26, 2015</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14,850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4.24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4,350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623.50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11, 2015</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6,525</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4.45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636.50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October 7, 2015</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27,375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4.77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10,875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815.50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17, 2016</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19,012</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5.21</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3,303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939.50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December 10, 2015</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87,873</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4.94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39,123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5"/>
              </w:rPr>
              <w:t>1,032.00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15, 2017</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139,597</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w w:val="85"/>
              </w:rPr>
              <w:t>1,136.00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October 6, 2016</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19,450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5.77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4,864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5"/>
              </w:rPr>
              <w:t>1,145.00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15, 2016</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88,629</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5.96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22,193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w w:val="85"/>
              </w:rPr>
              <w:t>1,233.00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9, 2016</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16,125</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5.44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3,528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5"/>
              </w:rPr>
              <w:t>1,402.00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28, 2017</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8,736</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w w:val="85"/>
              </w:rPr>
              <w:t>1,408.00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June 8, 2017</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5,224</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5"/>
              </w:rPr>
              <w:t>1,424.00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10, 2017</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1,903</w:t>
            </w:r>
          </w:p>
        </w:tc>
        <w:tc>
          <w:tcPr>
            <w:tcW w:w="13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w w:val="85"/>
              </w:rPr>
              <w:t>1,427.00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March 29, 2017</w:t>
            </w: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rPr>
              <w:t>8,400</w:t>
            </w:r>
          </w:p>
        </w:tc>
        <w:tc>
          <w:tcPr>
            <w:tcW w:w="1340" w:type="dxa"/>
            <w:vAlign w:val="bottom"/>
            <w:gridSpan w:val="4"/>
          </w:tcPr>
          <w:p>
            <w:pPr>
              <w:ind w:left="62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5"/>
              </w:rPr>
              <w:t>1,432.</w:t>
            </w:r>
            <w:r>
              <w:rPr>
                <w:rFonts w:ascii="Arial" w:cs="Arial" w:eastAsia="Arial" w:hAnsi="Arial"/>
                <w:sz w:val="18"/>
                <w:szCs w:val="18"/>
                <w:u w:val="single" w:color="auto"/>
                <w:color w:val="auto"/>
                <w:w w:val="85"/>
              </w:rPr>
              <w:t>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5, 2017</w:t>
            </w:r>
          </w:p>
        </w:tc>
        <w:tc>
          <w:tcPr>
            <w:tcW w:w="3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18,756</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436.01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1,518,186</w:t>
            </w:r>
          </w:p>
        </w:tc>
        <w:tc>
          <w:tcPr>
            <w:tcW w:w="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3.</w:t>
            </w:r>
            <w:r>
              <w:rPr>
                <w:rFonts w:ascii="Arial" w:cs="Arial" w:eastAsia="Arial" w:hAnsi="Arial"/>
                <w:sz w:val="18"/>
                <w:szCs w:val="18"/>
                <w:b w:val="1"/>
                <w:bCs w:val="1"/>
                <w:u w:val="single" w:color="auto"/>
                <w:color w:val="auto"/>
                <w:w w:val="79"/>
              </w:rPr>
              <w:t>57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1,084,366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4"/>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0" w:type="dxa"/>
            <w:vAlign w:val="bottom"/>
            <w:gridSpan w:val="4"/>
          </w:tcPr>
          <w:p>
            <w:pPr>
              <w:jc w:val="right"/>
              <w:ind w:right="1860"/>
              <w:spacing w:after="0"/>
              <w:rPr>
                <w:sz w:val="20"/>
                <w:szCs w:val="20"/>
                <w:color w:val="auto"/>
              </w:rPr>
            </w:pPr>
            <w:r>
              <w:rPr>
                <w:rFonts w:ascii="Arial" w:cs="Arial" w:eastAsia="Arial" w:hAnsi="Arial"/>
                <w:sz w:val="18"/>
                <w:szCs w:val="18"/>
                <w:color w:val="auto"/>
              </w:rPr>
              <w:t>F-40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1" w:name="page292"/>
    <w:bookmarkEnd w:id="2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4.7—Share Capital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share capital comprises the nominal amount of the parent company's ordinary shares, each at a nominal value of DKK 1. All shares are fully paid. On December 31, 2017, the share capital of Genmab A/S comprised 61,185,674 shares of DKK 1 each with one vote. There are no restrictions related to the transferability of the shares. All shares are regarded as negotiable instruments and do not confer any special rights upon the holder, and no shareholder shall be under an obligation to allow his/her shares to be redeemed.</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Until April 17, 2018, the Board of Directors is authorized to increase the nominal registered share capital on one or more occasions without pre-emption rights for the existing shareholders by up to nominally DKK 10,400,000 by subscription of new shares that shall have the same rights as the existing shares of Genmab. The capital increase can be made by cash or by non-cash payment. Within the authorizations to increase the share capital by nominally DKK 10,400,000 shares, the Board of Directors may on one or more occasions and without pre-emption rights for the existing shareholders of Genmab issue up to nominally DKK 2,000,000 shares to employees of Genmab, and Genmab's subsidiaries, by cash payment at market price or at a discount price as well as by the issue of bonus shares. No transferability restrictions or redemption obligations shall apply to the new shares, which shall be negotiable instruments in the name of the holder and registered in the name of the holder in Genmab's Register of Shareholders. The new shares shall give the right to dividends and other rights as determined by the Board in its resolution to increase capital.</w:t>
      </w:r>
    </w:p>
    <w:p>
      <w:pPr>
        <w:spacing w:after="0" w:line="17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By decision of the general meeting on April 17, 2013, the Board of Directors was authorized to issue on one or more occasions warrants to subscribe Genmab A/S' shares up to a nominal value of DKK 600,000. This authorization shall remain in force for a period ending on April 17, 2018. Further, by decision of the general meeting on April 9, 2014, the Board of Directors was authorized to issue on one or more occasions warrants to subscribe Genmab A/S' shares up to a nominal value of DKK 500,000. This authorization shall remain in force for a period ending on April 9, 2019. Moreover, by decision of the general meeting on March 28, 2017, the Board of Directors was authorized to issue on one or more occasions warrants to subscribe Genmab A/S' shares up to a nominal value of DKK 500,000. This authorization shall remain in force for a period ending on March 28, 2022.</w:t>
      </w:r>
    </w:p>
    <w:p>
      <w:pPr>
        <w:spacing w:after="0" w:line="174"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Subject to the rules in force at any time, the Board of Directors may reuse or reissue lapsed non-exercised warrants, if any, provided that the reuse or reissue occurs under the same terms and within the time limitations set out in the authorization to issue warrants.</w:t>
      </w:r>
    </w:p>
    <w:p>
      <w:pPr>
        <w:spacing w:after="0" w:line="14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December 31, 2017, a total of 600,000 warrants have been issued, and a total of 17,750 warrants have been reissued under the April 17, 2013 authorization, a total of 500,000 warrants have been issued and a total of 17,404 warrants have been reissued under the April 9, 2014 authorization, and a total of 71,750 warrants have been issued under the March 28, 2017 authorization. A total of 428,250 warrants remain available for issue and a total of 6,150 warrants remain available for reissue as of December 31, 2017.</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By decision of the general meeting on March 17, 2016, the Board of Directors was authorized to repurchase Genmab A/S' shares up to a nominal value of DKK 500,000 (500,000 shares). This authorization shall remain in force for a period ending on March 17, 2021.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2" w:name="page293"/>
    <w:bookmarkEnd w:id="2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right="900" w:firstLine="341"/>
        <w:spacing w:after="0" w:line="331" w:lineRule="auto"/>
        <w:rPr>
          <w:sz w:val="20"/>
          <w:szCs w:val="20"/>
          <w:color w:val="auto"/>
        </w:rPr>
      </w:pPr>
      <w:r>
        <w:rPr>
          <w:rFonts w:ascii="Arial" w:cs="Arial" w:eastAsia="Arial" w:hAnsi="Arial"/>
          <w:sz w:val="16"/>
          <w:szCs w:val="16"/>
          <w:color w:val="auto"/>
        </w:rPr>
        <w:t>As of December 31, 2017, a total of 100,000 shares, with a nominal value of DKK 100,000, have been repurchased under the March 17, 2016 authorization. A total of 400,000 shares, with a nominal value of DKK 400,000, remain available to repurchase as of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Premium</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share premium reserve is comprised of the amount received, attributable to shareholders' equity, in excess of the nominal amount of the shares issued at the parent company's offerings, reduced by any amount allocated to deferred income note 2.1 and external expenses directly attributable to the offerings. The share premium reserve can be distributed.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 Capital During 2011 to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 capital of DKK 61.2 million at December 31, 2017 is divided into 61,185,674 shares at a nominal value of DKK 1 each.</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1"/>
        </w:trPr>
        <w:tc>
          <w:tcPr>
            <w:tcW w:w="57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3"/>
              </w:rPr>
              <w:t>Share capital</w:t>
            </w:r>
          </w:p>
        </w:tc>
      </w:tr>
      <w:tr>
        <w:trPr>
          <w:trHeight w:val="142"/>
        </w:trPr>
        <w:tc>
          <w:tcPr>
            <w:tcW w:w="5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2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44,907,142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44,907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Shares issued for cash</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5,400,000</w:t>
            </w:r>
          </w:p>
        </w:tc>
        <w:tc>
          <w:tcPr>
            <w:tcW w:w="380" w:type="dxa"/>
            <w:vAlign w:val="bottom"/>
            <w:gridSpan w:val="2"/>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b w:val="1"/>
                <w:bCs w:val="1"/>
                <w:color w:val="auto"/>
              </w:rPr>
              <w:t>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50,307,892</w:t>
            </w:r>
          </w:p>
        </w:tc>
        <w:tc>
          <w:tcPr>
            <w:tcW w:w="380" w:type="dxa"/>
            <w:vAlign w:val="bottom"/>
            <w:gridSpan w:val="2"/>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50,308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1,447,830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51,755,722</w:t>
            </w:r>
          </w:p>
        </w:tc>
        <w:tc>
          <w:tcPr>
            <w:tcW w:w="38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51,756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cash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4,600,000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611,697</w:t>
            </w:r>
          </w:p>
        </w:tc>
        <w:tc>
          <w:tcPr>
            <w:tcW w:w="380" w:type="dxa"/>
            <w:vAlign w:val="bottom"/>
            <w:gridSpan w:val="2"/>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56,967,419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56,967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2,563,844</w:t>
            </w:r>
          </w:p>
        </w:tc>
        <w:tc>
          <w:tcPr>
            <w:tcW w:w="38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59,531,263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59,531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818,793</w:t>
            </w:r>
          </w:p>
        </w:tc>
        <w:tc>
          <w:tcPr>
            <w:tcW w:w="38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60,350,056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60,350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835,618</w:t>
            </w:r>
          </w:p>
        </w:tc>
        <w:tc>
          <w:tcPr>
            <w:tcW w:w="380" w:type="dxa"/>
            <w:vAlign w:val="bottom"/>
            <w:gridSpan w:val="2"/>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61,185,674</w:t>
            </w:r>
          </w:p>
        </w:tc>
        <w:tc>
          <w:tcPr>
            <w:tcW w:w="38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61,186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2017, 835,618 new shares were subscribed at a price of DKK 31.75 to DKK 1,233.00 in connection with the exercise of warrants under Genmab's warrant program.</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During 2016, 818,793 new shares were subscribed at a price of DKK 31.75 to DKK 636.50 in connection with the exercise of warrants under Genmab's warrant program.</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2015, 2,563,844 new shares were subscribed at a price of DKK 26.75 to DKK 364.00 in connection with the exercise of warrants under Genmab's warrant program.</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During 2014, 611,697 new shares were subscribed at a price of DKK 26.75 to DKK 234.00 in connection with the exercise of warrants under Genmab's warrant program.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3" w:name="page294"/>
    <w:bookmarkEnd w:id="2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4—CAPITAL STRUCTURE, FINANCIAL RISK AND RELATED ITEMS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24, 2014 Genmab completed a private placement with the issuance of 4,600,000 new shares.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During 2013, 1,447,830 new shares were subscribed at a price of DKK 26.75 to DKK 184.00 in connection with the exercise of warrants under Genmab's warrant program.</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October 2012, Genmab issued 5,400,000 new shares in connection with the global license and development agreement for daratumumab. Johnson &amp; Johnson Development Corporation (JJDC) invested DKK 475.2 million of which DKK 366.0 million was recognized in equity. The remaining part was allocated to deferred income. Please refer to our accounting policies as outlined in note 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Proportion</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534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 of</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of share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34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capital</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capital</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r>
      <w:tr>
        <w:trPr>
          <w:trHeight w:val="142"/>
        </w:trPr>
        <w:tc>
          <w:tcPr>
            <w:tcW w:w="5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Shareholding at January 1, 2017</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100,000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118,099</w:t>
            </w: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color w:val="auto"/>
              </w:rPr>
              <w:t>Purchase of treasury shares</w:t>
            </w: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Shareholding at December 31, 2017</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100,000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118,099</w:t>
            </w:r>
          </w:p>
        </w:tc>
      </w:tr>
      <w:tr>
        <w:trPr>
          <w:trHeight w:val="20"/>
        </w:trPr>
        <w:tc>
          <w:tcPr>
            <w:tcW w:w="5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During 2016, Genmab acquired 100,000 of its own shares at a cost of DKK 118.1 million to cover its future obligations under the RSU program. There were no additional acquisitions of treasury shares in 2017. The shares were acquired in accordance with the authorization granted by the Annual General Meeting in March 2016 and was carried out in compliance with applicable laws, the Nasdaq Copenhagen issuer rules and Genmab's internal policies on trading with shares of Genmab 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5.1—Remuneration of the Board of Directors and Executive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remuneration of the Board of Directors and Executive Management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28,103</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6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67,626</w:t>
            </w:r>
          </w:p>
        </w:tc>
        <w:tc>
          <w:tcPr>
            <w:tcW w:w="16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remuneration packages for the Board of Directors and Executive Management are described below in further detail. The remuneration packages are denominated in DKK, EUR, or USD. The Compensation Committee performs an annual review of the remuneration packages. All incentive and variable remuneration shall be considered and adopted at the company's annual general meeting.</w:t>
      </w:r>
    </w:p>
    <w:p>
      <w:pPr>
        <w:spacing w:after="0" w:line="160"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accordance with Genmab's accounting policies, described in note 2.3, share-based compensation is included in the income statement and reported in the remuneration tables in this note. Such share-based compensation expense represents a calculated fair value of instruments granted and does not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4" w:name="page295"/>
    <w:bookmarkEnd w:id="2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represent actual cash compensation received by the board members or executives. Refer to note 4.6 for information about Genmab's share-based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board base fee and fees for committee work</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Ensure Genmab can attract qualified individuals to the Board of Directors.</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Any increase based on benchmarks for other similar international biotech companies.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Basic board fee of DKK 400,000—Deputy Chairman receives double and Chairman receives triple; Committee membership basic fee of up to DKK 100,000 with Chairman receiving up to DKK 150,000 plus a fee per meeting of DKK 10,000.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members of the Board of Directors over the longer term aligned to strategy and creation of shareholder value.</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Linked to Genmab's financial and strategic priorities as an incentive to increase the future value of the company but also in recognition of past contributions and accomplishments.</w:t>
      </w:r>
    </w:p>
    <w:p>
      <w:pPr>
        <w:spacing w:after="0" w:line="186"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new member of the Board of Directors may be granted RSUs upon election corresponding to a value (at the time of grant) of up to four</w:t>
      </w:r>
    </w:p>
    <w:p>
      <w:pPr>
        <w:spacing w:after="0" w:line="15" w:lineRule="exact"/>
        <w:rPr>
          <w:sz w:val="20"/>
          <w:szCs w:val="20"/>
          <w:color w:val="auto"/>
        </w:rPr>
      </w:pPr>
    </w:p>
    <w:p>
      <w:pPr>
        <w:ind w:firstLine="8"/>
        <w:spacing w:after="0" w:line="292"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times the fixed annual base fee. In addition the members of the Board of Directors may be granted RSUs corresponding to a value (at the time of grant) of up to one (1) times the fixed annual base fee, for the Chairman the value shall be of up to two (2) times the fixed annual base fee and for the Deputy Chairman the value shall be of up to one point five (1.5) times the fixed annual base fee on an annual basis. Grants of RSUs may depend on the financial results of the year in question, the progress of the company's product pipeline as well as specific major important events. The share-based compensation expense for 2017 of DKK 5.4 million shown below includes the amortization of the non-cash share-based compensation expense relating to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95" w:name="page296"/>
    <w:bookmarkEnd w:id="2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warrants and RSUs granted over several periods. Please refer to the "Number of RSUs held" and "Number of warrants held" overviews in note 4.6 for further details.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Shared-based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compensation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Base board fee</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Committee fees</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expenses</w:t>
            </w:r>
          </w:p>
        </w:tc>
        <w:tc>
          <w:tcPr>
            <w:tcW w:w="700" w:type="dxa"/>
            <w:vAlign w:val="bottom"/>
          </w:tcPr>
          <w:p>
            <w:pPr>
              <w:jc w:val="right"/>
              <w:ind w:right="11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Mats Pettersson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w:t>
            </w: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Anders Gersel Pedersen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1,767</w:t>
            </w: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1,404</w:t>
            </w: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Paolo Paoletti</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1,254</w:t>
            </w: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Deirdre P. Connelly*</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889</w:t>
            </w: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Rick Hibbert**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Burton G. Malkiel***</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1,061</w:t>
            </w:r>
          </w:p>
        </w:tc>
      </w:tr>
      <w:tr>
        <w:trPr>
          <w:trHeight w:val="20"/>
        </w:trPr>
        <w:tc>
          <w:tcPr>
            <w:tcW w:w="2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5,360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11,513</w:t>
            </w:r>
          </w:p>
        </w:tc>
      </w:tr>
      <w:tr>
        <w:trPr>
          <w:trHeight w:val="20"/>
        </w:trPr>
        <w:tc>
          <w:tcPr>
            <w:tcW w:w="2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9" w:lineRule="exact"/>
        <w:rPr>
          <w:sz w:val="20"/>
          <w:szCs w:val="20"/>
          <w:color w:val="auto"/>
        </w:rPr>
      </w:pPr>
    </w:p>
    <w:p>
      <w:pPr>
        <w:ind w:left="1680" w:hanging="549"/>
        <w:spacing w:after="0"/>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Elected by the Annual General Meeting in March 2017.</w:t>
      </w:r>
    </w:p>
    <w:p>
      <w:pPr>
        <w:ind w:left="114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Employee elected board member.</w:t>
      </w:r>
    </w:p>
    <w:p>
      <w:pPr>
        <w:spacing w:after="0" w:line="1" w:lineRule="exact"/>
        <w:rPr>
          <w:rFonts w:ascii="Arial" w:cs="Arial" w:eastAsia="Arial" w:hAnsi="Arial"/>
          <w:sz w:val="13"/>
          <w:szCs w:val="13"/>
          <w:color w:val="auto"/>
        </w:rPr>
      </w:pPr>
    </w:p>
    <w:p>
      <w:pPr>
        <w:ind w:left="114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Stepped down from the Board of Directors at the Annual General Meeting in March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to the Executive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Reflect the individual's skills and experience, role and responsibilities.</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Any increase based both on individual and company performance as well as benchmark analysis.</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Fixed.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benefits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Provide a framework to save for retirement; provide customary benefits including car and telephone allowance; provide sign-on bonus for new Executive Management; and provide tax equalization payment for executive management.</w:t>
      </w:r>
    </w:p>
    <w:p>
      <w:pPr>
        <w:spacing w:after="0" w:line="186"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None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With respect to providing a framework to save for retirement, executive management is given a fixed amount or percentage of base salary. With respect to providing a sign-on bonus for new Executive Management, a new member of the Executive Management may receive a sign-on payment upon engagement subject to certain claw-back provisions. The CDO received a sign-on bonus of USD 1.0 million in 2017. With respect to providing tax equalization payment for Executive Management, the CFO received USD 158,508 payment to tax equalize him for the higher tax rate in Denmark versus his resident country of the United States.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6" w:name="page297"/>
    <w:bookmarkEnd w:id="2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Bonus</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executives to achieve key objectives on an annual basis</w:t>
      </w:r>
    </w:p>
    <w:p>
      <w:pPr>
        <w:spacing w:after="0" w:line="225" w:lineRule="exact"/>
        <w:rPr>
          <w:sz w:val="20"/>
          <w:szCs w:val="20"/>
          <w:color w:val="auto"/>
        </w:rPr>
      </w:pPr>
    </w:p>
    <w:p>
      <w:pPr>
        <w:ind w:left="360"/>
        <w:spacing w:after="0"/>
        <w:tabs>
          <w:tab w:leader="none" w:pos="2020" w:val="left"/>
        </w:tabs>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Achievement of predetermined and well-defined annual milestones</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Maximum 60% to 100% of annual gross salaries dependent on their position. Extraordinary bonuses are awarded up to a maximum up to</w:t>
      </w:r>
    </w:p>
    <w:p>
      <w:pPr>
        <w:spacing w:after="0" w:line="1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15% of their annual gross salaries, based on the occurrence of certain special events or achievements. The bonus programs may enable the Executive Management members to earn a bonus per calendar year of up to an aggregate amount of approximately DKK 10.0 million (annual) and DKK 1.5 million (extraordinary). In 2017, the current Executive Management team received a total cash bonus of DKK 10.3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Incentivize executives over the longer term aligned to strategy and creation of shareholder value.</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Linked to Genmab's financial and strategic priorities as an incentive to increase the future value of the company but also in recognition of past contributions and accomplishments.</w:t>
      </w:r>
    </w:p>
    <w:p>
      <w:pPr>
        <w:spacing w:after="0" w:line="186" w:lineRule="exact"/>
        <w:rPr>
          <w:sz w:val="20"/>
          <w:szCs w:val="20"/>
          <w:color w:val="auto"/>
        </w:rPr>
      </w:pPr>
    </w:p>
    <w:p>
      <w:pPr>
        <w:jc w:val="both"/>
        <w:ind w:right="60" w:firstLine="351"/>
        <w:spacing w:after="0" w:line="254"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As a main rule, the members of the executive management may on an annual basis be granted share-based instruments corresponding to a value (at the time of grant) of up to two (2) times the member's annual base salary, calculated before any pension contribution and bonus payment, in the year of grant. However, in exceptional cases, international, and in particular US based, members of the executive management, may on an annual basis be granted share-based instruments corresponding to a value (at the time of grant) of up to four (4) times the member's annual base salary, calculated before any pension contribution and bonus payment, in the year of grant.</w:t>
      </w:r>
    </w:p>
    <w:p>
      <w:pPr>
        <w:spacing w:after="0" w:line="20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Notwithstanding the above, in no event may the value (at the time of grant) of share-based instruments granted to a member of the executive management on an annual basis exceed DKK 25.0 million. Annual grant of share-based instruments to members of the executive management is used primarily as an incentive to increase the future value of the company but also in recognition of past contributions and accomplishments.</w:t>
      </w:r>
    </w:p>
    <w:p>
      <w:pPr>
        <w:spacing w:after="0" w:line="160"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Furthermore, a new member of the executive management may be granted share-based instruments upon engagement or promotion. The share-based instruments granted to the members of the executive management may be in the form of restricted stock units or a combination of restricted stock units and warrants (options to subscribe for shares in the company). If members of the executive management are granted a combination of restricted stock units and warrants, the proportional value of the warrants may not exceed 50% of the total value (at the time of grant). Vesting of restricted stock units and warrants granted to members of the executive management may be subject to fulfillment of forward-looking performance criteria as determined by the board of directors.</w:t>
      </w:r>
    </w:p>
    <w:p>
      <w:pPr>
        <w:spacing w:after="0" w:line="198"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The share-based compensation expense for 2017 of DKK 22.7 million shown below includes the amortization of the non-cash share-based compensation expense relating to warrants &amp; RSUs granted over several periods. In 2017, 59,819 warrants and 19,599 RSUs were granted to the Executive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97" w:name="page298"/>
    <w:bookmarkEnd w:id="2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Management, with a total fair value of DKK 42.6 million. Refer to the "Number of RSUs held" and "Number of warrants held" overviews in note 4.6 for further details.</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Defined</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Annual</w:t>
            </w:r>
          </w:p>
        </w:tc>
        <w:tc>
          <w:tcPr>
            <w:tcW w:w="11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Share-Based</w:t>
            </w: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1"/>
                <w:szCs w:val="11"/>
                <w:color w:val="auto"/>
              </w:rPr>
            </w:pPr>
          </w:p>
        </w:tc>
      </w:tr>
      <w:tr>
        <w:trPr>
          <w:trHeight w:val="149"/>
        </w:trPr>
        <w:tc>
          <w:tcPr>
            <w:tcW w:w="3400" w:type="dxa"/>
            <w:vAlign w:val="bottom"/>
          </w:tcPr>
          <w:p>
            <w:pPr>
              <w:spacing w:after="0"/>
              <w:rPr>
                <w:sz w:val="12"/>
                <w:szCs w:val="12"/>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3"/>
              </w:rPr>
              <w:t>Base</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Contribution</w:t>
            </w: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Cash</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compensation</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Genmab</w:t>
            </w:r>
          </w:p>
        </w:tc>
      </w:tr>
      <w:tr>
        <w:trPr>
          <w:trHeight w:val="161"/>
        </w:trPr>
        <w:tc>
          <w:tcPr>
            <w:tcW w:w="340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Salary</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Plans</w:t>
            </w: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Benefits</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Bonus</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expenses</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Group</w:t>
            </w:r>
          </w:p>
        </w:tc>
      </w:tr>
      <w:tr>
        <w:trPr>
          <w:trHeight w:val="142"/>
        </w:trPr>
        <w:tc>
          <w:tcPr>
            <w:tcW w:w="3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 van de Winkel</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26,980</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David A. Eatwell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3,961</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2,139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7,949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15,271</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Judith Klimovsky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13,862</w:t>
            </w:r>
          </w:p>
        </w:tc>
      </w:tr>
      <w:tr>
        <w:trPr>
          <w:trHeight w:val="210"/>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56,113</w:t>
            </w:r>
          </w:p>
        </w:tc>
        <w:tc>
          <w:tcPr>
            <w:tcW w:w="16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Genmab terminates the service agreements with each member of the Executive Management team without cause, Genmab is obliged to pay the Executive Officer his existing salary for one or two years after the end of the one year notice period. In case of the termination of the service agreements of the Executive Management without cause, the total impact on our financial position is estimated to approximately DKK 40.3 million as of December 31, 2017. The severance payments follow the Recommendations which provide that termination payments should not amount to more than two years' annual remuneration. Refer to note 5.5 regarding the potential impact in the event of change of control of Genmab.</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98" w:name="page299"/>
    <w:bookmarkEnd w:id="2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Ordinary Shares Owned and Share-Based Instruments Held</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Market</w:t>
            </w:r>
          </w:p>
        </w:tc>
      </w:tr>
      <w:tr>
        <w:trPr>
          <w:trHeight w:val="148"/>
        </w:trPr>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January 1,</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value</w:t>
            </w:r>
          </w:p>
        </w:tc>
      </w:tr>
      <w:tr>
        <w:trPr>
          <w:trHeight w:val="161"/>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Number of ordinary shares owned</w:t>
            </w:r>
          </w:p>
        </w:tc>
        <w:tc>
          <w:tcPr>
            <w:tcW w:w="176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Acquired</w:t>
            </w:r>
          </w:p>
        </w:tc>
        <w:tc>
          <w:tcPr>
            <w:tcW w:w="160" w:type="dxa"/>
            <w:vAlign w:val="bottom"/>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Sold</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Transfers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4"/>
                <w:szCs w:val="14"/>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Board of Directors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Mats Pettersson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10,290</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Anders Gersel Pedersen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w:t>
            </w: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Burton G. Malkiel</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19,375</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Paolo Paoletti</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w:t>
            </w: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Deirdre P. Connelly</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Rick Hibbert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7"/>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(21,375)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19,228</w:t>
            </w:r>
          </w:p>
        </w:tc>
        <w:tc>
          <w:tcPr>
            <w:tcW w:w="160" w:type="dxa"/>
            <w:vAlign w:val="bottom"/>
          </w:tcPr>
          <w:p>
            <w:pPr>
              <w:spacing w:after="0"/>
              <w:rPr>
                <w:sz w:val="18"/>
                <w:szCs w:val="18"/>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Management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Jan van de Winkel</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602,500</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37,500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658,560</w:t>
            </w: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A. Eatwell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Judith Klimovsky</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52,500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657,500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676,568</w:t>
            </w:r>
          </w:p>
        </w:tc>
      </w:tr>
      <w:tr>
        <w:trPr>
          <w:trHeight w:val="209"/>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642,012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55,550</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7"/>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(21,375)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676,187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695,796</w:t>
            </w:r>
          </w:p>
        </w:tc>
        <w:tc>
          <w:tcPr>
            <w:tcW w:w="16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0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Market value is based on the closing price of the parent company's shares on the Nasdaq Copenhagen A/S at the balance sheet date or the last trading day prior to the balance sheet date.</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sectPr>
      </w:pPr>
    </w:p>
    <w:bookmarkStart w:id="299" w:name="page300"/>
    <w:bookmarkEnd w:id="2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Black-</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Scholes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average</w:t>
            </w: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value</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exercise</w:t>
            </w: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warrants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price</w:t>
            </w: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January 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December 31,</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granted in</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outstanding</w:t>
            </w:r>
          </w:p>
        </w:tc>
      </w:tr>
      <w:tr>
        <w:trPr>
          <w:trHeight w:val="161"/>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Number of warrants held</w:t>
            </w:r>
          </w:p>
        </w:tc>
        <w:tc>
          <w:tcPr>
            <w:tcW w:w="800" w:type="dxa"/>
            <w:vAlign w:val="bottom"/>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Granted</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Exercised</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Expired</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Transfers</w:t>
            </w:r>
          </w:p>
        </w:tc>
        <w:tc>
          <w:tcPr>
            <w:tcW w:w="940" w:type="dxa"/>
            <w:vAlign w:val="bottom"/>
          </w:tcPr>
          <w:p>
            <w:pPr>
              <w:jc w:val="right"/>
              <w:ind w:right="25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warrants</w:t>
            </w:r>
          </w:p>
        </w:tc>
      </w:tr>
      <w:tr>
        <w:trPr>
          <w:trHeight w:val="142"/>
        </w:trPr>
        <w:tc>
          <w:tcPr>
            <w:tcW w:w="1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r>
      <w:tr>
        <w:trPr>
          <w:trHeight w:val="216"/>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Board of Directors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Mats Pettersson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38,750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38,750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187.96</w:t>
            </w:r>
          </w:p>
        </w:tc>
      </w:tr>
      <w:tr>
        <w:trPr>
          <w:trHeight w:val="208"/>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Anders Gersel</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6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Pedersen</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54,000</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108.80</w:t>
            </w: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Burton G. Malkiel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Paolo Paoletti</w:t>
            </w: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Deirdre P. Connelly</w:t>
            </w: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Storm</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6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Kristensen*</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201,592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663.38</w:t>
            </w: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Rick Hibbert*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80,569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531.65</w:t>
            </w:r>
          </w:p>
        </w:tc>
      </w:tr>
      <w:tr>
        <w:trPr>
          <w:trHeight w:val="216"/>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1,108,418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799.19</w:t>
            </w:r>
          </w:p>
        </w:tc>
      </w:tr>
      <w:tr>
        <w:trPr>
          <w:trHeight w:val="209"/>
        </w:trPr>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4,125</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(31,625)</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92,242</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1,390,579</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289.39</w:t>
            </w:r>
          </w:p>
        </w:tc>
        <w:tc>
          <w:tcPr>
            <w:tcW w:w="160" w:type="dxa"/>
            <w:vAlign w:val="bottom"/>
          </w:tcPr>
          <w:p>
            <w:pPr>
              <w:spacing w:after="0"/>
              <w:rPr>
                <w:sz w:val="18"/>
                <w:szCs w:val="18"/>
                <w:color w:val="auto"/>
              </w:rPr>
            </w:pPr>
          </w:p>
        </w:tc>
      </w:tr>
      <w:tr>
        <w:trPr>
          <w:trHeight w:val="195"/>
        </w:trPr>
        <w:tc>
          <w:tcPr>
            <w:tcW w:w="1620" w:type="dxa"/>
            <w:vAlign w:val="bottom"/>
            <w:tcBorders>
              <w:right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Executive</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162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Management</w:t>
            </w: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Jan van de Winkel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392,841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24,461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(252,500)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164,802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8,246,048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455.68</w:t>
            </w:r>
          </w:p>
        </w:tc>
      </w:tr>
      <w:tr>
        <w:trPr>
          <w:trHeight w:val="216"/>
        </w:trPr>
        <w:tc>
          <w:tcPr>
            <w:tcW w:w="16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A. Eatwell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373,056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4,543,906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183.50</w:t>
            </w: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Judith Klimovsky</w:t>
            </w: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21,879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21,879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8,520,802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1,183.65</w:t>
            </w:r>
          </w:p>
        </w:tc>
      </w:tr>
      <w:tr>
        <w:trPr>
          <w:trHeight w:val="20"/>
        </w:trPr>
        <w:tc>
          <w:tcPr>
            <w:tcW w:w="14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4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877,418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59,819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(377,500)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559,737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21,310,756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302.73</w:t>
            </w:r>
          </w:p>
        </w:tc>
      </w:tr>
      <w:tr>
        <w:trPr>
          <w:trHeight w:val="210"/>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1,007,160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63,944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(409,125)</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651,979</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22,701,335</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300.84</w:t>
            </w:r>
          </w:p>
        </w:tc>
        <w:tc>
          <w:tcPr>
            <w:tcW w:w="16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employee-elected Board Member was granted warrants as an employee of Genmab A/S or its subsidiaries.</w:t>
      </w:r>
    </w:p>
    <w:p>
      <w:pPr>
        <w:spacing w:after="0" w:line="2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300" w:name="page301"/>
    <w:bookmarkEnd w:id="3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Fair value</w:t>
            </w:r>
          </w:p>
        </w:tc>
      </w:tr>
      <w:tr>
        <w:trPr>
          <w:trHeight w:val="148"/>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RSUs</w:t>
            </w: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January 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granted in</w:t>
            </w:r>
          </w:p>
        </w:tc>
      </w:tr>
      <w:tr>
        <w:trPr>
          <w:trHeight w:val="161"/>
        </w:trPr>
        <w:tc>
          <w:tcPr>
            <w:tcW w:w="3540" w:type="dxa"/>
            <w:vAlign w:val="bottom"/>
            <w:gridSpan w:val="3"/>
          </w:tcPr>
          <w:p>
            <w:pPr>
              <w:ind w:left="20"/>
              <w:spacing w:after="0"/>
              <w:rPr>
                <w:sz w:val="20"/>
                <w:szCs w:val="20"/>
                <w:color w:val="auto"/>
              </w:rPr>
            </w:pPr>
            <w:r>
              <w:rPr>
                <w:rFonts w:ascii="Arial" w:cs="Arial" w:eastAsia="Arial" w:hAnsi="Arial"/>
                <w:sz w:val="13"/>
                <w:szCs w:val="13"/>
                <w:b w:val="1"/>
                <w:bCs w:val="1"/>
                <w:color w:val="auto"/>
              </w:rPr>
              <w:t>Number of RSUs held</w:t>
            </w:r>
          </w:p>
        </w:tc>
        <w:tc>
          <w:tcPr>
            <w:tcW w:w="760" w:type="dxa"/>
            <w:vAlign w:val="bottom"/>
          </w:tcPr>
          <w:p>
            <w:pPr>
              <w:jc w:val="right"/>
              <w:ind w:right="155"/>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Granted</w:t>
            </w: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Settled</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Transfers</w:t>
            </w:r>
          </w:p>
        </w:tc>
        <w:tc>
          <w:tcPr>
            <w:tcW w:w="960" w:type="dxa"/>
            <w:vAlign w:val="bottom"/>
          </w:tcPr>
          <w:p>
            <w:pPr>
              <w:jc w:val="right"/>
              <w:ind w:right="27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r>
      <w:tr>
        <w:trPr>
          <w:trHeight w:val="142"/>
        </w:trPr>
        <w:tc>
          <w:tcPr>
            <w:tcW w:w="12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w:t>
            </w:r>
          </w:p>
        </w:tc>
        <w:tc>
          <w:tcPr>
            <w:tcW w:w="160" w:type="dxa"/>
            <w:vAlign w:val="bottom"/>
          </w:tcPr>
          <w:p>
            <w:pPr>
              <w:spacing w:after="0"/>
              <w:rPr>
                <w:sz w:val="12"/>
                <w:szCs w:val="12"/>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Board of Directors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Mats Pettersson</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4,043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4,818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799,800</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Anders Gersel Pedersen</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599,592</w:t>
            </w: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Burton G. Malkiel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Pernille Erenbjerg</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400,416</w:t>
            </w: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Paolo Paoletti</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3,959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400,416</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Rolf Hoffmann</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2,000,083</w:t>
            </w: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Deirdre P. Connelly</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2,000,083</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Peter Storm Kristensen*</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601,656</w:t>
            </w: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Rick Hibbert*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480,912</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Daniel J. Bruno*</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1,508,784</w:t>
            </w:r>
          </w:p>
        </w:tc>
      </w:tr>
      <w:tr>
        <w:trPr>
          <w:trHeight w:val="209"/>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8,791,742</w:t>
            </w:r>
          </w:p>
        </w:tc>
        <w:tc>
          <w:tcPr>
            <w:tcW w:w="160" w:type="dxa"/>
            <w:vAlign w:val="bottom"/>
          </w:tcPr>
          <w:p>
            <w:pPr>
              <w:spacing w:after="0"/>
              <w:rPr>
                <w:sz w:val="18"/>
                <w:szCs w:val="18"/>
                <w:color w:val="auto"/>
              </w:rPr>
            </w:pPr>
          </w:p>
        </w:tc>
      </w:tr>
      <w:tr>
        <w:trPr>
          <w:trHeight w:val="20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Executive Management</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Jan van de Winkel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39,606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7,991</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47,597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8,246,712</w:t>
            </w: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David A. Eatwell</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4,404</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29,056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4,544,928</w:t>
            </w: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Judith Klimovsky</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7,204</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8,540,528</w:t>
            </w: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19,599</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83,857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21,332,168</w:t>
            </w:r>
          </w:p>
        </w:tc>
      </w:tr>
      <w:tr>
        <w:trPr>
          <w:trHeight w:val="210"/>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108,185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30,123,910</w:t>
            </w:r>
          </w:p>
        </w:tc>
        <w:tc>
          <w:tcPr>
            <w:tcW w:w="1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80" w:hanging="549"/>
        <w:spacing w:after="0" w:line="274" w:lineRule="auto"/>
        <w:tabs>
          <w:tab w:leader="none" w:pos="16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Each employee-elected Board Member was granted 388 RSUs as a member of the Board of Directors. The remaining RSUs were granted as an employee of Genmab A/S or its subsidiaries.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Genmab A/S' Annual General Meeting on March 28, 2017, the Board of Directors is comprised of five independent directors, one non-independent director, and three employee-elected directors. Mats Pettersson, Dr. Anders Gersel Pedersen, Dr. Paolo Paoletti and Pernille Erenbjerg were re-elected to the Board of Directors for a one year period. Rolf Hoffmann and Deirdre P. Connelly were elected to the Board of Directors for a one year period. Dr. Burton G. Malkiel stepped down from the Board of Directors. The reclassification of the board members' shares and share-based instruments is shown in the transferred column of the tables above. The Board of Directors convened and constituted itself with Mr. Pettersson as Chairman and Dr. Pedersen as Deputy Chairman. Other than the remuneration to the Board of Directors and the Executive Management and the transactions detailed in the tables above, no other significant transactions took place during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5.2—Related Party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Genmab's related parties are the parent company's Board of Directors, Executive Management, and close members of the family of these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Group's Transactions with the Board of Directors and Executive Management</w:t>
      </w:r>
    </w:p>
    <w:p>
      <w:pPr>
        <w:spacing w:after="0" w:line="225" w:lineRule="exact"/>
        <w:rPr>
          <w:sz w:val="20"/>
          <w:szCs w:val="20"/>
          <w:color w:val="auto"/>
        </w:rPr>
      </w:pPr>
    </w:p>
    <w:p>
      <w:pPr>
        <w:ind w:right="560" w:firstLine="351"/>
        <w:spacing w:after="0" w:line="369" w:lineRule="auto"/>
        <w:rPr>
          <w:sz w:val="20"/>
          <w:szCs w:val="20"/>
          <w:color w:val="auto"/>
        </w:rPr>
      </w:pPr>
      <w:r>
        <w:rPr>
          <w:rFonts w:ascii="Arial" w:cs="Arial" w:eastAsia="Arial" w:hAnsi="Arial"/>
          <w:sz w:val="15"/>
          <w:szCs w:val="15"/>
          <w:color w:val="auto"/>
        </w:rPr>
        <w:t>Genmab has not granted any loans, guarantees, or other commitments to or on behalf of any of the members in the Board of Directors or Executive Management. Other than the remuneration and other transactions relating to the Board of Directors and Executive Management described in note 5.1,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1" w:name="page302"/>
    <w:bookmarkEnd w:id="3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other significant transactions have taken place with the Board of Directors or the Executive Management during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5.3—Company 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A/S (parent company) holds investments either directly or indirectly in the following subsidiaries: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Ownership and</w:t>
            </w:r>
          </w:p>
        </w:tc>
        <w:tc>
          <w:tcPr>
            <w:tcW w:w="0" w:type="dxa"/>
            <w:vAlign w:val="bottom"/>
          </w:tcPr>
          <w:p>
            <w:pPr>
              <w:spacing w:after="0"/>
              <w:rPr>
                <w:sz w:val="1"/>
                <w:szCs w:val="1"/>
                <w:color w:val="auto"/>
              </w:rPr>
            </w:pPr>
          </w:p>
        </w:tc>
      </w:tr>
      <w:tr>
        <w:trPr>
          <w:trHeight w:val="161"/>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tcPr>
          <w:p>
            <w:pPr>
              <w:spacing w:after="0"/>
              <w:rPr>
                <w:sz w:val="14"/>
                <w:szCs w:val="14"/>
                <w:color w:val="auto"/>
              </w:rPr>
            </w:pPr>
          </w:p>
        </w:tc>
        <w:tc>
          <w:tcPr>
            <w:tcW w:w="1920" w:type="dxa"/>
            <w:vAlign w:val="bottom"/>
          </w:tcPr>
          <w:p>
            <w:pPr>
              <w:ind w:left="700"/>
              <w:spacing w:after="0"/>
              <w:rPr>
                <w:sz w:val="20"/>
                <w:szCs w:val="20"/>
                <w:color w:val="auto"/>
              </w:rPr>
            </w:pPr>
            <w:r>
              <w:rPr>
                <w:rFonts w:ascii="Arial" w:cs="Arial" w:eastAsia="Arial" w:hAnsi="Arial"/>
                <w:sz w:val="13"/>
                <w:szCs w:val="13"/>
                <w:b w:val="1"/>
                <w:bCs w:val="1"/>
                <w:color w:val="auto"/>
              </w:rPr>
              <w:t>Domicile</w:t>
            </w:r>
          </w:p>
        </w:tc>
        <w:tc>
          <w:tcPr>
            <w:tcW w:w="1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votes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Genmab B.V.</w:t>
            </w:r>
          </w:p>
        </w:tc>
        <w:tc>
          <w:tcPr>
            <w:tcW w:w="34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7"/>
              </w:rPr>
              <w:t>Utrecht, the Netherlands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Genmab Holding B.V.</w:t>
            </w:r>
          </w:p>
        </w:tc>
        <w:tc>
          <w:tcPr>
            <w:tcW w:w="3420" w:type="dxa"/>
            <w:vAlign w:val="bottom"/>
            <w:gridSpan w:val="2"/>
          </w:tcPr>
          <w:p>
            <w:pPr>
              <w:ind w:left="1500"/>
              <w:spacing w:after="0"/>
              <w:rPr>
                <w:sz w:val="20"/>
                <w:szCs w:val="20"/>
                <w:color w:val="auto"/>
              </w:rPr>
            </w:pPr>
            <w:r>
              <w:rPr>
                <w:rFonts w:ascii="Arial" w:cs="Arial" w:eastAsia="Arial" w:hAnsi="Arial"/>
                <w:sz w:val="18"/>
                <w:szCs w:val="18"/>
                <w:color w:val="auto"/>
                <w:w w:val="97"/>
              </w:rPr>
              <w:t>Utrecht, the Netherlands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Genmab US, Inc.</w:t>
            </w:r>
          </w:p>
        </w:tc>
        <w:tc>
          <w:tcPr>
            <w:tcW w:w="34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New Jersey, USA</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Collaterals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bank guarantees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group has entered into operating lease agreements with respect to office space and office equipment. The leases are non-cancelable for various periods up to 2025. Future minimum payments under our operating leases as of December 31, 2017 are as follows: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Payment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Within 1 year</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From 1 to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After 5 years</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Expenses recognized in the income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Purchase Obligations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4457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5"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DKK'000</w:t>
      </w:r>
    </w:p>
    <w:p>
      <w:pPr>
        <w:spacing w:after="0" w:line="207"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30,646</w:t>
      </w:r>
    </w:p>
    <w:p>
      <w:pPr>
        <w:spacing w:after="0" w:line="15" w:lineRule="exact"/>
        <w:rPr>
          <w:sz w:val="20"/>
          <w:szCs w:val="20"/>
          <w:color w:val="auto"/>
        </w:rPr>
      </w:pPr>
    </w:p>
    <w:p>
      <w:pPr>
        <w:jc w:val="right"/>
        <w:ind w:right="1840"/>
        <w:spacing w:after="0"/>
        <w:rPr>
          <w:sz w:val="20"/>
          <w:szCs w:val="20"/>
          <w:color w:val="auto"/>
        </w:rPr>
      </w:pPr>
      <w:r>
        <w:rPr>
          <w:rFonts w:ascii="Arial" w:cs="Arial" w:eastAsia="Arial" w:hAnsi="Arial"/>
          <w:sz w:val="16"/>
          <w:szCs w:val="16"/>
          <w:color w:val="auto"/>
        </w:rPr>
        <w:t>106,266</w:t>
      </w:r>
    </w:p>
    <w:p>
      <w:pPr>
        <w:spacing w:after="0" w:line="32"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52,603</w:t>
      </w:r>
    </w:p>
    <w:p>
      <w:pPr>
        <w:spacing w:after="0" w:line="10" w:lineRule="exact"/>
        <w:rPr>
          <w:sz w:val="20"/>
          <w:szCs w:val="20"/>
          <w:color w:val="auto"/>
        </w:rPr>
      </w:pPr>
    </w:p>
    <w:p>
      <w:pPr>
        <w:jc w:val="right"/>
        <w:ind w:right="1840"/>
        <w:spacing w:after="0"/>
        <w:rPr>
          <w:sz w:val="20"/>
          <w:szCs w:val="20"/>
          <w:color w:val="auto"/>
        </w:rPr>
      </w:pPr>
      <w:r>
        <w:rPr>
          <w:rFonts w:ascii="Arial" w:cs="Arial" w:eastAsia="Arial" w:hAnsi="Arial"/>
          <w:sz w:val="16"/>
          <w:szCs w:val="16"/>
          <w:b w:val="1"/>
          <w:bCs w:val="1"/>
          <w:color w:val="auto"/>
        </w:rPr>
        <w:t>189,515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-115570</wp:posOffset>
            </wp:positionV>
            <wp:extent cx="4457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29210</wp:posOffset>
            </wp:positionV>
            <wp:extent cx="4457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46355</wp:posOffset>
            </wp:positionV>
            <wp:extent cx="4457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31,687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4457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8040" w:space="720"/>
            <w:col w:w="2480"/>
          </w:cols>
          <w:pgMar w:left="320" w:top="131" w:right="339" w:bottom="1440" w:gutter="0" w:footer="0" w:header="0"/>
          <w:type w:val="continuous"/>
        </w:sectPr>
      </w:pPr>
    </w:p>
    <w:p>
      <w:pPr>
        <w:spacing w:after="0" w:line="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group has entered into a number of agreements primarily related to research and development activities carried out by Genmab. Under the current development plans, the contractual obligations amounted to DKK 356.0 million. During 2015, the group entered into an operating lease agreement for a new research and office facility, which we expect to occupy in the first quarter of 2018. Prior to occupying the new facility, we expect capital expenditure obligations for the purchase of leasehold improvements and equipment, furniture, and fixtures to total approximately DKK 24.3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2" w:name="page303"/>
    <w:bookmarkEnd w:id="3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Lease contracts, which in all material respects transfer the significant risks and rewards associated with the ownership of the asset to the lessee, are classified as finance leases. Assets treated as finance leases are recognized in the balance sheet at the inception of the lease term at the lower of the fair value of the asset or the net present value of the future minimum lease payments. A liability equaling the asset is recognized in the balance sheet. Each lease payment is separated between a finance charge, recorded as a financial expense, and a reduction of the outstanding liability.</w:t>
      </w:r>
    </w:p>
    <w:p>
      <w:pPr>
        <w:spacing w:after="0" w:line="16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Assets under finance leases are depreciated in the same manner as owned assets and are subject to regular reviews for impairment. Lease contracts, where the lessor retains the significant risks and rewards associated with the ownership of the asset, are classified as operating leases. Lease payments under operating leases are recognized in the income statement over the lease term. The total lease commitment under operating leases is disclosed in the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5.5—Contingent Assets, Contingent Liabilities and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225" w:lineRule="exact"/>
        <w:rPr>
          <w:sz w:val="20"/>
          <w:szCs w:val="20"/>
          <w:color w:val="auto"/>
        </w:rPr>
      </w:pPr>
    </w:p>
    <w:p>
      <w:pPr>
        <w:ind w:right="400" w:firstLine="348"/>
        <w:spacing w:after="0" w:line="335" w:lineRule="auto"/>
        <w:rPr>
          <w:sz w:val="20"/>
          <w:szCs w:val="20"/>
          <w:color w:val="auto"/>
        </w:rPr>
      </w:pPr>
      <w:r>
        <w:rPr>
          <w:rFonts w:ascii="Arial" w:cs="Arial" w:eastAsia="Arial" w:hAnsi="Arial"/>
          <w:sz w:val="15"/>
          <w:szCs w:val="15"/>
          <w:color w:val="auto"/>
        </w:rPr>
        <w:t>We are entitled to potential milestone payments and royalties on successful commercialization of products developed under license and collaboration agreements with our partners. Since the size and timing of such payments are uncertain until the milestones are reached, the agreements may qualify as contingent assets. However, it is impossible to measure the value of such contingent assets, and, accordingly, no such assets have been recognized.</w:t>
      </w:r>
    </w:p>
    <w:p>
      <w:pPr>
        <w:spacing w:after="0" w:line="142"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part of the license and collaboration agreements that Genmab has entered into, once a product is developed and commercialized, Genmab may be required to make milestone and royalty payments. It is impossible to measure the value of such future payments, but Genmab expects to generate future income from such products which will exceed any milestone and royalty payments due, and accordingly no such liabilities have been recognized.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Genmab has entered into an International Swaps and Derivatives Association master agreement; see note 4.2. The master agreement with Genmab's financial institution counterparty also includes a credit support annex which contains provisions that require Genmab to post collateral should the value of the derivative liabilities exceed DKK 50.0 million. As of December 31, 2017, Genmab has not been required to post any collateral.</w:t>
      </w:r>
    </w:p>
    <w:p>
      <w:pPr>
        <w:spacing w:after="0" w:line="1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the agreement requires Genmab to maintain a cash position of DKK 258.5 million at all times or the counterparty has the right to terminate the agreement. Upon termination, the DKK 50.0 million threshold amount is no longer applicable and the value of the derivative liability, if any, could be due to the counterparty upon request.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3" w:name="page304"/>
    <w:bookmarkEnd w:id="3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Matter—MorphoSys Patent Infringement Complaint</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with prejudice, and we and Janssen, in turn, dismissed our inequitable conduct claims against MorphoSys. As such, there will be no further proceedings in the case.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event of a change of control, change of control clauses are included in some of our collaboration, development and license agreements as well as in service agreements for certain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Development and License Agreements</w:t>
      </w:r>
    </w:p>
    <w:p>
      <w:pPr>
        <w:spacing w:after="0" w:line="225"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We have entered into collaboration, development and license agreements with external parties, which may be subject to renegotiation in case of a change of control event in Genmab A/S. However, any changes in the agreements are not expected to have significant influence on our financial position.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 with Executive Management and Employees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service agreements with each member of the Executive Management may be terminated by Genmab with no less than 12 months' notice and by the member of the Executive Management with no less than six months' notice. In the event of a change of control of Genmab, the termination notice due to the member of the Executive Management is extended to 24 months. In the event of termination by Genmab (unless for cause) or by a member of Executive Management as a result of a change of control of Genmab, Genmab is obliged to pay a member of Executive Management a compensation equal to his existing total salary (including benefits) for up to two years in addition to the notice period. In case of a change of control event and the termination of service agreements of the Executive Management, the total impact on our financial position is estimated to approximately DKK 92.5 million as of December 31,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Genmab has entered into service agreements with 27 current employees according to which Genmab may become obliged to compensate the employees in connection with a change of control of Genmab. If Genmab as a result of a change of control terminates the service agreement without cause, or changes the working conditions to the detriment of the employee, the employee shall be entitled to terminate the employment relationship without further cause with one month's notice in which case Genmab shall pay the employee a compensation equal to one-half, one or two times the employee's existing annual salary (including benefits). In case of the change of control event and the termination of all 27 service agreements the total impact on our financial position is estimated to approximately DKK 74.6 million as of December 31,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4" w:name="page305"/>
    <w:bookmarkEnd w:id="3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respect to change of control clauses related to share-based instruments granted to the Executive Management and employees, refer to note 4.6.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Subsequent to the balance sheet date, on January 22, 2018, Genmab announced that Novartis intends to transition the commercial availability of Arzerra to limited availability via compassionate use programs for the treatment of CLL in non-US markets, but will continue to market for CLL in the US. Novartis will work with regulatory authorities to establish compassionate use programs so that patients benefitting from Arzerra can remain on treatment. Genmab will receive USD 50.0 million from Novartis as payment for lost potential milestones and royalties.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events that could significantly affect the financial statements as of December 31, 2017 have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Assets and Liabilities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Contingent assets and liabilities are assets and liabilities that arose from past events but whose existence will only be confirmed by the occurrence or non-occurrence of future events that are beyond Genmab's control. Contingent assets and liabilities are not to be recognized in the financial statements, but are disclosed in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5.6—Fees to Auditors Appointed at the Annual General Meeting</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PricewaterhouseCoopers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Audit services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Audit-related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Tax and VAT services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w:t>
            </w:r>
          </w:p>
        </w:tc>
        <w:tc>
          <w:tcPr>
            <w:tcW w:w="16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Fees for other services than statutory audit of the financial statements provided by PricewaterhouseCoopers Statsautoriseret Revisionspartnerselskab amounted to DKK 1.1 million. Other services than statutory audit of the financial statements comprise services relating to tax and VAT compliance, agreed-upon procedures, and opinions relating to grants, as well as accounting advice.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5" w:name="page306"/>
    <w:bookmarkEnd w:id="3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5—OTHER DISCLOSURES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5.7—Adjustments to Cash Flow Statement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Note</w:t>
            </w:r>
          </w:p>
        </w:tc>
        <w:tc>
          <w:tcPr>
            <w:tcW w:w="88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DKK'000</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 non-cash transactions:</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3300" w:type="dxa"/>
            <w:vAlign w:val="bottom"/>
            <w:gridSpan w:val="2"/>
          </w:tcPr>
          <w:p>
            <w:pPr>
              <w:jc w:val="center"/>
              <w:ind w:left="2632"/>
              <w:spacing w:after="0"/>
              <w:rPr>
                <w:sz w:val="20"/>
                <w:szCs w:val="20"/>
                <w:color w:val="auto"/>
              </w:rPr>
            </w:pPr>
            <w:r>
              <w:rPr>
                <w:rFonts w:ascii="Arial" w:cs="Arial" w:eastAsia="Arial" w:hAnsi="Arial"/>
                <w:sz w:val="18"/>
                <w:szCs w:val="18"/>
                <w:color w:val="auto"/>
                <w:w w:val="89"/>
              </w:rPr>
              <w:t>3.1, 3.2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69,751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sale of equipment</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3300" w:type="dxa"/>
            <w:vAlign w:val="bottom"/>
            <w:gridSpan w:val="2"/>
          </w:tcPr>
          <w:p>
            <w:pPr>
              <w:jc w:val="center"/>
              <w:ind w:left="2632"/>
              <w:spacing w:after="0"/>
              <w:rPr>
                <w:sz w:val="20"/>
                <w:szCs w:val="20"/>
                <w:color w:val="auto"/>
              </w:rPr>
            </w:pPr>
            <w:r>
              <w:rPr>
                <w:rFonts w:ascii="Arial" w:cs="Arial" w:eastAsia="Arial" w:hAnsi="Arial"/>
                <w:sz w:val="18"/>
                <w:szCs w:val="18"/>
                <w:color w:val="auto"/>
                <w:w w:val="89"/>
              </w:rPr>
              <w:t>2.3, 4.6</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Total adjustments for non-cash transactions</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145,895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Changes in working capital:</w:t>
            </w: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20" w:type="dxa"/>
            <w:vAlign w:val="bottom"/>
            <w:gridSpan w:val="2"/>
            <w:vMerge w:val="continue"/>
          </w:tcPr>
          <w:p>
            <w:pPr>
              <w:spacing w:after="0"/>
              <w:rPr>
                <w:sz w:val="16"/>
                <w:szCs w:val="16"/>
                <w:color w:val="auto"/>
              </w:rPr>
            </w:pPr>
          </w:p>
        </w:tc>
        <w:tc>
          <w:tcPr>
            <w:tcW w:w="2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270,352</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 income</w:t>
            </w: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(77,502)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46,796</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Total changes in working capital</w:t>
            </w: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239,646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300" w:type="dxa"/>
            <w:vAlign w:val="bottom"/>
            <w:gridSpan w:val="2"/>
            <w:vMerge w:val="restart"/>
          </w:tcPr>
          <w:p>
            <w:pPr>
              <w:ind w:left="240"/>
              <w:spacing w:after="0"/>
              <w:rPr>
                <w:sz w:val="20"/>
                <w:szCs w:val="20"/>
                <w:color w:val="auto"/>
              </w:rPr>
            </w:pPr>
            <w:r>
              <w:rPr>
                <w:rFonts w:ascii="Arial" w:cs="Arial" w:eastAsia="Arial" w:hAnsi="Arial"/>
                <w:sz w:val="18"/>
                <w:szCs w:val="18"/>
                <w:color w:val="auto"/>
              </w:rPr>
              <w:t>F-55</w:t>
            </w: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6" w:name="page307"/>
    <w:bookmarkEnd w:id="3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Through and including , 2019 (the 25th day after the date of this prospectus), all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160020</wp:posOffset>
            </wp:positionV>
            <wp:extent cx="1928495" cy="6172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Genmab A/S</w:t>
      </w:r>
    </w:p>
    <w:p>
      <w:pPr>
        <w:spacing w:after="0" w:line="225" w:lineRule="exact"/>
        <w:rPr>
          <w:sz w:val="20"/>
          <w:szCs w:val="20"/>
          <w:color w:val="auto"/>
        </w:rPr>
      </w:pPr>
    </w:p>
    <w:p>
      <w:pPr>
        <w:ind w:left="3580"/>
        <w:spacing w:after="0"/>
        <w:tabs>
          <w:tab w:leader="none" w:pos="5900" w:val="left"/>
        </w:tabs>
        <w:rPr>
          <w:sz w:val="20"/>
          <w:szCs w:val="20"/>
          <w:color w:val="auto"/>
        </w:rPr>
      </w:pPr>
      <w:r>
        <w:rPr>
          <w:rFonts w:ascii="Arial" w:cs="Arial" w:eastAsia="Arial" w:hAnsi="Arial"/>
          <w:sz w:val="24"/>
          <w:szCs w:val="24"/>
          <w:b w:val="1"/>
          <w:bCs w:val="1"/>
          <w:color w:val="auto"/>
        </w:rPr>
        <w:t>Representing</w:t>
      </w:r>
      <w:r>
        <w:rPr>
          <w:sz w:val="20"/>
          <w:szCs w:val="20"/>
          <w:color w:val="auto"/>
        </w:rPr>
        <w:tab/>
      </w: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160020</wp:posOffset>
            </wp:positionV>
            <wp:extent cx="18688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147955</wp:posOffset>
            </wp:positionV>
            <wp:extent cx="18688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BofA Merrill Lynch</w:t>
      </w: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1361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307" w:name="page308"/>
    <w:bookmarkEnd w:id="3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provide our board members and registered managers with directors' and officers' liability insurance.</w:t>
      </w:r>
    </w:p>
    <w:p>
      <w:pPr>
        <w:spacing w:after="0" w:line="225"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The underwriting agreement, a form of which is filed as Exhibit 1.1 to this registration statement will also provide for indemnification of us and our directors and members of senior management upon the terms and subject to the conditions specified therein.</w:t>
      </w:r>
    </w:p>
    <w:p>
      <w:pPr>
        <w:spacing w:after="0" w:line="13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the past three years, we have issued shares, warrants and RSUs, which were not registered under the Securities Act, in connection with incentive programs we established for our employees, board members and registered managers. See "Management—Compensation—Warrant Program" for a description of the terms of our Warrant Program and "Management—Compensation—Restricted Stock Unit Program" for a description of the terms of our RSU program.</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2016, we:</w:t>
      </w:r>
    </w:p>
    <w:p>
      <w:pPr>
        <w:spacing w:after="0" w:line="239" w:lineRule="exact"/>
        <w:rPr>
          <w:sz w:val="20"/>
          <w:szCs w:val="20"/>
          <w:color w:val="auto"/>
        </w:rPr>
      </w:pPr>
    </w:p>
    <w:p>
      <w:pPr>
        <w:ind w:left="1080" w:right="36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Issued 818,793 new shares pursuant to the exercise of warrants issued under our Warrant Program, at a subscription price of DKK 31.75 to DKK 636.50 per share, for total proceeds of DKK 209.4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Granted 32,748 RSUs to certain members of our Board, registered managers and employees pursuant to our RSU program; and</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Granted 150,065 warrants, with a weighted average exercise price of DKK 1,100.22, to certain of our employees and registered managers pursuant to our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we:</w:t>
      </w:r>
    </w:p>
    <w:p>
      <w:pPr>
        <w:spacing w:after="0" w:line="239" w:lineRule="exact"/>
        <w:rPr>
          <w:sz w:val="20"/>
          <w:szCs w:val="20"/>
          <w:color w:val="auto"/>
        </w:rPr>
      </w:pPr>
    </w:p>
    <w:p>
      <w:pPr>
        <w:ind w:left="1080" w:right="36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Issued 835,618 new shares pursuant to the exercise of warrants issued under our Warrant Program, at a subscription price of DKK 31.75 to DKK 1,233.00 per share, for total proceeds of DKK 214.9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Granted 32,748 RSUs to certain members of our Board, registered managers and employees pursuant to our RSU program; and</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Granted 182,689 warrants, with a weighted average exercise price of DKK 1,123.91, to certain of our employees and registered managers pursuant to our Warrant Program.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2018, we:</w:t>
      </w:r>
    </w:p>
    <w:p>
      <w:pPr>
        <w:spacing w:after="0" w:line="239" w:lineRule="exact"/>
        <w:rPr>
          <w:sz w:val="20"/>
          <w:szCs w:val="20"/>
          <w:color w:val="auto"/>
        </w:rPr>
      </w:pPr>
    </w:p>
    <w:p>
      <w:pPr>
        <w:ind w:left="1080" w:right="38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Issued 311,897 new shares pursuant to the exercise of warrants issued under our Warrant Program, at a subscription price of DKK 40.41 to DKK 1,233.00 per share, for total proceeds of DKK 75.2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08" w:name="page309"/>
    <w:bookmarkEnd w:id="3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Settled 47,450 RSUs of certain members of our Board, registered managers and employees pursuant to the vesting of such RSUs under the terms of our RSU program, in each case using shares we acquired in the open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Granted 102,639 RSUs to certain members of our Board, registered managers and employees pursuant to our RSU Program, and</w:t>
      </w:r>
    </w:p>
    <w:p>
      <w:pPr>
        <w:spacing w:after="0" w:line="261"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Granted 276,507 warrants, with a weighted average exercise price of DKK 1,034.66, to certain of our employees and registered managers pursuant to our Warrant Program.</w:t>
      </w:r>
    </w:p>
    <w:p>
      <w:pPr>
        <w:spacing w:after="0" w:line="186"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transactions described above were made outside the United States pursuant to Regulation S, or to U.S. persons pursuant to (i) Rule 701 promulgated under the Securities Act, in that the securities were offered and sold either pursuant to written compensatory plans or pursuant to a written contract relating to compensation, as provided by Rule 701, or (ii) to U.S. persons pursuant to Section 4(a)(2) of the Securities Act in that such sales and issuances did not involve a public offering.</w:t>
      </w:r>
    </w:p>
    <w:p>
      <w:pPr>
        <w:spacing w:after="0" w:line="19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720" w:hanging="361"/>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See the Exhibit Index attached to this registration statement, which is incorporated by reference herein.</w:t>
      </w:r>
    </w:p>
    <w:p>
      <w:pPr>
        <w:spacing w:after="0" w:line="225" w:lineRule="exact"/>
        <w:rPr>
          <w:rFonts w:ascii="Arial" w:cs="Arial" w:eastAsia="Arial" w:hAnsi="Arial"/>
          <w:sz w:val="18"/>
          <w:szCs w:val="18"/>
          <w:color w:val="auto"/>
        </w:rPr>
      </w:pPr>
    </w:p>
    <w:p>
      <w:pPr>
        <w:ind w:right="400" w:firstLine="359"/>
        <w:spacing w:after="0" w:line="275" w:lineRule="auto"/>
        <w:tabs>
          <w:tab w:leader="none" w:pos="731"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Schedules not listed above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the consolidated financial statements or notes thereto.</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right="80" w:hanging="532"/>
        <w:spacing w:after="0" w:line="285"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w:t>
      </w:r>
    </w:p>
    <w:p>
      <w:pPr>
        <w:spacing w:after="0" w:line="268"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09" w:name="page310"/>
    <w:bookmarkEnd w:id="3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Exhibit</w:t>
      </w:r>
    </w:p>
    <w:p>
      <w:pPr>
        <w:spacing w:after="0" w:line="13" w:lineRule="exact"/>
        <w:rPr>
          <w:sz w:val="20"/>
          <w:szCs w:val="20"/>
          <w:color w:val="auto"/>
        </w:rPr>
      </w:pPr>
    </w:p>
    <w:p>
      <w:pPr>
        <w:ind w:left="1220"/>
        <w:spacing w:after="0"/>
        <w:tabs>
          <w:tab w:leader="none" w:pos="548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039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1560"/>
        <w:spacing w:after="0"/>
        <w:tabs>
          <w:tab w:leader="none" w:pos="1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1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English translation of Articles of Association of Genmab A/S, as currently in effect.</w:t>
      </w:r>
    </w:p>
    <w:p>
      <w:pPr>
        <w:spacing w:after="0" w:line="225" w:lineRule="exact"/>
        <w:rPr>
          <w:sz w:val="20"/>
          <w:szCs w:val="20"/>
          <w:color w:val="auto"/>
        </w:rPr>
      </w:pPr>
    </w:p>
    <w:p>
      <w:pPr>
        <w:ind w:left="2000" w:right="700" w:hanging="448"/>
        <w:spacing w:after="0" w:line="268" w:lineRule="auto"/>
        <w:tabs>
          <w:tab w:leader="none" w:pos="1980" w:val="left"/>
        </w:tabs>
        <w:rPr>
          <w:sz w:val="20"/>
          <w:szCs w:val="20"/>
          <w:color w:val="auto"/>
        </w:rPr>
      </w:pPr>
      <w:r>
        <w:rPr>
          <w:rFonts w:ascii="Arial" w:cs="Arial" w:eastAsia="Arial" w:hAnsi="Arial"/>
          <w:sz w:val="18"/>
          <w:szCs w:val="18"/>
          <w:color w:val="auto"/>
        </w:rPr>
        <w:t>4.1</w:t>
        <w:tab/>
        <w:t>Form of Deposit Agreement (incorporated by reference to Exhibit 99.(A) of the Company's Form F-6 filed with the SEC on May 22, 2013).</w:t>
      </w:r>
    </w:p>
    <w:p>
      <w:pPr>
        <w:spacing w:after="0" w:line="186" w:lineRule="exact"/>
        <w:rPr>
          <w:sz w:val="20"/>
          <w:szCs w:val="20"/>
          <w:color w:val="auto"/>
        </w:rPr>
      </w:pPr>
    </w:p>
    <w:p>
      <w:pPr>
        <w:ind w:left="2000" w:right="1100" w:hanging="448"/>
        <w:spacing w:after="0" w:line="268" w:lineRule="auto"/>
        <w:tabs>
          <w:tab w:leader="none" w:pos="1980" w:val="left"/>
        </w:tabs>
        <w:rPr>
          <w:sz w:val="20"/>
          <w:szCs w:val="20"/>
          <w:color w:val="auto"/>
        </w:rPr>
      </w:pPr>
      <w:r>
        <w:rPr>
          <w:rFonts w:ascii="Arial" w:cs="Arial" w:eastAsia="Arial" w:hAnsi="Arial"/>
          <w:sz w:val="18"/>
          <w:szCs w:val="18"/>
          <w:color w:val="auto"/>
        </w:rPr>
        <w:t>4.2</w:t>
        <w:tab/>
        <w:t>Form of Amendment to Deposit Agreement (incorporated by reference to Exhibit 99.(A)(2) of the Company's registration statement on Form F-6 filed with the SEC on April 13, 2018).</w:t>
      </w:r>
    </w:p>
    <w:p>
      <w:pPr>
        <w:spacing w:after="0" w:line="186" w:lineRule="exact"/>
        <w:rPr>
          <w:sz w:val="20"/>
          <w:szCs w:val="20"/>
          <w:color w:val="auto"/>
        </w:rPr>
      </w:pPr>
    </w:p>
    <w:p>
      <w:pPr>
        <w:ind w:left="1560"/>
        <w:spacing w:after="0"/>
        <w:tabs>
          <w:tab w:leader="none" w:pos="1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American Depositary Receipt (included in Exhibit 4.2).</w:t>
      </w:r>
    </w:p>
    <w:p>
      <w:pPr>
        <w:spacing w:after="0" w:line="225" w:lineRule="exact"/>
        <w:rPr>
          <w:sz w:val="20"/>
          <w:szCs w:val="20"/>
          <w:color w:val="auto"/>
        </w:rPr>
      </w:pPr>
    </w:p>
    <w:p>
      <w:pPr>
        <w:ind w:left="1560"/>
        <w:spacing w:after="0"/>
        <w:tabs>
          <w:tab w:leader="none" w:pos="1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Kromann Reumert as to the validity of the shares.</w:t>
      </w:r>
    </w:p>
    <w:p>
      <w:pPr>
        <w:spacing w:after="0" w:line="225" w:lineRule="exact"/>
        <w:rPr>
          <w:sz w:val="20"/>
          <w:szCs w:val="20"/>
          <w:color w:val="auto"/>
        </w:rPr>
      </w:pPr>
    </w:p>
    <w:p>
      <w:pPr>
        <w:ind w:left="2000" w:right="1180" w:hanging="536"/>
        <w:spacing w:after="0" w:line="268" w:lineRule="auto"/>
        <w:rPr>
          <w:sz w:val="20"/>
          <w:szCs w:val="20"/>
          <w:color w:val="auto"/>
        </w:rPr>
      </w:pPr>
      <w:r>
        <w:rPr>
          <w:rFonts w:ascii="Arial" w:cs="Arial" w:eastAsia="Arial" w:hAnsi="Arial"/>
          <w:sz w:val="18"/>
          <w:szCs w:val="18"/>
          <w:color w:val="auto"/>
        </w:rPr>
        <w:t>10.1†* License Agreement, dated as of August 30, 2012, by and between Janssen Biotech, Inc. and Genmab A/S, as amended.</w:t>
      </w:r>
    </w:p>
    <w:p>
      <w:pPr>
        <w:spacing w:after="0" w:line="186" w:lineRule="exact"/>
        <w:rPr>
          <w:sz w:val="20"/>
          <w:szCs w:val="20"/>
          <w:color w:val="auto"/>
        </w:rPr>
      </w:pPr>
    </w:p>
    <w:p>
      <w:pPr>
        <w:ind w:left="2000" w:right="1460" w:hanging="536"/>
        <w:spacing w:after="0" w:line="268" w:lineRule="auto"/>
        <w:rPr>
          <w:sz w:val="20"/>
          <w:szCs w:val="20"/>
          <w:color w:val="auto"/>
        </w:rPr>
      </w:pPr>
      <w:r>
        <w:rPr>
          <w:rFonts w:ascii="Arial" w:cs="Arial" w:eastAsia="Arial" w:hAnsi="Arial"/>
          <w:sz w:val="18"/>
          <w:szCs w:val="18"/>
          <w:color w:val="auto"/>
        </w:rPr>
        <w:t>10.2†* Amendment Number 1 to the License Agreement, dated as of January 31, 2013, by and between Janssen Biotech, Inc. and Genmab A/S.</w:t>
      </w:r>
    </w:p>
    <w:p>
      <w:pPr>
        <w:spacing w:after="0" w:line="186" w:lineRule="exact"/>
        <w:rPr>
          <w:sz w:val="20"/>
          <w:szCs w:val="20"/>
          <w:color w:val="auto"/>
        </w:rPr>
      </w:pPr>
    </w:p>
    <w:p>
      <w:pPr>
        <w:ind w:left="2000" w:right="1440" w:hanging="536"/>
        <w:spacing w:after="0" w:line="268" w:lineRule="auto"/>
        <w:rPr>
          <w:sz w:val="20"/>
          <w:szCs w:val="20"/>
          <w:color w:val="auto"/>
        </w:rPr>
      </w:pPr>
      <w:r>
        <w:rPr>
          <w:rFonts w:ascii="Arial" w:cs="Arial" w:eastAsia="Arial" w:hAnsi="Arial"/>
          <w:sz w:val="18"/>
          <w:szCs w:val="18"/>
          <w:color w:val="auto"/>
        </w:rPr>
        <w:t>10.3†* Amendment Number 2 to the License Agreement, dated as of October 10, 2013, by and between Janssen Biotech, Inc. and Genmab A/S.</w:t>
      </w:r>
    </w:p>
    <w:p>
      <w:pPr>
        <w:spacing w:after="0" w:line="1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10.4†* License Agreement, dated as of September 10, 2014, by and between Seattle Genetics, Inc. and Genmab A/S.</w:t>
      </w:r>
    </w:p>
    <w:p>
      <w:pPr>
        <w:spacing w:after="0" w:line="248" w:lineRule="exact"/>
        <w:rPr>
          <w:sz w:val="20"/>
          <w:szCs w:val="20"/>
          <w:color w:val="auto"/>
        </w:rPr>
      </w:pPr>
    </w:p>
    <w:p>
      <w:pPr>
        <w:ind w:left="2000" w:right="1080" w:hanging="536"/>
        <w:spacing w:after="0" w:line="268" w:lineRule="auto"/>
        <w:rPr>
          <w:sz w:val="20"/>
          <w:szCs w:val="20"/>
          <w:color w:val="auto"/>
        </w:rPr>
      </w:pPr>
      <w:r>
        <w:rPr>
          <w:rFonts w:ascii="Arial" w:cs="Arial" w:eastAsia="Arial" w:hAnsi="Arial"/>
          <w:sz w:val="18"/>
          <w:szCs w:val="18"/>
          <w:color w:val="auto"/>
        </w:rPr>
        <w:t>10.5†* Co-development and Collaboration Agreement, dated as of December 19, 2006, by and between Glaxo Group Limited and Genmab A/S.</w:t>
      </w:r>
    </w:p>
    <w:p>
      <w:pPr>
        <w:spacing w:after="0" w:line="186" w:lineRule="exact"/>
        <w:rPr>
          <w:sz w:val="20"/>
          <w:szCs w:val="20"/>
          <w:color w:val="auto"/>
        </w:rPr>
      </w:pPr>
    </w:p>
    <w:p>
      <w:pPr>
        <w:ind w:left="2000" w:right="960" w:hanging="536"/>
        <w:spacing w:after="0" w:line="268" w:lineRule="auto"/>
        <w:rPr>
          <w:sz w:val="20"/>
          <w:szCs w:val="20"/>
          <w:color w:val="auto"/>
        </w:rPr>
      </w:pPr>
      <w:r>
        <w:rPr>
          <w:rFonts w:ascii="Arial" w:cs="Arial" w:eastAsia="Arial" w:hAnsi="Arial"/>
          <w:sz w:val="18"/>
          <w:szCs w:val="18"/>
          <w:color w:val="auto"/>
        </w:rPr>
        <w:t>10.6†* Amendment Number 1 to the Co-development and Collaboration Agreement, dated as of June 30, 2008, by and between Glaxo Group Limited and Genmab A/S.</w:t>
      </w:r>
    </w:p>
    <w:p>
      <w:pPr>
        <w:spacing w:after="0" w:line="186" w:lineRule="exact"/>
        <w:rPr>
          <w:sz w:val="20"/>
          <w:szCs w:val="20"/>
          <w:color w:val="auto"/>
        </w:rPr>
      </w:pPr>
    </w:p>
    <w:p>
      <w:pPr>
        <w:ind w:left="2000" w:right="860" w:hanging="536"/>
        <w:spacing w:after="0" w:line="268" w:lineRule="auto"/>
        <w:rPr>
          <w:sz w:val="20"/>
          <w:szCs w:val="20"/>
          <w:color w:val="auto"/>
        </w:rPr>
      </w:pPr>
      <w:r>
        <w:rPr>
          <w:rFonts w:ascii="Arial" w:cs="Arial" w:eastAsia="Arial" w:hAnsi="Arial"/>
          <w:sz w:val="18"/>
          <w:szCs w:val="18"/>
          <w:color w:val="auto"/>
        </w:rPr>
        <w:t>10.7†* Amendment Number 2 to the Co-development and Collaboration Agreement, dated as of December 18, 2008, by and between Glaxo Group Limited and Genmab A/S.</w:t>
      </w:r>
    </w:p>
    <w:p>
      <w:pPr>
        <w:spacing w:after="0" w:line="186" w:lineRule="exact"/>
        <w:rPr>
          <w:sz w:val="20"/>
          <w:szCs w:val="20"/>
          <w:color w:val="auto"/>
        </w:rPr>
      </w:pPr>
    </w:p>
    <w:p>
      <w:pPr>
        <w:ind w:left="2000" w:right="1080" w:hanging="536"/>
        <w:spacing w:after="0" w:line="268" w:lineRule="auto"/>
        <w:rPr>
          <w:sz w:val="20"/>
          <w:szCs w:val="20"/>
          <w:color w:val="auto"/>
        </w:rPr>
      </w:pPr>
      <w:r>
        <w:rPr>
          <w:rFonts w:ascii="Arial" w:cs="Arial" w:eastAsia="Arial" w:hAnsi="Arial"/>
          <w:sz w:val="18"/>
          <w:szCs w:val="18"/>
          <w:color w:val="auto"/>
        </w:rPr>
        <w:t>10.8†* Amendment Number 3 to the Co-development and Collaboration Agreement, dated as of July 1, 2010, by and between Glaxo Group Limited and Genmab A/S.</w:t>
      </w:r>
    </w:p>
    <w:p>
      <w:pPr>
        <w:spacing w:after="0" w:line="186" w:lineRule="exact"/>
        <w:rPr>
          <w:sz w:val="20"/>
          <w:szCs w:val="20"/>
          <w:color w:val="auto"/>
        </w:rPr>
      </w:pPr>
    </w:p>
    <w:p>
      <w:pPr>
        <w:ind w:left="2000" w:right="860" w:hanging="536"/>
        <w:spacing w:after="0" w:line="268" w:lineRule="auto"/>
        <w:rPr>
          <w:sz w:val="20"/>
          <w:szCs w:val="20"/>
          <w:color w:val="auto"/>
        </w:rPr>
      </w:pPr>
      <w:r>
        <w:rPr>
          <w:rFonts w:ascii="Arial" w:cs="Arial" w:eastAsia="Arial" w:hAnsi="Arial"/>
          <w:sz w:val="18"/>
          <w:szCs w:val="18"/>
          <w:color w:val="auto"/>
        </w:rPr>
        <w:t>10.9†* Amendment Number 4 to the Co-development and Collaboration Agreement, dated as of December 20, 2010, by and between Glaxo Group Limited and Genmab A/S.</w:t>
      </w:r>
    </w:p>
    <w:p>
      <w:pPr>
        <w:spacing w:after="0" w:line="186" w:lineRule="exact"/>
        <w:rPr>
          <w:sz w:val="20"/>
          <w:szCs w:val="20"/>
          <w:color w:val="auto"/>
        </w:rPr>
      </w:pPr>
    </w:p>
    <w:p>
      <w:pPr>
        <w:ind w:left="2000" w:right="900" w:hanging="623"/>
        <w:spacing w:after="0" w:line="268" w:lineRule="auto"/>
        <w:rPr>
          <w:sz w:val="20"/>
          <w:szCs w:val="20"/>
          <w:color w:val="auto"/>
        </w:rPr>
      </w:pPr>
      <w:r>
        <w:rPr>
          <w:rFonts w:ascii="Arial" w:cs="Arial" w:eastAsia="Arial" w:hAnsi="Arial"/>
          <w:sz w:val="18"/>
          <w:szCs w:val="18"/>
          <w:color w:val="auto"/>
        </w:rPr>
        <w:t>10.10†* Novation Agreement, dated as of November 3, 2014, by and among Glaxo Group Limited, Novartis Pharma AG and Genmab A/S.</w:t>
      </w:r>
    </w:p>
    <w:p>
      <w:pPr>
        <w:spacing w:after="0" w:line="186" w:lineRule="exact"/>
        <w:rPr>
          <w:sz w:val="20"/>
          <w:szCs w:val="20"/>
          <w:color w:val="auto"/>
        </w:rPr>
      </w:pPr>
    </w:p>
    <w:p>
      <w:pPr>
        <w:ind w:left="2000" w:right="740" w:hanging="617"/>
        <w:spacing w:after="0" w:line="268" w:lineRule="auto"/>
        <w:rPr>
          <w:sz w:val="20"/>
          <w:szCs w:val="20"/>
          <w:color w:val="auto"/>
        </w:rPr>
      </w:pPr>
      <w:r>
        <w:rPr>
          <w:rFonts w:ascii="Arial" w:cs="Arial" w:eastAsia="Arial" w:hAnsi="Arial"/>
          <w:sz w:val="18"/>
          <w:szCs w:val="18"/>
          <w:color w:val="auto"/>
        </w:rPr>
        <w:t>10.11†* Amendment Number 5 to the Co-development and Collaboration Agreement, dated as of January 22, 2018, by and between Novartis Pharma AG and Genmab A/S.</w:t>
      </w:r>
    </w:p>
    <w:p>
      <w:pPr>
        <w:spacing w:after="0" w:line="186" w:lineRule="exact"/>
        <w:rPr>
          <w:sz w:val="20"/>
          <w:szCs w:val="20"/>
          <w:color w:val="auto"/>
        </w:rPr>
      </w:pPr>
    </w:p>
    <w:p>
      <w:pPr>
        <w:ind w:left="2000" w:right="940" w:hanging="623"/>
        <w:spacing w:after="0" w:line="331" w:lineRule="auto"/>
        <w:rPr>
          <w:sz w:val="20"/>
          <w:szCs w:val="20"/>
          <w:color w:val="auto"/>
        </w:rPr>
      </w:pPr>
      <w:r>
        <w:rPr>
          <w:rFonts w:ascii="Arial" w:cs="Arial" w:eastAsia="Arial" w:hAnsi="Arial"/>
          <w:sz w:val="16"/>
          <w:szCs w:val="16"/>
          <w:color w:val="auto"/>
        </w:rPr>
        <w:t>10.12†* Amended and Restated Evaluation and Commercialization Agreement, dated as of July 12, 2012, by and among Bristol-Myer Squibb Corporation, Medarex, Inc., GenPharm International, Inc. and Genmab A/S.</w:t>
      </w:r>
    </w:p>
    <w:p>
      <w:pPr>
        <w:spacing w:after="0" w:line="141"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Statsautoriseret Revisionspartnerselskab.</w:t>
      </w:r>
    </w:p>
    <w:p>
      <w:pPr>
        <w:spacing w:after="0" w:line="225"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Kromann Reumert (included in Exhibit 5.1).</w:t>
      </w:r>
    </w:p>
    <w:p>
      <w:pPr>
        <w:spacing w:after="0" w:line="225"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79375</wp:posOffset>
            </wp:positionV>
            <wp:extent cx="14998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308" w:lineRule="exact"/>
        <w:rPr>
          <w:sz w:val="20"/>
          <w:szCs w:val="20"/>
          <w:color w:val="auto"/>
        </w:rPr>
      </w:pPr>
    </w:p>
    <w:p>
      <w:pPr>
        <w:ind w:left="1680" w:hanging="549"/>
        <w:spacing w:after="0"/>
        <w:tabs>
          <w:tab w:leader="none" w:pos="16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To be filed by amendment.</w:t>
      </w:r>
    </w:p>
    <w:p>
      <w:pPr>
        <w:ind w:left="1680" w:hanging="549"/>
        <w:spacing w:after="0"/>
        <w:tabs>
          <w:tab w:leader="none" w:pos="16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and this exhibit has been filed separately with the SEC.</w:t>
      </w:r>
    </w:p>
    <w:p>
      <w:pPr>
        <w:sectPr>
          <w:pgSz w:w="11900" w:h="16838" w:orient="portrait"/>
          <w:cols w:equalWidth="0" w:num="1">
            <w:col w:w="10800"/>
          </w:cols>
          <w:pgMar w:left="320" w:top="131" w:right="779" w:bottom="1440" w:gutter="0" w:footer="0" w:header="0"/>
        </w:sectPr>
      </w:pPr>
    </w:p>
    <w:p>
      <w:pPr>
        <w:spacing w:after="0" w:line="217"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00"/>
          </w:cols>
          <w:pgMar w:left="320" w:top="131" w:right="779" w:bottom="1440" w:gutter="0" w:footer="0" w:header="0"/>
          <w:type w:val="continuous"/>
        </w:sectPr>
      </w:pPr>
    </w:p>
    <w:bookmarkStart w:id="310" w:name="page311"/>
    <w:bookmarkEnd w:id="3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F-1 to be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w w:val="93"/>
              </w:rPr>
              <w:t>signed on its behalf by the undersigned, thereunto duly authorized, in Copenhagen, Denmark, on</w:t>
            </w: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 2019.</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69"/>
        </w:trPr>
        <w:tc>
          <w:tcPr>
            <w:tcW w:w="7200" w:type="dxa"/>
            <w:vAlign w:val="bottom"/>
            <w:gridSpan w:val="2"/>
          </w:tcPr>
          <w:p>
            <w:pPr>
              <w:ind w:left="5500"/>
              <w:spacing w:after="0"/>
              <w:rPr>
                <w:sz w:val="20"/>
                <w:szCs w:val="20"/>
                <w:color w:val="auto"/>
              </w:rPr>
            </w:pPr>
            <w:r>
              <w:rPr>
                <w:rFonts w:ascii="Arial" w:cs="Arial" w:eastAsia="Arial" w:hAnsi="Arial"/>
                <w:sz w:val="18"/>
                <w:szCs w:val="18"/>
                <w:color w:val="auto"/>
              </w:rPr>
              <w:t>By: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7"/>
        </w:trPr>
        <w:tc>
          <w:tcPr>
            <w:tcW w:w="59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r>
      <w:tr>
        <w:trPr>
          <w:trHeight w:val="282"/>
        </w:trPr>
        <w:tc>
          <w:tcPr>
            <w:tcW w:w="59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596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2"/>
        </w:trPr>
        <w:tc>
          <w:tcPr>
            <w:tcW w:w="8900" w:type="dxa"/>
            <w:vAlign w:val="bottom"/>
            <w:gridSpan w:val="3"/>
          </w:tcPr>
          <w:p>
            <w:pPr>
              <w:jc w:val="right"/>
              <w:ind w:right="172"/>
              <w:spacing w:after="0"/>
              <w:rPr>
                <w:sz w:val="20"/>
                <w:szCs w:val="20"/>
                <w:color w:val="auto"/>
              </w:rPr>
            </w:pPr>
            <w:r>
              <w:rPr>
                <w:rFonts w:ascii="Arial" w:cs="Arial" w:eastAsia="Arial" w:hAnsi="Arial"/>
                <w:sz w:val="18"/>
                <w:szCs w:val="18"/>
                <w:color w:val="auto"/>
                <w:w w:val="91"/>
              </w:rPr>
              <w:t>Each of the undersigned members of the board of directors of the Registrant hereby severally constitutes and appoints</w:t>
            </w:r>
          </w:p>
        </w:tc>
        <w:tc>
          <w:tcPr>
            <w:tcW w:w="780" w:type="dxa"/>
            <w:vAlign w:val="bottom"/>
          </w:tcPr>
          <w:p>
            <w:pPr>
              <w:ind w:left="260"/>
              <w:spacing w:after="0"/>
              <w:rPr>
                <w:sz w:val="20"/>
                <w:szCs w:val="20"/>
                <w:color w:val="auto"/>
              </w:rPr>
            </w:pPr>
            <w:r>
              <w:rPr>
                <w:rFonts w:ascii="Arial" w:cs="Arial" w:eastAsia="Arial" w:hAnsi="Arial"/>
                <w:sz w:val="18"/>
                <w:szCs w:val="18"/>
                <w:color w:val="auto"/>
              </w:rPr>
              <w:t>and</w:t>
            </w: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w w:val="84"/>
              </w:rPr>
              <w:t>as his or her true</w:t>
            </w:r>
          </w:p>
        </w:tc>
      </w:tr>
    </w:tbl>
    <w:p>
      <w:pPr>
        <w:ind w:right="120"/>
        <w:spacing w:after="0" w:line="288" w:lineRule="auto"/>
        <w:rPr>
          <w:sz w:val="20"/>
          <w:szCs w:val="20"/>
          <w:color w:val="auto"/>
        </w:rPr>
      </w:pPr>
      <w:r>
        <w:rPr>
          <w:rFonts w:ascii="Arial" w:cs="Arial" w:eastAsia="Arial" w:hAnsi="Arial"/>
          <w:sz w:val="16"/>
          <w:szCs w:val="16"/>
          <w:color w:val="auto"/>
        </w:rPr>
        <w:t>and lawful attorney-in-fact and agent, with full power of substitution and re-substitution for him or her and in his or her name, place and stead, in any and all capacities, to sign any and all amendments (including post-effective amendments) to this Registration Statement, and any subsequent registration statements pursuant to Rule 462 of the Securities Act of 1933, as amended, and to file the same, with all exhibits thereto, and other documents in connection therewith, with the Securities and Exchange Commission, granting unto said attorney-in-fact and agents, each of them, full power and authority to do and perform each and every act and thing requisite and necessary to be done in and about the premises, as fully to all intents and purposes as he or she might or could do in person, hereby ratifying and confirming all that each of said attorneys-in-fact or his or her substitute or substitutes, may lawfully do or cause to be done by virtue hereof.</w:t>
      </w:r>
    </w:p>
    <w:p>
      <w:pPr>
        <w:spacing w:after="0" w:line="17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1" w:lineRule="exact"/>
        <w:rPr>
          <w:sz w:val="20"/>
          <w:szCs w:val="20"/>
          <w:color w:val="auto"/>
        </w:rPr>
      </w:pPr>
    </w:p>
    <w:p>
      <w:pPr>
        <w:ind w:left="2600"/>
        <w:spacing w:after="0"/>
        <w:tabs>
          <w:tab w:leader="none" w:pos="6420" w:val="left"/>
          <w:tab w:leader="none" w:pos="91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370"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3540" w:type="dxa"/>
            <w:vAlign w:val="bottom"/>
            <w:tcBorders>
              <w:bottom w:val="single" w:sz="8" w:color="auto"/>
            </w:tcBorders>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President &amp; Chief Executive Officer (Principal</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87"/>
              </w:rPr>
              <w:t>Jan G. J. van de Winkel</w:t>
            </w:r>
          </w:p>
        </w:tc>
        <w:tc>
          <w:tcPr>
            <w:tcW w:w="42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Officer)</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40" w:type="dxa"/>
            <w:vAlign w:val="bottom"/>
            <w:vMerge w:val="continue"/>
          </w:tcPr>
          <w:p>
            <w:pPr>
              <w:spacing w:after="0"/>
              <w:rPr>
                <w:sz w:val="9"/>
                <w:szCs w:val="9"/>
                <w:color w:val="auto"/>
              </w:rPr>
            </w:pPr>
          </w:p>
        </w:tc>
        <w:tc>
          <w:tcPr>
            <w:tcW w:w="42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3540" w:type="dxa"/>
            <w:vAlign w:val="bottom"/>
          </w:tcPr>
          <w:p>
            <w:pPr>
              <w:spacing w:after="0"/>
              <w:rPr>
                <w:sz w:val="24"/>
                <w:szCs w:val="24"/>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Executive Vice President &amp; Chief Financial</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540" w:type="dxa"/>
            <w:vAlign w:val="bottom"/>
            <w:tcBorders>
              <w:bottom w:val="single" w:sz="8" w:color="auto"/>
            </w:tcBorders>
          </w:tcPr>
          <w:p>
            <w:pPr>
              <w:spacing w:after="0"/>
              <w:rPr>
                <w:sz w:val="10"/>
                <w:szCs w:val="10"/>
                <w:color w:val="auto"/>
              </w:rPr>
            </w:pPr>
          </w:p>
        </w:tc>
        <w:tc>
          <w:tcPr>
            <w:tcW w:w="422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 and Principal</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0"/>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3"/>
              </w:rPr>
              <w:t>David A. Eatwell</w:t>
            </w:r>
          </w:p>
        </w:tc>
        <w:tc>
          <w:tcPr>
            <w:tcW w:w="42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Accounting Officer)</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3540" w:type="dxa"/>
            <w:vAlign w:val="bottom"/>
            <w:tcBorders>
              <w:bottom w:val="single" w:sz="8" w:color="auto"/>
            </w:tcBorders>
          </w:tcPr>
          <w:p>
            <w:pPr>
              <w:spacing w:after="0"/>
              <w:rPr>
                <w:sz w:val="24"/>
                <w:szCs w:val="24"/>
                <w:color w:val="auto"/>
              </w:rPr>
            </w:pPr>
          </w:p>
        </w:tc>
        <w:tc>
          <w:tcPr>
            <w:tcW w:w="422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 of Directors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86"/>
              </w:rPr>
              <w:t>Mats Pettersson</w:t>
            </w:r>
          </w:p>
        </w:tc>
        <w:tc>
          <w:tcPr>
            <w:tcW w:w="42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3540" w:type="dxa"/>
            <w:vAlign w:val="bottom"/>
            <w:tcBorders>
              <w:bottom w:val="single" w:sz="8" w:color="auto"/>
            </w:tcBorders>
          </w:tcPr>
          <w:p>
            <w:pPr>
              <w:spacing w:after="0"/>
              <w:rPr>
                <w:sz w:val="24"/>
                <w:szCs w:val="24"/>
                <w:color w:val="auto"/>
              </w:rPr>
            </w:pPr>
          </w:p>
        </w:tc>
        <w:tc>
          <w:tcPr>
            <w:tcW w:w="4220" w:type="dxa"/>
            <w:vAlign w:val="bottom"/>
            <w:vMerge w:val="restart"/>
          </w:tcPr>
          <w:p>
            <w:pPr>
              <w:ind w:left="160"/>
              <w:spacing w:after="0"/>
              <w:rPr>
                <w:sz w:val="20"/>
                <w:szCs w:val="20"/>
                <w:color w:val="auto"/>
              </w:rPr>
            </w:pPr>
            <w:r>
              <w:rPr>
                <w:rFonts w:ascii="Arial" w:cs="Arial" w:eastAsia="Arial" w:hAnsi="Arial"/>
                <w:sz w:val="18"/>
                <w:szCs w:val="18"/>
                <w:color w:val="auto"/>
              </w:rPr>
              <w:t>Deputy Chairman of the Board of Directors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89"/>
              </w:rPr>
              <w:t>Deirdre P. Connelly</w:t>
            </w:r>
          </w:p>
        </w:tc>
        <w:tc>
          <w:tcPr>
            <w:tcW w:w="42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3540" w:type="dxa"/>
            <w:vAlign w:val="bottom"/>
            <w:tcBorders>
              <w:bottom w:val="single" w:sz="8" w:color="auto"/>
            </w:tcBorders>
          </w:tcPr>
          <w:p>
            <w:pPr>
              <w:spacing w:after="0"/>
              <w:rPr>
                <w:sz w:val="24"/>
                <w:szCs w:val="24"/>
                <w:color w:val="auto"/>
              </w:rPr>
            </w:pPr>
          </w:p>
        </w:tc>
        <w:tc>
          <w:tcPr>
            <w:tcW w:w="422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85"/>
              </w:rPr>
              <w:t>Anders Gersel Pedersen</w:t>
            </w:r>
          </w:p>
        </w:tc>
        <w:tc>
          <w:tcPr>
            <w:tcW w:w="42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311" w:name="page312"/>
    <w:bookmarkEnd w:id="3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00"/>
        <w:spacing w:after="0"/>
        <w:tabs>
          <w:tab w:leader="none" w:pos="6420" w:val="left"/>
          <w:tab w:leader="none" w:pos="91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21"/>
        </w:trPr>
        <w:tc>
          <w:tcPr>
            <w:tcW w:w="3540" w:type="dxa"/>
            <w:vAlign w:val="bottom"/>
            <w:tcBorders>
              <w:bottom w:val="single" w:sz="8" w:color="auto"/>
            </w:tcBorders>
          </w:tcPr>
          <w:p>
            <w:pPr>
              <w:spacing w:after="0"/>
              <w:rPr>
                <w:sz w:val="10"/>
                <w:szCs w:val="10"/>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712"/>
              <w:spacing w:after="0"/>
              <w:rPr>
                <w:sz w:val="20"/>
                <w:szCs w:val="20"/>
                <w:color w:val="auto"/>
              </w:rPr>
            </w:pPr>
            <w:r>
              <w:rPr>
                <w:rFonts w:ascii="Arial" w:cs="Arial" w:eastAsia="Arial" w:hAnsi="Arial"/>
                <w:sz w:val="18"/>
                <w:szCs w:val="18"/>
                <w:color w:val="auto"/>
                <w:w w:val="89"/>
              </w:rPr>
              <w:t>Pernille Erenbjerg</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540" w:type="dxa"/>
            <w:vAlign w:val="bottom"/>
            <w:tcBorders>
              <w:bottom w:val="single" w:sz="8" w:color="auto"/>
            </w:tcBorders>
          </w:tcPr>
          <w:p>
            <w:pPr>
              <w:spacing w:after="0"/>
              <w:rPr>
                <w:sz w:val="24"/>
                <w:szCs w:val="24"/>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692"/>
              <w:spacing w:after="0"/>
              <w:rPr>
                <w:sz w:val="20"/>
                <w:szCs w:val="20"/>
                <w:color w:val="auto"/>
              </w:rPr>
            </w:pPr>
            <w:r>
              <w:rPr>
                <w:rFonts w:ascii="Arial" w:cs="Arial" w:eastAsia="Arial" w:hAnsi="Arial"/>
                <w:sz w:val="18"/>
                <w:szCs w:val="18"/>
                <w:color w:val="auto"/>
                <w:w w:val="88"/>
              </w:rPr>
              <w:t>Paolo Paoletti</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540" w:type="dxa"/>
            <w:vAlign w:val="bottom"/>
            <w:tcBorders>
              <w:bottom w:val="single" w:sz="8" w:color="auto"/>
            </w:tcBorders>
          </w:tcPr>
          <w:p>
            <w:pPr>
              <w:spacing w:after="0"/>
              <w:rPr>
                <w:sz w:val="24"/>
                <w:szCs w:val="24"/>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692"/>
              <w:spacing w:after="0"/>
              <w:rPr>
                <w:sz w:val="20"/>
                <w:szCs w:val="20"/>
                <w:color w:val="auto"/>
              </w:rPr>
            </w:pPr>
            <w:r>
              <w:rPr>
                <w:rFonts w:ascii="Arial" w:cs="Arial" w:eastAsia="Arial" w:hAnsi="Arial"/>
                <w:sz w:val="18"/>
                <w:szCs w:val="18"/>
                <w:color w:val="auto"/>
                <w:w w:val="93"/>
              </w:rPr>
              <w:t>Rolf Hoffman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540" w:type="dxa"/>
            <w:vAlign w:val="bottom"/>
            <w:tcBorders>
              <w:bottom w:val="single" w:sz="8" w:color="auto"/>
            </w:tcBorders>
          </w:tcPr>
          <w:p>
            <w:pPr>
              <w:spacing w:after="0"/>
              <w:rPr>
                <w:sz w:val="24"/>
                <w:szCs w:val="24"/>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712"/>
              <w:spacing w:after="0"/>
              <w:rPr>
                <w:sz w:val="20"/>
                <w:szCs w:val="20"/>
                <w:color w:val="auto"/>
              </w:rPr>
            </w:pPr>
            <w:r>
              <w:rPr>
                <w:rFonts w:ascii="Arial" w:cs="Arial" w:eastAsia="Arial" w:hAnsi="Arial"/>
                <w:sz w:val="18"/>
                <w:szCs w:val="18"/>
                <w:color w:val="auto"/>
                <w:w w:val="88"/>
              </w:rPr>
              <w:t>Peter Storm Kristensen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540" w:type="dxa"/>
            <w:vAlign w:val="bottom"/>
            <w:tcBorders>
              <w:bottom w:val="single" w:sz="8" w:color="auto"/>
            </w:tcBorders>
          </w:tcPr>
          <w:p>
            <w:pPr>
              <w:spacing w:after="0"/>
              <w:rPr>
                <w:sz w:val="24"/>
                <w:szCs w:val="24"/>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712"/>
              <w:spacing w:after="0"/>
              <w:rPr>
                <w:sz w:val="20"/>
                <w:szCs w:val="20"/>
                <w:color w:val="auto"/>
              </w:rPr>
            </w:pPr>
            <w:r>
              <w:rPr>
                <w:rFonts w:ascii="Arial" w:cs="Arial" w:eastAsia="Arial" w:hAnsi="Arial"/>
                <w:sz w:val="18"/>
                <w:szCs w:val="18"/>
                <w:color w:val="auto"/>
                <w:w w:val="93"/>
              </w:rPr>
              <w:t>Rick Hibbert</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540" w:type="dxa"/>
            <w:vAlign w:val="bottom"/>
            <w:tcBorders>
              <w:bottom w:val="single" w:sz="8" w:color="auto"/>
            </w:tcBorders>
          </w:tcPr>
          <w:p>
            <w:pPr>
              <w:spacing w:after="0"/>
              <w:rPr>
                <w:sz w:val="24"/>
                <w:szCs w:val="24"/>
                <w:color w:val="auto"/>
              </w:rPr>
            </w:pPr>
          </w:p>
        </w:tc>
        <w:tc>
          <w:tcPr>
            <w:tcW w:w="27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jc w:val="center"/>
              <w:ind w:right="2692"/>
              <w:spacing w:after="0"/>
              <w:rPr>
                <w:sz w:val="20"/>
                <w:szCs w:val="20"/>
                <w:color w:val="auto"/>
              </w:rPr>
            </w:pPr>
            <w:r>
              <w:rPr>
                <w:rFonts w:ascii="Arial" w:cs="Arial" w:eastAsia="Arial" w:hAnsi="Arial"/>
                <w:sz w:val="18"/>
                <w:szCs w:val="18"/>
                <w:color w:val="auto"/>
                <w:w w:val="89"/>
              </w:rPr>
              <w:t>Daniel J. Bruno</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2" w:name="page313"/>
    <w:bookmarkEnd w:id="3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undersigned, the duly authorized representative in the United States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color w:val="auto"/>
                <w:w w:val="95"/>
              </w:rPr>
              <w:t>Genmab A/S, has signed this Registration Statement on</w:t>
            </w:r>
          </w:p>
        </w:tc>
        <w:tc>
          <w:tcPr>
            <w:tcW w:w="8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40"/>
          </w:cols>
          <w:pgMar w:left="320" w:top="131" w:right="939" w:bottom="1440" w:gutter="0" w:footer="0" w:header="0"/>
        </w:sectPr>
      </w:pPr>
    </w:p>
    <w:bookmarkStart w:id="313" w:name="page314"/>
    <w:bookmarkEnd w:id="3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(Unauthorized English translation)</w:t>
      </w:r>
    </w:p>
    <w:p>
      <w:pPr>
        <w:spacing w:after="0" w:line="229"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(December 10, 2018)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Genmab 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(CVR-nr. 21023884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A/S registration no.: 248.498)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u w:val="single" w:color="auto"/>
          <w:color w:val="auto"/>
        </w:rPr>
        <w:t>Name, Registered Office, Objects and Group Language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Company is Genmab A/S.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of the Company shall be in the municipality of Copenhagen.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objects of the Company are to engage in medical research, production and sale of such products and related business.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3A.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language of the Company is English.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Company’s Share Capital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capital of the Company equals DKK 61,497,571 divided into shares of DKK 1 each or any multiple hereof.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Board of Directors is until April 10, 2023 authorized to increase the nominal registered share capital on one or more occasions without pre-emption rights for the existing shareholders by up to nominally DKK 7,500,000 by subscription of new shares that shall have the same rights as the existing shares of the Company. The capital increase can be made by cash or by non-cash payment. Within the authorization to increase the share capital by nominally DKK 7,500,000 shares, the Board of Directors may on one or more occasions and without pre-emption rights for the existing shareholders of the Company issue up to nominally DKK 2,000,000 shares to employees of the Company and the Company’s directly and indirectly owned subsidiaries by cash payment at market price or at a discount price as well as by the issue of bonus shares. No transferability restrictions or redemption obligations shall apply to the new shares. The shares shall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6" w:name="page317"/>
    <w:bookmarkEnd w:id="316"/>
    <w:p>
      <w:pPr>
        <w:ind w:right="420"/>
        <w:spacing w:after="0" w:line="308" w:lineRule="auto"/>
        <w:rPr>
          <w:sz w:val="20"/>
          <w:szCs w:val="20"/>
          <w:color w:val="auto"/>
        </w:rPr>
      </w:pPr>
      <w:r>
        <w:rPr>
          <w:rFonts w:ascii="Arial" w:cs="Arial" w:eastAsia="Arial" w:hAnsi="Arial"/>
          <w:sz w:val="17"/>
          <w:szCs w:val="17"/>
          <w:color w:val="auto"/>
        </w:rPr>
        <w:t>negotiable instruments, issued in the name of the holder and registered in the name of the holder in the Company’s Register of Shareholders. The new shares shall give right to dividends and other rights as determined by the Board in its resolution to increase the capital.</w:t>
      </w:r>
    </w:p>
    <w:p>
      <w:pPr>
        <w:spacing w:after="0" w:line="14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 the Board of Directors is until April 10, 2023 authorized to increase the nominal registered share capital on one or more occasions with pre-emption rights for the existing shareholders by up to nominally DKK 7,500,000 by subscription of new shares that shall have the same rights as the existing shares of the Company. The capital increase can be made by cash or by non-cash payment. No transferability restrictions or redemption obligations shall apply to the new shares. The shares shall be negotiable instruments, issued in the name of the holder and registered in the name of the holder in the Company’s Register of Shareholders. The new shares shall give right to dividends and other rights as determined by the Board in its resolution to increase the capital.</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exercise of these authorizations, the Board of Directors may, however, not increase the nominal registered share capital by more than a total of DKK 7,500,000.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5.</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decision of the General Meeting on April 25, 2012 the Board of Directors is authorized to issue on one or more occasions warrants to subscribe the Company’s shares up to a nominal value of DKK 250,000 and to make the related capital increases in cash up to a nominal value of DKK 250,000. The Board of Directors has issued 250,000 warrants and re-issued 42,375 warrants under this authorization. This authorization shall remain in force for a period ending on April 25, 2017.</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Further, by decision of the General Meeting on April 17, 2013 the Board of Directors is authorized to issue on one or more occasions additional warrants to subscribe the Company’s shares up to a nominal value of DKK 600,000 and to make the related capital increases in cash up to a nominal value of DKK 600,000. The Board of Directors has issued 600,000 warrants and re-issued 17,750 warrants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under this authorization. This authorization shall remain in force for a period ending on April 17, 2018.</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Moreover, by decision of the General Meeting on April 9, 2014 the Board of Directors is authorized to issue on one or more occasions additional warrants to subscribe the Company’s shares up to a nominal value of DKK 500,000 and to make the related capital increases in cash up to a nominal value of DKK 500,000. The Board of Directors has issued 500,000 warrants and re-issued 29,511 warrants under this authorization. This authorization shall remain in force for a period ending on April 9, 2019.</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Moreover, by decision of the General Meeting on March 28, 2017 the Board of Directors is authorized to issue on one or more occasions additional warrants to subscribe the Company’s shares up to a nominal value of DKK 500,000 and to make the related capital increases in cash up to a nominal value of DKK 500,000. The Board of Directors has issued 333,217 warrants and re-issued 2,933 warrants under this authorization. This authorization shall remain in force for a period ending on March 28, 2022.</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authorizations entitle the Board of Directors to issue warrants to the Company’s employees as well as employees of the Company’s directly and indirectly owned subsidiaries. Subject to the rules in force at any time, the Board of Directors may re-use or re-issue lapsed non-exercised warrants, if any, provided that the reuse or re-issue occurs under the same terms and within the time limitations set out in this authorization. Reuse is to be construed as the Board of Directors’ entitlement to let another party enter into an existing agreement on warrants. Re-issue is to be construed as the Board of Directors’ option to re-issue new warrants under the same authorization, if previously issued warrants have lapsed. The existing shareholders of the Company shall not have a right of pre-emption in connection with the issue of warrants based on these authorizations. One warrant shall give the right to subscribe one share with a nominal value of DKK 1 at a subscription price per share determined by the Board of Directors which, however, shall be no less than the market price per share of the Company’s shares at the time of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exercise period for the issued warrants shall be determined by the Board of Directors.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18" w:name="page319"/>
    <w:bookmarkEnd w:id="318"/>
    <w:p>
      <w:pPr>
        <w:ind w:left="660"/>
        <w:spacing w:after="0"/>
        <w:rPr>
          <w:sz w:val="20"/>
          <w:szCs w:val="20"/>
          <w:color w:val="auto"/>
        </w:rPr>
      </w:pPr>
      <w:r>
        <w:rPr>
          <w:rFonts w:ascii="Arial" w:cs="Arial" w:eastAsia="Arial" w:hAnsi="Arial"/>
          <w:sz w:val="17"/>
          <w:szCs w:val="17"/>
          <w:color w:val="auto"/>
        </w:rPr>
        <w:t>The Board of Directors is authorized to set out more detailed terms for the warrants that are to be issued based on these authorizations.</w:t>
      </w:r>
    </w:p>
    <w:p>
      <w:pPr>
        <w:spacing w:after="0" w:line="23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existing shareholders of the Company shall not have a right of pre-emption in connection with issue of shares on the basis of warrants. The shares that are issued through the exercise of warrants shall have the same rights as existing shares cf. these Articles of Association.</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Board of Directors has exercised the above authorizations as stipulated in schedule A which is an integral part of these articles.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5A.</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Board of Directors shall be authorized, until March 17, 2021,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 (USD) or euro (EUR)) computed at the rates of exchange ruling at the day of loan. The Board of Directors is also authorized to effect the consequential increase of the capital. Convertible loans may be raised against payment in cash or in other ways. The subscription of shares shall be without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the Board of Directors in accordance with section 169 of the Companies Act. If the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 The Board of Directors is authorized to amend the Articles of Association as necessary in connection with the capital increases being effected.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9" w:name="page320"/>
    <w:bookmarkEnd w:id="319"/>
    <w:p>
      <w:pPr>
        <w:ind w:firstLine="648"/>
        <w:spacing w:after="0" w:line="287" w:lineRule="auto"/>
        <w:rPr>
          <w:sz w:val="20"/>
          <w:szCs w:val="20"/>
          <w:color w:val="auto"/>
        </w:rPr>
      </w:pPr>
      <w:r>
        <w:rPr>
          <w:rFonts w:ascii="Arial" w:cs="Arial" w:eastAsia="Arial" w:hAnsi="Arial"/>
          <w:sz w:val="16"/>
          <w:szCs w:val="16"/>
          <w:color w:val="auto"/>
        </w:rPr>
        <w:t>The Board of Directors shall be authorized, until March 17, 2021, by one or more issues to raise loans against bonds or other financial instruments up to a maximum amount of DKK 3 billion with a right for the lender to convert his claim to a maximum of nominally DKK 4,000,000 equivalent to 4,000,000 new shares (convertible loans). Convertible loans may be raised in DKK or the equivalent in foreign currency (including US dollar (USD) or euro (EUR)) computed at the rates of exchange ruling at the day of loan. The Board of Directors is also authorized to effect the consequential increase of the capital. Convertible loans may be raised against payment in cash or in other ways. The subscription of shares shall be with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 The terms for raising of convertible loans as well as time and terms for the capital increase shall be decided by the Board of Directors in accordance with section 169 of the Companies Act. If the Board of Directors exercises the authorization new shares shall be negotiable instruments, issued in the name of the holder and carry dividend as of a date to be fixed by the Board of Directors. No restrictions shall apply as to the pre-emption right of the new shares, and shall rank pari passu with existing shares with respect to rights, redeemability and negotiability. The Board of Directors is authorized to amend the Articles of Association as necessary in connection with the capital increases being effected.</w:t>
      </w:r>
    </w:p>
    <w:p>
      <w:pPr>
        <w:spacing w:after="0" w:line="16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connection with the exercise of these authorizations, the Board of Directors may, however, not raise loans against bonds or other financial instruments up to more than a total of DKK 3 billion and increase the nominal registered share capital by more than a total of DKK 4,000,000, equivalent to 4,000,000 new shares.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6.</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shares are issued in the name of the holder and are entered in the name of their holders in the Company’s Register of Shareholders. Until the board decides otherwise the register of shareholders shall be kept by VP Services A/S (CVR no. 30201183), which has been designated as the Company’s registrar.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0" w:name="page321"/>
    <w:bookmarkEnd w:id="320"/>
    <w:p>
      <w:pPr>
        <w:ind w:left="660"/>
        <w:spacing w:after="0"/>
        <w:rPr>
          <w:sz w:val="20"/>
          <w:szCs w:val="20"/>
          <w:color w:val="auto"/>
        </w:rPr>
      </w:pPr>
      <w:r>
        <w:rPr>
          <w:rFonts w:ascii="Arial" w:cs="Arial" w:eastAsia="Arial" w:hAnsi="Arial"/>
          <w:sz w:val="18"/>
          <w:szCs w:val="18"/>
          <w:color w:val="auto"/>
        </w:rPr>
        <w:t>No restrictions shall apply to the transferability of the shares. The shares shall be negotiable instruments.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No shares shall confer any special rights upon the holder, and no shareholder shall be under an obligation to allow his shares to be redeemed.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shares shall be issued through VP Securities A/S. The distribution of dividends etc. shall be subject to the rules of VP Securities A/S.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General Meeting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General Meetings shall be held in the municipality of Copenhagen or in the greater Copenhagen area.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Annual General Meetings shall be held each year not later than four (4) months after the end of the financial year.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 Shareholders having so requested, to the address, including the e-mail address, cf. § 16, indicated to the Company.</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notice calling the general meeting as well as other documents prepared for and in connection with the general meeting shall be prepared in English and, if decided by the Board of Directors, also in Danish.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1" w:name="page322"/>
    <w:bookmarkEnd w:id="321"/>
    <w:p>
      <w:pPr>
        <w:ind w:right="280" w:firstLine="648"/>
        <w:spacing w:after="0" w:line="277" w:lineRule="auto"/>
        <w:rPr>
          <w:sz w:val="20"/>
          <w:szCs w:val="20"/>
          <w:color w:val="auto"/>
        </w:rPr>
      </w:pPr>
      <w:r>
        <w:rPr>
          <w:rFonts w:ascii="Arial" w:cs="Arial" w:eastAsia="Arial" w:hAnsi="Arial"/>
          <w:sz w:val="18"/>
          <w:szCs w:val="18"/>
          <w:color w:val="auto"/>
        </w:rPr>
        <w:t>In order to be transacted at the Annual General Meeting, resolutions proposed by the shareholders shall be submitted in writing to the Board of Directors no less than six (6) weeks prior to the date of the Annual General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9.</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referred to in section 99 (1) of the Danish Companies Act must be available for inspection on the Company’s website for a period of at least three (3) consecutive weeks before the date of the General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minimum, this information shall include:</w:t>
      </w:r>
    </w:p>
    <w:p>
      <w:pPr>
        <w:spacing w:after="0" w:line="225" w:lineRule="exact"/>
        <w:rPr>
          <w:sz w:val="20"/>
          <w:szCs w:val="20"/>
          <w:color w:val="auto"/>
        </w:rPr>
      </w:pPr>
    </w:p>
    <w:p>
      <w:pPr>
        <w:ind w:left="1240" w:hanging="325"/>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notice.</w:t>
      </w:r>
    </w:p>
    <w:p>
      <w:pPr>
        <w:spacing w:after="0" w:line="225" w:lineRule="exact"/>
        <w:rPr>
          <w:rFonts w:ascii="Arial" w:cs="Arial" w:eastAsia="Arial" w:hAnsi="Arial"/>
          <w:sz w:val="18"/>
          <w:szCs w:val="18"/>
          <w:color w:val="auto"/>
        </w:rPr>
      </w:pPr>
    </w:p>
    <w:p>
      <w:pPr>
        <w:ind w:left="1240" w:hanging="325"/>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total share capital and the total number of voting rights on the date of the notice.</w:t>
      </w:r>
    </w:p>
    <w:p>
      <w:pPr>
        <w:spacing w:after="0" w:line="225" w:lineRule="exact"/>
        <w:rPr>
          <w:rFonts w:ascii="Arial" w:cs="Arial" w:eastAsia="Arial" w:hAnsi="Arial"/>
          <w:sz w:val="18"/>
          <w:szCs w:val="18"/>
          <w:color w:val="auto"/>
        </w:rPr>
      </w:pPr>
    </w:p>
    <w:p>
      <w:pPr>
        <w:ind w:left="1240" w:hanging="325"/>
        <w:spacing w:after="0"/>
        <w:tabs>
          <w:tab w:leader="none" w:pos="12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documents to be submitted at the General Meeting, including with respect to the Annual General Meeting the audited Annual Report.</w:t>
      </w:r>
    </w:p>
    <w:p>
      <w:pPr>
        <w:spacing w:after="0" w:line="248" w:lineRule="exact"/>
        <w:rPr>
          <w:rFonts w:ascii="Arial" w:cs="Arial" w:eastAsia="Arial" w:hAnsi="Arial"/>
          <w:sz w:val="16"/>
          <w:szCs w:val="16"/>
          <w:color w:val="auto"/>
        </w:rPr>
      </w:pPr>
    </w:p>
    <w:p>
      <w:pPr>
        <w:ind w:left="1240" w:hanging="325"/>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25" w:lineRule="exact"/>
        <w:rPr>
          <w:rFonts w:ascii="Arial" w:cs="Arial" w:eastAsia="Arial" w:hAnsi="Arial"/>
          <w:sz w:val="18"/>
          <w:szCs w:val="18"/>
          <w:color w:val="auto"/>
        </w:rPr>
      </w:pPr>
    </w:p>
    <w:p>
      <w:pPr>
        <w:ind w:left="1240" w:hanging="325"/>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forms to be used for voting by proxy or postal voting, unless these forms have been sent directly to the shareholders.</w:t>
      </w:r>
    </w:p>
    <w:p>
      <w:pPr>
        <w:spacing w:after="0" w:line="221" w:lineRule="exact"/>
        <w:rPr>
          <w:rFonts w:ascii="Arial" w:cs="Arial" w:eastAsia="Arial" w:hAnsi="Arial"/>
          <w:sz w:val="18"/>
          <w:szCs w:val="18"/>
          <w:color w:val="auto"/>
        </w:rPr>
      </w:pPr>
    </w:p>
    <w:p>
      <w:pPr>
        <w:ind w:left="5580" w:hanging="136"/>
        <w:spacing w:after="0"/>
        <w:tabs>
          <w:tab w:leader="none" w:pos="558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DKK 1 entitles the shareholder to one vote.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must also obtain an admission card from the Company no later than three (3) days before the date of the meeting.</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t>on behalf of the shareholder issuing the instrument. The holder of the proxy shall present a written and dated instrument of proxy.</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 reference number. If the shareholder is a legal person, its Central Business Register (CVR) number or other similar identification must also be clearly specified in the certificate.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11.</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Board of Directors shall appoint a chairman to preside at the General Meeting. The chairman shall decide all matters relating to the transaction of business and voting, including the issue of whether a written poll shall be taken.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provided by the Companies Act all business transacted at General Meetings shall be resolved upon a simple majority of votes.</w:t>
      </w:r>
    </w:p>
    <w:p>
      <w:pPr>
        <w:spacing w:after="0" w:line="248"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Minutes of the proceedings of the General Meeting shall be entered into a minute book, which shall be signed by the chairman of the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 and Management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12.</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spacing w:after="0" w:line="14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General Meeting elects between three (3) and nine (9) members of the Board of Directors for a period which expires at the Annual General Meeting in the Company in the first year after the year of their election.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3" w:name="page324"/>
    <w:bookmarkEnd w:id="323"/>
    <w:p>
      <w:pPr>
        <w:ind w:right="100" w:firstLine="648"/>
        <w:spacing w:after="0" w:line="270" w:lineRule="auto"/>
        <w:rPr>
          <w:sz w:val="20"/>
          <w:szCs w:val="20"/>
          <w:color w:val="auto"/>
        </w:rPr>
      </w:pPr>
      <w:r>
        <w:rPr>
          <w:rFonts w:ascii="Arial" w:cs="Arial" w:eastAsia="Arial" w:hAnsi="Arial"/>
          <w:sz w:val="17"/>
          <w:szCs w:val="17"/>
          <w:color w:val="auto"/>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accordance with these articles shall no longer apply. Employee representatives already elected in accordance with these articles shall resign simultaneously with the commencement of the employee representatives elected in accordance with the Companies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shall elect one of its members as chairman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specific rules governing the activities of the Board of Directors shall be laid down in rules of procedure drawn up by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shall form a quorum when more than half of its members are represented.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of the Board of Directors shall be resolved upon by a simple majority of votes.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shall receive an annual remuneration the size of which shall be stated in the Annual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13.</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chairman of the Board of Directors shall ensure that the Board of Directors meets whenever required. A member of the Board of Directors or a member of the Management may demand that a meeting of the Board of Directors be convened.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Minutes of the proceedings of the Board of Directors shall be entered into a minute book, which shall be signed by all attending members of the Board of Directors.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14.</w:t>
      </w:r>
    </w:p>
    <w:p>
      <w:pPr>
        <w:spacing w:after="0" w:line="229"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The Company has laid down general guidelines for incentive-based remuneration for the Board of Directors and Executive Management of the Company. The guidelines have been adopted by the Company’s General Meeting and they are available on the Company’s website: www.genmab.com.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Authority to Bind the Company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15.</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shall be bound by the joint signatures of a member of the Board of Directors and a member of the Management or by two members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Communication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16.</w:t>
      </w:r>
    </w:p>
    <w:p>
      <w:pPr>
        <w:spacing w:after="0" w:line="229" w:lineRule="exact"/>
        <w:rPr>
          <w:sz w:val="20"/>
          <w:szCs w:val="20"/>
          <w:color w:val="auto"/>
        </w:rPr>
      </w:pPr>
    </w:p>
    <w:p>
      <w:pPr>
        <w:ind w:left="80" w:right="340" w:firstLine="842"/>
        <w:spacing w:after="0" w:line="277" w:lineRule="auto"/>
        <w:rPr>
          <w:sz w:val="20"/>
          <w:szCs w:val="20"/>
          <w:color w:val="auto"/>
        </w:rPr>
      </w:pPr>
      <w:r>
        <w:rPr>
          <w:rFonts w:ascii="Arial" w:cs="Arial" w:eastAsia="Arial" w:hAnsi="Arial"/>
          <w:sz w:val="18"/>
          <w:szCs w:val="18"/>
          <w:color w:val="auto"/>
        </w:rPr>
        <w:t>The Company shall be entitled to use electronic document exchange and electronic mail, as specified below, when communicating with its shareholders in lieu of sending or providing paper based documents pursuant to these Articles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4" w:name="page325"/>
    <w:bookmarkEnd w:id="324"/>
    <w:p>
      <w:pPr>
        <w:spacing w:after="0" w:line="308" w:lineRule="auto"/>
        <w:rPr>
          <w:sz w:val="20"/>
          <w:szCs w:val="20"/>
          <w:color w:val="auto"/>
        </w:rPr>
      </w:pPr>
      <w:r>
        <w:rPr>
          <w:rFonts w:ascii="Arial" w:cs="Arial" w:eastAsia="Arial" w:hAnsi="Arial"/>
          <w:sz w:val="17"/>
          <w:szCs w:val="17"/>
          <w:color w:val="auto"/>
        </w:rPr>
        <w:t>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spacing w:after="0" w:line="146"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above documents, except admittance cards to the General Meeting, will be published on the Company’s website (www.genmab.com).</w:t>
      </w:r>
    </w:p>
    <w:p>
      <w:pPr>
        <w:spacing w:after="0" w:line="23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Announcements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announcements may be prepared in English only, if decided by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and Auditing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18.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year of the Company shall be the calendar year.</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Annual Reports shall be prepared in English and, if decided by the Board of Directors, in Danish.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5" w:name="page326"/>
    <w:bookmarkEnd w:id="325"/>
    <w:p>
      <w:pPr>
        <w:jc w:val="center"/>
        <w:ind w:right="-379"/>
        <w:spacing w:after="0"/>
        <w:rPr>
          <w:sz w:val="20"/>
          <w:szCs w:val="20"/>
          <w:color w:val="auto"/>
        </w:rPr>
      </w:pPr>
      <w:r>
        <w:rPr>
          <w:rFonts w:ascii="Arial" w:cs="Arial" w:eastAsia="Arial" w:hAnsi="Arial"/>
          <w:sz w:val="18"/>
          <w:szCs w:val="18"/>
          <w:b w:val="1"/>
          <w:bCs w:val="1"/>
          <w:color w:val="auto"/>
        </w:rPr>
        <w:t>§ 20.</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accounts shall be audited by one or more state authorized public accountants elected by the Annual General Meeting.</w:t>
      </w: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Under the authorization of April 24, 2003 by the General Meeting to issue up to 500,000 warrants to subscribe shares in the Company and authorization of April 1, 2004 to issue 1,250,000 warrants, the Board of Directors has on August 3, 2004 issued warrants to subscribe for up to 730,550 of the Company’s shares, each with a nominal value of DKK 1 to employees of the Company and its subsidiaries. The Board has at the same time resolved the necessary cash issue of shares in the amount of DKK 730,550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8" w:lineRule="exact"/>
        <w:rPr>
          <w:sz w:val="20"/>
          <w:szCs w:val="20"/>
          <w:color w:val="auto"/>
        </w:rPr>
      </w:pPr>
    </w:p>
    <w:p>
      <w:pPr>
        <w:ind w:right="200" w:firstLine="1296"/>
        <w:spacing w:after="0" w:line="296" w:lineRule="auto"/>
        <w:rPr>
          <w:sz w:val="20"/>
          <w:szCs w:val="20"/>
          <w:color w:val="auto"/>
        </w:rPr>
      </w:pPr>
      <w:r>
        <w:rPr>
          <w:rFonts w:ascii="Arial" w:cs="Arial" w:eastAsia="Arial" w:hAnsi="Arial"/>
          <w:sz w:val="16"/>
          <w:szCs w:val="16"/>
          <w:color w:val="auto"/>
        </w:rPr>
        <w:t>Under the authorization of April 1, 2004 by the General Meeting to issue up to 1,250,000 warrants to subscribe shares in the Company, the Board of Directors has on September 22, 2004 issued warrants to subscribe for up to 33,575 of the Company’s shares, each with a nominal value of DKK 1 to employees of the Company and its subsidiaries. The Board has at the same time resolved the necessary cash issue of shares in the amount of DKK 33,575 related to the warrants issued. All of these warrants have been exercised or have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ind w:right="20" w:firstLine="1296"/>
        <w:spacing w:after="0" w:line="296" w:lineRule="auto"/>
        <w:rPr>
          <w:sz w:val="20"/>
          <w:szCs w:val="20"/>
          <w:color w:val="auto"/>
        </w:rPr>
      </w:pPr>
      <w:r>
        <w:rPr>
          <w:rFonts w:ascii="Arial" w:cs="Arial" w:eastAsia="Arial" w:hAnsi="Arial"/>
          <w:sz w:val="16"/>
          <w:szCs w:val="16"/>
          <w:color w:val="auto"/>
        </w:rPr>
        <w:t>Under the authorization of April 1, 2004 by the General Meeting to issue up to 1,250,000 warrants to subscribe shares in the Company, the Board of Directors has on December 1, 2004 issued warrants to subscribe for up to 81,750 of the Company’s shares, each with a nominal value of DKK 1 to employees of the Company and its subsidiaries. The Board has at the same time resolved the necessary cash issue of shares in the amount of DKK 81,750 related to the warrants issued. All of these warrants have been exercised or have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7" w:name="page328"/>
    <w:bookmarkEnd w:id="327"/>
    <w:p>
      <w:pPr>
        <w:ind w:right="80" w:firstLine="1296"/>
        <w:spacing w:after="0" w:line="255" w:lineRule="auto"/>
        <w:rPr>
          <w:sz w:val="20"/>
          <w:szCs w:val="20"/>
          <w:color w:val="auto"/>
        </w:rPr>
      </w:pPr>
      <w:r>
        <w:rPr>
          <w:rFonts w:ascii="Arial" w:cs="Arial" w:eastAsia="Arial" w:hAnsi="Arial"/>
          <w:sz w:val="18"/>
          <w:szCs w:val="18"/>
          <w:color w:val="auto"/>
        </w:rPr>
        <w:t>Under the authorization of April 1, 2004 by the General Meeting to issue up to 1,250,000 warrants to subscribe shares in the Company, the Board of Directors has on April 20, 2005 issued warrants to subscribe for up to 67,500 of the Company’s shares, each with a nominal value of DKK 1 to employees of the Company and its subsidiaries. The Board has at the same time resolved the necessary cash issue of shares in the amount of DKK 67,500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92"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Under the authorization of April 1, 2004 by the General Meeting to issue up to 1,250,000 warrants to subscribe shares in the Company and authorization of April 20, 2005 to issue 2,500,000 warrants, the Board of Directors has on June 7, 2005 issued warrants to subscribe for up to 565,000 of the Company’s shares, each with a nominal value of DKK 1 to members of the board of directors, managers and employees of the Company and its subsidiaries. The Board has at the same time resolved the necessary cash issue of shares in the amount of DKK 565,000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6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Under the authorization of April 20, 2005 by the General Meeting to issue up to 2,500,000 warrants to subscribe shares in the Company, the Board of Directors has on August 10, 2005 issued warrants to subscribe for up to 307,000 of the Company’s shares, each with a nominal value of DKK 1 to employees of the Company and its subsidiaries. The Board has at the same time resolved the necessary cash issue of shares in the amount of DKK 307,000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92"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Under the authorization of April 20, 2005 by the General Meeting to issue up to 2,500,000 warrants to subscribe shares in the Company, the Board of Directors has on September 21, 2005 issued warrants to subscribe for up to 7,250</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28" w:name="page329"/>
    <w:bookmarkEnd w:id="328"/>
    <w:p>
      <w:pPr>
        <w:ind w:right="120"/>
        <w:spacing w:after="0" w:line="259" w:lineRule="auto"/>
        <w:rPr>
          <w:sz w:val="20"/>
          <w:szCs w:val="20"/>
          <w:color w:val="auto"/>
        </w:rPr>
      </w:pPr>
      <w:r>
        <w:rPr>
          <w:rFonts w:ascii="Arial" w:cs="Arial" w:eastAsia="Arial" w:hAnsi="Arial"/>
          <w:sz w:val="18"/>
          <w:szCs w:val="18"/>
          <w:color w:val="auto"/>
        </w:rPr>
        <w:t>of the Company’s shares each with a nominal value of DKK 1 to employees of the Company and its subsidiaries. The Board has at the same time resolved the necessary cash issue of shares in the amount of DKK 7,250 related to the warrants issued. All of these warrants have been exercised or have lapsed upon termination of employees’ employment. The decisions of the Board of Directors are set out in schedule C to these Articles of Association and are an integral part of these articles.</w:t>
      </w:r>
    </w:p>
    <w:p>
      <w:pPr>
        <w:spacing w:after="0" w:line="187"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Under the authorization of April 20, 2005 by the General Meeting to issue up to 2,500,000 warrants to subscribe shares in the Company, the Board of Directors has on December 1, 2005 issued warrants to subscribe for up to 23,250 of the Company’s shares, each with a nominal value of DKK 1 to employees of the Company and its subsidiaries. The Board has at the same time resolved the necessary cash issue of shares in the amount of DKK 23,250 related to the warrants issued. All of these warrants have been exercised. The decisions of the Board of Directors are set out in schedule C to these Articles of Association and are an integral part of these articles.</w:t>
      </w:r>
    </w:p>
    <w:p>
      <w:pPr>
        <w:spacing w:after="0" w:line="188" w:lineRule="exact"/>
        <w:rPr>
          <w:sz w:val="20"/>
          <w:szCs w:val="20"/>
          <w:color w:val="auto"/>
        </w:rPr>
      </w:pPr>
    </w:p>
    <w:p>
      <w:pPr>
        <w:ind w:right="140" w:firstLine="1296"/>
        <w:spacing w:after="0" w:line="275" w:lineRule="auto"/>
        <w:rPr>
          <w:sz w:val="20"/>
          <w:szCs w:val="20"/>
          <w:color w:val="auto"/>
        </w:rPr>
      </w:pPr>
      <w:r>
        <w:rPr>
          <w:rFonts w:ascii="Arial" w:cs="Arial" w:eastAsia="Arial" w:hAnsi="Arial"/>
          <w:sz w:val="17"/>
          <w:szCs w:val="17"/>
          <w:color w:val="auto"/>
        </w:rPr>
        <w:t>Under the authorization of April 20, 2005 to issue 2,500,000 warrants, the Board of Directors has on March 2, 2006 issued warrants to subscribe for up to 148,375 of the Company’s shares, each with a nominal value of DKK 1 to employees of the Company and its subsidiaries. The Board has at the same time resolved the necessary cash issue of shares in the amount of DKK 148,375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6"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Under the authorization of April 20, 2005 to issue 2,500,000 warrants, the Board of Directors has on April 25, 2006 issued warrants to subscribe for up to 54,500 of the Company’s shares, each with a nominal value of DKK 1 to employees of the Company and its subsidiaries. The Board has at the same time resolved the necessary cash issue of shares in the amount of DKK 54,500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9" w:name="page330"/>
    <w:bookmarkEnd w:id="329"/>
    <w:p>
      <w:pPr>
        <w:ind w:right="80" w:firstLine="1296"/>
        <w:spacing w:after="0" w:line="255" w:lineRule="auto"/>
        <w:rPr>
          <w:sz w:val="20"/>
          <w:szCs w:val="20"/>
          <w:color w:val="auto"/>
        </w:rPr>
      </w:pPr>
      <w:r>
        <w:rPr>
          <w:rFonts w:ascii="Arial" w:cs="Arial" w:eastAsia="Arial" w:hAnsi="Arial"/>
          <w:sz w:val="18"/>
          <w:szCs w:val="18"/>
          <w:color w:val="auto"/>
        </w:rPr>
        <w:t>Under the authorization of April 20, 2005 to issue 2,500,000 warrants, the Board of Directors has on June 21, 2006 issued warrants to subscribe for up to 604,000 of the Company’s shares, each with a nominal value of DKK 1 to members of the board of directors, managers and employees of the Company and its subsidiaries. The Board of Directors has at the same time resolved the necessary cash issue of shares in the amount of DKK 604,000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92"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Under the authorization of April 20, 2005 to issue 2,500,000 warrants, the Board of Directors has on September 19, 2006 issued warrants to subscribe for up to 146,550 of the Company’s shares, each with a nominal value of DKK 1 to employees of the Company and its subsidiaries. The Board of Directors has at the same time resolved the necessary cash issue of shares in the amount of DKK 146,550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6"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Under the authorization of April 20, 2005 to issue 2,500,000 warrants, the Board of Directors has on December 13, 2006 issued warrants to subscribe for up to 80,500 of the Company’s shares, each with a nominal value of DKK 1 to employees of the Company and its subsidiaries. The Board of Directors has at the same time resolved the necessary cash issue of shares in the amount of DKK 80,500 related to the warrants issued. All of these warrants have been exercised or have lapsed upon the termination of employees’ employment. The decisions of the Board of Directors are set out in schedule C to these Articles of Association and are an integral part of these articles.</w:t>
      </w:r>
    </w:p>
    <w:p>
      <w:pPr>
        <w:spacing w:after="0" w:line="188" w:lineRule="exact"/>
        <w:rPr>
          <w:sz w:val="20"/>
          <w:szCs w:val="20"/>
          <w:color w:val="auto"/>
        </w:rPr>
      </w:pPr>
    </w:p>
    <w:p>
      <w:pPr>
        <w:ind w:right="220" w:firstLine="1296"/>
        <w:spacing w:after="0" w:line="259" w:lineRule="auto"/>
        <w:rPr>
          <w:sz w:val="20"/>
          <w:szCs w:val="20"/>
          <w:color w:val="auto"/>
        </w:rPr>
      </w:pPr>
      <w:r>
        <w:rPr>
          <w:rFonts w:ascii="Arial" w:cs="Arial" w:eastAsia="Arial" w:hAnsi="Arial"/>
          <w:sz w:val="18"/>
          <w:szCs w:val="18"/>
          <w:color w:val="auto"/>
        </w:rPr>
        <w:t>Under the authorization of April 20, 2005 to issue 2,500,000 warrants, the Board of Directors has on April 19, 2007 issued warrants to subscribe for up to 372,400 of the Company’s shares, each with a nominal value of DKK 1 to members of the board of directors and employees of the Company and its subsidiaries. The Board of Directors has at the same time resolved the necessary cash issue of shares in the amount of DKK 372,400 related to the warrants issued.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0" w:name="page331"/>
    <w:bookmarkEnd w:id="330"/>
    <w:p>
      <w:pPr>
        <w:ind w:right="100"/>
        <w:spacing w:after="0" w:line="277" w:lineRule="auto"/>
        <w:rPr>
          <w:sz w:val="20"/>
          <w:szCs w:val="20"/>
          <w:color w:val="auto"/>
        </w:rPr>
      </w:pPr>
      <w:r>
        <w:rPr>
          <w:rFonts w:ascii="Arial" w:cs="Arial" w:eastAsia="Arial" w:hAnsi="Arial"/>
          <w:sz w:val="18"/>
          <w:szCs w:val="18"/>
          <w:color w:val="auto"/>
        </w:rPr>
        <w:t>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0"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Under the authorizations of April 20, 2005 to issue 2,500,000 warrants and of April 25, 2006 to issue 1,200,000 warrants, the Board of Directors has on June 27, 2007 issued warrants to subscribe for up to 826,045 of the Company’s shares, each with a nominal value of DKK 1 to members of the board of directors, managers and employees of the Company and its subsidiaries. The Board of Directors has at the same time resolved the necessary cash issue of shares in the amount of DKK 826,045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92"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Under the authorization of April 25, 2006 to issue 1,200,000 warrants, the Board of Directors has on October 4, 2007 issued warrants to subscribe for up to 188,900 of the Company’s shares, each with a nominal value of DKK 1 to employees of the Company and its subsidiaries. The Board of Directors has at the same time resolved the necessary cash issue of shares in the amount of DKK 188,900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76"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Under the authorization of April 25, 2006 to issue 1,200,000 warrants, the Board of Directors has on December 13, 2007 issued warrants to subscribe for up to 132,030 of the Company’s shares, each with a nominal value of DKK 1 to employees of the Company and its subsidiaries. The Board of Directors has at the same time resolved the necessary cash issue of shares in the amount of DKK 132,030 related to the warrants issued. All of these warrants have been exercised or have lapsed upon the termination of employees’ employment. The decisions of the Board of Directors are set out in schedule C to these Articles of Association and are an integral part of these articles.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Under the authorization of April 25, 2006 to issue 1,200,000 warrants, the Board of Directors has on April 24, 2008 issued warrants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1" w:name="page332"/>
    <w:bookmarkEnd w:id="331"/>
    <w:p>
      <w:pPr>
        <w:jc w:val="both"/>
        <w:ind w:right="240"/>
        <w:spacing w:after="0" w:line="301" w:lineRule="auto"/>
        <w:rPr>
          <w:sz w:val="20"/>
          <w:szCs w:val="20"/>
          <w:color w:val="auto"/>
        </w:rPr>
      </w:pPr>
      <w:r>
        <w:rPr>
          <w:rFonts w:ascii="Arial" w:cs="Arial" w:eastAsia="Arial" w:hAnsi="Arial"/>
          <w:sz w:val="16"/>
          <w:szCs w:val="16"/>
          <w:color w:val="auto"/>
        </w:rPr>
        <w:t>for up to 715,600 of the Company’s shares, each with a nominal value of DKK 1 to a manager and employees of the Company and its subsidiaries. The Board of Directors has at the same time resolved the necessary cash issue of shares in the amount of DKK 715,600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57"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Under the authorizations of April 25, 2006 to issue 1,200,000 warrants and of April 19, 2007 to issue 1,000,000 warrants, the Board of Directors has on June 4, 2008 issued warrants to subscribe for up to 231,500 of the Company’s shares, each with a nominal value of DKK 1 to a manager and employees of the Company and its subsidiaries. The Board of Directors has at the same time resolved the necessary cash issue of shares in the amount of DKK 231,500 related to the warrants issued. All of these warrants have been exercised; have lapsed upon the termination of employees’ employment or have lapsed as non-exercised. The decisions of the Board of Directors are set out in schedule C to these Articles of Association and are an integral part of these articles.</w:t>
      </w:r>
    </w:p>
    <w:p>
      <w:pPr>
        <w:spacing w:after="0" w:line="192"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Under the authorization of April 19, 2007 to issue 1,000,000 warrants, the Board of Directors has on October 8, 2008 issued warrants to subscribe for up to 505,250 of the Company’s shares, each with a nominal value of DKK 1 to members of the board of directors, managers and employees of the Company and its subsidiaries. The Board of Directors has at the same time resolved the necessary cash issue of shares in the amount of DKK 505,250 related to the warrants issued. All of these warrants have been exercised; have lapsed upon termination of employees’ employment or have lapsed as non-exercised. The decisions of the Board of Directors are set out in schedule C to these Articles of Association and are an integral part of these articles.</w:t>
      </w:r>
    </w:p>
    <w:p>
      <w:pPr>
        <w:spacing w:after="0" w:line="161" w:lineRule="exact"/>
        <w:rPr>
          <w:sz w:val="20"/>
          <w:szCs w:val="20"/>
          <w:color w:val="auto"/>
        </w:rPr>
      </w:pPr>
    </w:p>
    <w:p>
      <w:pPr>
        <w:ind w:right="20" w:firstLine="1296"/>
        <w:spacing w:after="0" w:line="279" w:lineRule="auto"/>
        <w:rPr>
          <w:sz w:val="20"/>
          <w:szCs w:val="20"/>
          <w:color w:val="auto"/>
        </w:rPr>
      </w:pPr>
      <w:r>
        <w:rPr>
          <w:rFonts w:ascii="Arial" w:cs="Arial" w:eastAsia="Arial" w:hAnsi="Arial"/>
          <w:sz w:val="17"/>
          <w:szCs w:val="17"/>
          <w:color w:val="auto"/>
        </w:rPr>
        <w:t>Under the authorization of April 19, 2007 to issue 1,000,000 warrants, the Board of Directors has on December 17, 2008 issued warrants to subscribe for up to 39,500 of the Company’s shares, each with a nominal value of DKK 1 to employees of the Company and its subsidiaries. The Board of Directors has at the same time resolved the necessary cash issue of shares in the amount of DKK 39,500 related to the warrants issued. 32,250 of these warrants had on November 20, 2018 been exercised and 3,250 had on September 30, 2018 lapsed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2" w:name="page333"/>
    <w:bookmarkEnd w:id="332"/>
    <w:p>
      <w:pPr>
        <w:ind w:right="140"/>
        <w:spacing w:after="0" w:line="277" w:lineRule="auto"/>
        <w:rPr>
          <w:sz w:val="20"/>
          <w:szCs w:val="20"/>
          <w:color w:val="auto"/>
        </w:rPr>
      </w:pPr>
      <w:r>
        <w:rPr>
          <w:rFonts w:ascii="Arial" w:cs="Arial" w:eastAsia="Arial" w:hAnsi="Arial"/>
          <w:sz w:val="18"/>
          <w:szCs w:val="18"/>
          <w:color w:val="auto"/>
        </w:rPr>
        <w:t>upon termination of employees’ employment. The decisions of the Board of Directors are set out in schedule C to these Articles of Association and are an integral part of these articles.</w:t>
      </w:r>
    </w:p>
    <w:p>
      <w:pPr>
        <w:spacing w:after="0" w:line="170"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Under the authorization of April 19, 2007 to issue 1,000,000 warrants, the Board of Directors has on April 15, 2009 issued warrants to subscribe for up to 70,450 of the Company’s shares, each with a nominal value of DKK 1 to employees of the Company and its subsidiaries. The Board of Directors has at the same time resolved the necessary cash issue of shares in the amount of DKK 70,450 related to the warrants issued. 62,250 of these warrants had on September 18, 2018 been exercised and 2,100 had on September 30, 2018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Under the authorizations of April 19, 2007 to issue 1,000,000 warrants and of April 23, 2008 to issue 1,500,000 warrants, the Board of Directors has on June 17, 2009 issued warrants to subscribe for up to 337,000 of the Company’s shares, each with a nominal value of DKK 1 to members of the board of directors, managers and employees of the Company and its subsidiaries. The Board of Directors has at the same time resolved the necessary cash issue of shares in the amount of DKK 337,000 related to the warrants issued. 307,000 of these warrants had on November 20, 2018 been exercised and 5,000 had on September 30, 2018 lapsed upon termination of employees’ employment. The decisions of the Board of Directors are set out in schedule C to these Articles of Association and are an integral part of these articles.</w:t>
      </w:r>
    </w:p>
    <w:p>
      <w:pPr>
        <w:spacing w:after="0" w:line="178" w:lineRule="exact"/>
        <w:rPr>
          <w:sz w:val="20"/>
          <w:szCs w:val="20"/>
          <w:color w:val="auto"/>
        </w:rPr>
      </w:pPr>
    </w:p>
    <w:p>
      <w:pPr>
        <w:ind w:right="20" w:firstLine="1296"/>
        <w:spacing w:after="0" w:line="296" w:lineRule="auto"/>
        <w:rPr>
          <w:sz w:val="20"/>
          <w:szCs w:val="20"/>
          <w:color w:val="auto"/>
        </w:rPr>
      </w:pPr>
      <w:r>
        <w:rPr>
          <w:rFonts w:ascii="Arial" w:cs="Arial" w:eastAsia="Arial" w:hAnsi="Arial"/>
          <w:sz w:val="16"/>
          <w:szCs w:val="16"/>
          <w:color w:val="auto"/>
        </w:rPr>
        <w:t>Under the authorization of April 23, 2008 to issue 1,500,000 warrants, the Board of Directors has on October 8, 2009 issued warrants to subscribe for up to 200,750 of the Company’s shares, each with a nominal value of DKK 1 to employees of the Company and its subsidiaries. The Board of Directors has at the same time resolved the necessary cash issue of shares in the amount of DKK 200,750 related to the warrants issued. 140,175 of these warrants had on May 15, 2018 been exercised and 55,500 had on September 30, 2018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Under the authorization of April 23, 2008 to issue 1,500,000 warrants, the Board of Directors has on December 9, 2009 issued warrants to subscribe for up to 12,500 of the Company’s shares, each with a nominal value of DKK 1 to employees of the Company and its subsidiaries. The Board of Directors has at the same time resolved the necessary cash issue of shares in the amount of DKK 12,500 related to the warrants issued. All of these warrants have been exercised or have lapsed upon termination of employees’ employment. The decisions of the Board of Directors are set out in schedule C to these Articles of Association and are an integral part of these articles.</w:t>
      </w:r>
    </w:p>
    <w:p>
      <w:pPr>
        <w:spacing w:after="0" w:line="188"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Under the authorization of April 23, 2008 to issue 1,500,000 warrants, the Board of Directors has on April 21, 2010 issued warrants to subscribe for up to 64,500 of the Company’s shares, each with a nominal value of DKK 1 to employees of the Company and its subsidiaries. The Board of Directors has at the same time resolved the necessary cash issue of shares in the amount of DKK 64,500 related to the warrants issued. 43,050 of these warrants had on February 28, 2018 been exercised and 16,000 had on September 30, 2018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ind w:right="120" w:firstLine="1296"/>
        <w:spacing w:after="0" w:line="255" w:lineRule="auto"/>
        <w:rPr>
          <w:sz w:val="20"/>
          <w:szCs w:val="20"/>
          <w:color w:val="auto"/>
        </w:rPr>
      </w:pPr>
      <w:r>
        <w:rPr>
          <w:rFonts w:ascii="Arial" w:cs="Arial" w:eastAsia="Arial" w:hAnsi="Arial"/>
          <w:sz w:val="18"/>
          <w:szCs w:val="18"/>
          <w:color w:val="auto"/>
        </w:rPr>
        <w:t>Under the authorization of April 23, 2008 to issue 1,500,000 warrants, the Board of Directors has on June 2, 2010 issued warrants to subscribe for up to 337,500 of the Company’s shares, each with a nominal value of DKK 1 to members of the board of directors, managers and employees of the Company and its subsidiaries. The Board of Directors has at the same time resolved the necessary cash issue of shares in the amount of DKK 337,500 related to the warrants issued. 246,125 of these warrants had May 15, 2018 been exercised and 6,375 had on September 30, 2018 lapsed upon termination of employees’ employment. The decisions of the Board of Directors are set out in schedule C to these Articles of Association and are an integral part of these articles.</w:t>
      </w:r>
    </w:p>
    <w:p>
      <w:pPr>
        <w:spacing w:after="0" w:line="192"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Under the authorization of April 23, 2008 to issue 1,500,000 warrants, the Board of Directors has on October 14, 2010 issued warrants to subscribe for up to 49,500 of the Company’s shares, each with a nominal value of DKK 1 to employees of the Company and its subsidiaries. The Board of Directors has at the same time resolved the necessary cash issue of shares in the amount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3" w:name="page334"/>
    <w:bookmarkEnd w:id="333"/>
    <w:p>
      <w:pPr>
        <w:ind w:right="60"/>
        <w:spacing w:after="0" w:line="263" w:lineRule="auto"/>
        <w:rPr>
          <w:sz w:val="20"/>
          <w:szCs w:val="20"/>
          <w:color w:val="auto"/>
        </w:rPr>
      </w:pPr>
      <w:r>
        <w:rPr>
          <w:rFonts w:ascii="Arial" w:cs="Arial" w:eastAsia="Arial" w:hAnsi="Arial"/>
          <w:sz w:val="18"/>
          <w:szCs w:val="18"/>
          <w:color w:val="auto"/>
        </w:rPr>
        <w:t>DKK 49,500 related to the warrants issued. 34,750 of these warrants had on February 28, 2017 been exercised and 11,500 had on September 30, 2018 lapsed upon termination of employees’ employment. The decisions of the Board of Directors are set out in schedule C to these Articles of Association and are an integral part of these articles.</w:t>
      </w:r>
    </w:p>
    <w:p>
      <w:pPr>
        <w:spacing w:after="0" w:line="184"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Under the authorization of April 23, 2008 to issue 1,500,000 warrants, the Board of Directors has on December 9, 2010 issued warrants to subscribe for up to 118,000 of the Company’s shares, each with a nominal value of DKK 1 to managers and employees of the Company and its subsidiaries. The Board of Directors has at the same time resolved the necessary cash issue of shares in the amount of DKK 118,000 related to the warrants issued. 73,750 of these warrants had on August 14, 2018 been exercised and 6,500 had on September 30, 2018 lapsed upon termination of employees’ employment. The decisions of the Board of Directors are set out in schedule C to these Articles of Association and are an integral part of these articles.</w:t>
      </w:r>
    </w:p>
    <w:p>
      <w:pPr>
        <w:spacing w:after="0" w:line="161" w:lineRule="exact"/>
        <w:rPr>
          <w:sz w:val="20"/>
          <w:szCs w:val="20"/>
          <w:color w:val="auto"/>
        </w:rPr>
      </w:pPr>
    </w:p>
    <w:p>
      <w:pPr>
        <w:ind w:right="160" w:firstLine="1296"/>
        <w:spacing w:after="0" w:line="255" w:lineRule="auto"/>
        <w:rPr>
          <w:sz w:val="20"/>
          <w:szCs w:val="20"/>
          <w:color w:val="auto"/>
        </w:rPr>
      </w:pPr>
      <w:r>
        <w:rPr>
          <w:rFonts w:ascii="Arial" w:cs="Arial" w:eastAsia="Arial" w:hAnsi="Arial"/>
          <w:sz w:val="18"/>
          <w:szCs w:val="18"/>
          <w:color w:val="auto"/>
        </w:rPr>
        <w:t>Under the authorization of April 23, 2008 to issue 1,500,000 warrants, the Board of Directors has on April 6, 2011 issued warrants to subscribe for up to 54,500 of the Company’s shares, each with a nominal value of DKK 1 to a member of the Board of Directors and to employees of the Company and its subsidiaries. The Board of Directors has at the same time resolved the necessary cash issue of shares in the amount of DKK 54,500 related to the warrants issued. 34,000 of these warrants had on June 27, 2017 been exercised and 12,000 had on September 30, 2018 lapsed upon termination of employees’ employment. The decisions of the Board of Directors are set out in schedule C to these Articles of Association and are an integral part of these articles.</w:t>
      </w:r>
    </w:p>
    <w:p>
      <w:pPr>
        <w:spacing w:after="0" w:line="192"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Under the authorization of April 23, 2008 to issue 1,500,000 warrants, the Board of Directors has on June 22, 2011 issued warrants to subscribe for up to 347,000 of the Company’s shares, each with a nominal value of DKK 1 to members of the Board of Directors, managers and employees of the Company and its subsidiaries. The Board of Directors has at the same time resolved the necessary cash issue of shares in the amount of DKK 347,000 related to the warrants issued. 248,775 of these warrants had on February 28, 2018 been exercised and 12,250 had on September 30, 2018 lapsed upon termination of employees’ employment.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t>The decisions of the Board of Directors are set out in schedule C to these Articles of Association and are an integral part of these articles.</w:t>
      </w:r>
    </w:p>
    <w:p>
      <w:pPr>
        <w:spacing w:after="0" w:line="225"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Under the authorization of April 23, 2008 to issue 1,500,000 warrants, the Board of Directors has on October 14, 2011 issued warrants to subscribe for up to 47,750 of the Company’s shares, each with a nominal value of DKK 1 to employees of the Company and its subsidiaries. The Board of Directors has at the same time resolved the necessary cash issue of shares in the amount of DKK 47,750 related to the warrants issued. 40,225 of these warrants had on September 26, 2017 been exercised. The decisions of the Board of Directors are set out in schedule C to these Articles of Association and are an integral part of these articles.</w:t>
      </w:r>
    </w:p>
    <w:p>
      <w:pPr>
        <w:spacing w:after="0" w:line="188"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Under the authorization of April 23, 2008 to issue 1,500,000 warrants, the Board of Directors has on December 8, 2011 issued warrants to subscribe for up to 3,750 of the Company’s shares, each with a nominal value of DKK 1 to employees of the Company and its subsidiaries. The Board of Directors has at the same time resolved the necessary cash issue of shares in the amount of DKK 3,750 related to the warrants issued. All of these warrants have been exercised. The decisions of the Board of Directors are set out in schedule C to these Articles of Association and are an integral part of these articles.</w:t>
      </w:r>
    </w:p>
    <w:p>
      <w:pPr>
        <w:spacing w:after="0" w:line="188"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Under the authorization of April 23, 2008 to issue 1,500,000 warrants, as amended by the General Meeting on April 25, 2012, the Board of Directors has on April 25, 2012 issued warrants to subscribe for up to 27,000 of the Company’s shares, each with a nominal value of DKK 1 to employees of the Company and its subsidiaries. The Board of Directors has at the same time resolved the necessary cash issue of shares in the amount of DKK 27,000 related to the warrants issued. 24,500 of these warrants had on February 28, 2017 been exercised and 1,500 had on September 30, 2018 lapsed upon termination of employees’ employment. The decisions of the Board of Directors are set out in schedule D to these Articles of Association and are an integral part of these articles.</w:t>
      </w:r>
    </w:p>
    <w:p>
      <w:pPr>
        <w:spacing w:after="0" w:line="192"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Under the authorization of April 23, 2008 to issue 1,500,000 warrants, as amended by the General Meeting on April 25, 2012, the Board of Directors has on October 9, 2012 issued warrants to subscribe for up to 31,500 of the Company’s shares, each with a nominal value of DKK 1 to employees of the Company and its subsidiaries. The Board of Directors has at the same time resolved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5" w:name="page336"/>
    <w:bookmarkEnd w:id="335"/>
    <w:p>
      <w:pPr>
        <w:ind w:right="40"/>
        <w:spacing w:after="0" w:line="259" w:lineRule="auto"/>
        <w:rPr>
          <w:sz w:val="20"/>
          <w:szCs w:val="20"/>
          <w:color w:val="auto"/>
        </w:rPr>
      </w:pPr>
      <w:r>
        <w:rPr>
          <w:rFonts w:ascii="Arial" w:cs="Arial" w:eastAsia="Arial" w:hAnsi="Arial"/>
          <w:sz w:val="18"/>
          <w:szCs w:val="18"/>
          <w:color w:val="auto"/>
        </w:rPr>
        <w:t>the necessary cash issue of shares in the amount of DKK 31,500 related to the warrants issued. 20,000 of these warrants had on June 27, 2017 been exercised and 6,500 had on September 30, 2018 lapsed upon termination of employees’ employment. Of the lapsed warrants, 2,000 have been re-issued on January 31, 2013 as set out in this Schedule A. The decisions of the Board of Directors are set out in schedule D to these Articles of Association and are an integral part of these articles.</w:t>
      </w:r>
    </w:p>
    <w:p>
      <w:pPr>
        <w:spacing w:after="0" w:line="187"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Under the authorizations of April 23, 2008 to issue 1,500,000 warrants, as amended by the General Meeting on April 25, 2012, and of April 25, 2012 to issue 250,000 warrants, the Board of Directors has on December 5, 2012 issued warrants to subscribe for up to 325,000 of the Company’s shares, each with a nominal value of DKK 1 to members of the board of directors, managers and employees of the Company and its subsidiaries. The Board of Directors has at the same time resolved the necessary cash issue of shares in the amount of DKK 325,000 related to the warrants issued. 175,250 of these warrants had on April 3, 2018 been exercised and 38,000 had on September 30, 2018 lapsed upon termination of employees’ employment. Of the lapsed warrants, 3,000 have been re-issued on June 12, 2013, 32,500 have been re-issued on October 10, 2013, 500 have been re-issued on December 6, 2013, 1,500 have been re-issued on December 15, 2014 and 500 have been re-issued on June 9, 2016 as set out in this Schedule A. The decisions of the Board of Directors are set out in schedule D to these Articles of Association and are an integral part of these articles.</w:t>
      </w:r>
    </w:p>
    <w:p>
      <w:pPr>
        <w:spacing w:after="0" w:line="165" w:lineRule="exact"/>
        <w:rPr>
          <w:sz w:val="20"/>
          <w:szCs w:val="20"/>
          <w:color w:val="auto"/>
        </w:rPr>
      </w:pPr>
    </w:p>
    <w:p>
      <w:pPr>
        <w:jc w:val="both"/>
        <w:ind w:right="100" w:firstLine="1296"/>
        <w:spacing w:after="0" w:line="293" w:lineRule="auto"/>
        <w:rPr>
          <w:sz w:val="20"/>
          <w:szCs w:val="20"/>
          <w:color w:val="auto"/>
        </w:rPr>
      </w:pPr>
      <w:r>
        <w:rPr>
          <w:rFonts w:ascii="Arial" w:cs="Arial" w:eastAsia="Arial" w:hAnsi="Arial"/>
          <w:sz w:val="16"/>
          <w:szCs w:val="16"/>
          <w:color w:val="auto"/>
        </w:rPr>
        <w:t>Under the authorizations of April 23, 2008 to issue 1,500,000 warrants, as amended by the General Meeting on April 25, 2012, and of April 25, 2012 to issue 250,000 warrants, the Board of Directors has on January 31, 2013 issued warrants to subscribe for up to 4,250 of the Company’s shares, each with a nominal value of DKK 1 to employees of the Company and its subsidiaries. The Board of Directors has at the same time resolved the necessary cash issue of shares in the amount of DKK 4,250 related to the warrants issued. 1,625 of these warrants had on August 14, 2018 been exercised and 1,250 had on September 30, 2018 lapsed upon termination of employees’ employment. Of the lapsed warrants, 1,000 have been re-issued on April 17, 2013 and 250 have been re-issued on June 9, 2016 as set out in this Schedule A. The decisions of the Board of Directors are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t>set out in schedule D to these Articles of Association and are an integral part of these articles.</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Under the authorizations of April 23, 2008 to issue 1,500,000 warrants, as amended by the General Meeting on April 25, 2012, of April 25, 2012 to issue 250,000 warrants and of April 17, 2013 to issue 600,000 warrants, the Board of Directors has on April 17, 2013 issued warrants to subscribe for up to 28,000 of the Company’s shares, each with a nominal value of DKK 1 to a member of the Board of Directors and to an employee of the Company’s subsidiary. The Board of Directors has at the same time resolved the necessary cash issue of shares in the amount of DKK 28,000 related to the warrants issued. 20,250 of these warrants had on July 3, 2018 been exercised. The decisions of the Board of Directors are set out in schedule D to these Articles of Association and are an integral part of these articles.</w:t>
      </w:r>
    </w:p>
    <w:p>
      <w:pPr>
        <w:spacing w:after="0" w:line="192"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Under the authorization of April 25, 2012 to issue 250,000 warrants, the Board of Directors has on June 12, 2013 issued warrants to subscribe for up to 3,000 of the Company’s shares, each with a nominal value of DKK 1 to an employee of the Company’s subsidiary. The Board of Directors has at the same time resolved the necessary cash issue of shares in the amount of DKK 3,000 related to the warrants issued. 2,000 of these warrants had on September 18, 2018 been exercised. The decisions of the Board of Directors are set out in schedule D to these Articles of Association and are an integral part of these articles.</w:t>
      </w:r>
    </w:p>
    <w:p>
      <w:pPr>
        <w:spacing w:after="0" w:line="188"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Under the authorization of April 25, 2012 to issue 250,000 warrants, the Board of Directors has on October 10, 2013 issued warrants to subscribe for up to 32,500 of the Company’s shares, each with a nominal value of DKK 1 to employees of the Company and its subsidiary. The Board of Directors has at the same time resolved the necessary cash issue of shares in the amount of DKK 32,500 related to the warrants issued. 20,525 of these warrants had on August 14, 2018 been exercised and 4,125 had on September 30, 2018 lapsed upon termination of employees’ employment. Of the lapsed warrants, 3,000 have been re-issued on December 15, 2014 and 1,125 have been re-issued on December 10, 2015 as set out in this Schedule A. The decisions of the Board of Directors are set out in schedule D to these Articles of Association and are an integral part of these articles.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7" w:name="page338"/>
    <w:bookmarkEnd w:id="337"/>
    <w:p>
      <w:pPr>
        <w:ind w:firstLine="1296"/>
        <w:spacing w:after="0" w:line="254" w:lineRule="auto"/>
        <w:rPr>
          <w:sz w:val="20"/>
          <w:szCs w:val="20"/>
          <w:color w:val="auto"/>
        </w:rPr>
      </w:pPr>
      <w:r>
        <w:rPr>
          <w:rFonts w:ascii="Arial" w:cs="Arial" w:eastAsia="Arial" w:hAnsi="Arial"/>
          <w:sz w:val="18"/>
          <w:szCs w:val="18"/>
          <w:color w:val="auto"/>
        </w:rPr>
        <w:t>Under the authorizations of April 25, 2012 to issue 250,000 warrants and of April 17, 2013 to issue 600,000 warrants, the Board of Directors has on December 6, 2013 issued warrants to subscribe for up to 428,500 of the Company’s shares, each with a nominal value of DKK 1 to members of the Board of Directors, managers and employees of the Company and its subsidiaries. The Board of Directors has at the same time resolved the necessary cash issue of shares in the amount of DKK 428,500 related to the warrants issued. 240,448 of these warrants had on November 20, 2018 been exercised and 13,000 had on September 30, 2018 lapsed upon termination of employees’ employment. Of the lapsed warrants, 5,000 have been re-issued on December 15, 2014, 750 have been re-issued on October 7, 2015, 2,250 have been re-issued on December 10, 2015 and 5,000 have been re-issued on June 9, 2016 as set out in this Schedule A. The decisions of the Board of Directors are set out in schedule D to these Articles of Association and are an integral part of these articles.</w:t>
      </w:r>
    </w:p>
    <w:p>
      <w:pPr>
        <w:spacing w:after="0" w:line="192"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Under the authorization of April 17, 2013 to issue 600,000 warrants, the Board of Directors has on February 10, 2014 issued warrants to subscribe for up to 14,750 of the Company’s shares, each with a nominal value of DKK 1 to employees of the Company and its subsidiary. The Board of Directors has at the same time resolved the necessary cash issue of shares in the amount of DKK 14,750 related to the warrants issued. 11,662 of these warrants had on September 18, 2018 been exercised. The decisions of the Board of Directors are set out in schedule D to these Articles of Association and are an integral part of these articles.</w:t>
      </w:r>
    </w:p>
    <w:p>
      <w:pPr>
        <w:spacing w:after="0" w:line="188" w:lineRule="exact"/>
        <w:rPr>
          <w:sz w:val="20"/>
          <w:szCs w:val="20"/>
          <w:color w:val="auto"/>
        </w:rPr>
      </w:pPr>
    </w:p>
    <w:p>
      <w:pPr>
        <w:ind w:right="100" w:firstLine="1296"/>
        <w:spacing w:after="0" w:line="293" w:lineRule="auto"/>
        <w:rPr>
          <w:sz w:val="20"/>
          <w:szCs w:val="20"/>
          <w:color w:val="auto"/>
        </w:rPr>
      </w:pPr>
      <w:r>
        <w:rPr>
          <w:rFonts w:ascii="Arial" w:cs="Arial" w:eastAsia="Arial" w:hAnsi="Arial"/>
          <w:sz w:val="16"/>
          <w:szCs w:val="16"/>
          <w:color w:val="auto"/>
        </w:rPr>
        <w:t>Under the authorization of April 17, 2013 to issue 600,000 warrants, the Board of Directors has on April 9, 2014 issued warrants to subscribe for up to 8,000 of the Company’s shares, each with a nominal value of DKK 1 to employees of the Company and one of the Company’s subsidiaries. The Board of Directors has at the same time resolved the necessary cash issue of shares in the amount of DKK 8,000 related to the warrants issued. 7,000 of these warrants had on September 18, 2018 been exercised and 1,000 had on September 30, 2018 lapsed upon termination of employees’ employment. The decisions of the Board of Directors are set out in schedule D to these Articles of Association and are an integral part of these articles. Of the lapsed warrants, 1,000 have been re-issued on March 28, 2017 as set out in this Schedule A. The decisions of the Board of Directors are set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t>out in schedule E to these Articles of Association and are an integral part of these articles.</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Under the authorization of April 17, 2013 to issue 600,000 warrants, the Board of Directors has on June 12, 2014 issued warrants to subscribe for up to 17,000 of the Company’s shares, each with a nominal value of DKK 1 to employees of the Company and one of the Company’s subsidiaries. The Board of Directors has at the same time resolved the necessary cash issue of shares in the amount of DKK 17,000 related to the warrants issued. 7,525 of these warrants had on November 20, 2018 been exercised and 1,500 had on September 30, 2018 lapsed upon termination of employees’ employment. The decisions of the Board of Directors are set out in schedule D to these Articles of Association and are an integral part of these articles. Of the lapsed warrants, 1,500 have been re-issued on June 8, 2017 as set out in this Schedule A. The decisions of the Board of Directors are set out in schedule E to these Articles of Association and are an integral part of these articles.</w:t>
      </w:r>
    </w:p>
    <w:p>
      <w:pPr>
        <w:spacing w:after="0" w:line="177" w:lineRule="exact"/>
        <w:rPr>
          <w:sz w:val="20"/>
          <w:szCs w:val="20"/>
          <w:color w:val="auto"/>
        </w:rPr>
      </w:pPr>
    </w:p>
    <w:p>
      <w:pPr>
        <w:jc w:val="both"/>
        <w:ind w:right="160" w:firstLine="1296"/>
        <w:spacing w:after="0" w:line="287" w:lineRule="auto"/>
        <w:rPr>
          <w:sz w:val="20"/>
          <w:szCs w:val="20"/>
          <w:color w:val="auto"/>
        </w:rPr>
      </w:pPr>
      <w:r>
        <w:rPr>
          <w:rFonts w:ascii="Arial" w:cs="Arial" w:eastAsia="Arial" w:hAnsi="Arial"/>
          <w:sz w:val="16"/>
          <w:szCs w:val="16"/>
          <w:color w:val="auto"/>
        </w:rPr>
        <w:t>Under the authorization of April 17, 2013 to issue 600,000 warrants, the Board of Directors has on October 15, 2014 issued warrants to subscribe for up to 57,750 of the Company’s shares, each with a nominal value of DKK 1 to employees of the Company and the Company’s subsidiaries. The Board of Directors has at the same time resolved the necessary cash issue of shares in the amount of DKK 57,750 related to the warrants issued.</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22,762 of these warrants had on August 14, 2018 been exercised and 1,188 had on September 30, 2018 lapsed upon termination of employees’ employment. Of the lapsed warrants, 1,000 have been re-issued on June 11, 2015 as set out in this Schedule A. The decisions of the Board of Directors are set out in schedule D to these Articles of Association and are an integral part of these articles.</w:t>
      </w:r>
    </w:p>
    <w:p>
      <w:pPr>
        <w:spacing w:after="0" w:line="190"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Under the authorizations of April 25, 2012 to issue 250,000 warrants, of April 17, 2013 to issue 600,000 warrants and of April 9, 2014 to issue 500,000 warrants, the Board of Directors has on December 15, 2014 issued warrants to subscribe for up to 157,525 of the Company’s shares, each with a nominal value of DKK 1 to managers and employees of the Company and the Company’s subsidiaries. The Board of Directors has at the same time resolved the necessary cash issue of shares in the amount of DKK 157,525 related to the warrants issued. 61,455 of these warrants had on November 20, 2018 been exercised and 5,125 had on September 30, 2018 lapsed upon termination of employees’ employment. 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9" w:name="page340"/>
    <w:bookmarkEnd w:id="339"/>
    <w:p>
      <w:pPr>
        <w:ind w:right="80"/>
        <w:spacing w:after="0" w:line="259" w:lineRule="auto"/>
        <w:rPr>
          <w:sz w:val="20"/>
          <w:szCs w:val="20"/>
          <w:color w:val="auto"/>
        </w:rPr>
      </w:pPr>
      <w:r>
        <w:rPr>
          <w:rFonts w:ascii="Arial" w:cs="Arial" w:eastAsia="Arial" w:hAnsi="Arial"/>
          <w:sz w:val="18"/>
          <w:szCs w:val="18"/>
          <w:color w:val="auto"/>
        </w:rPr>
        <w:t>the lapsed warrants, 1,250 have been re-issued on October 7, 2015 and 2,750 have been re-issued on December 10, 2015 as set out in this Schedule A. The decisions of the Board of Directors are set out in schedule D to these Articles of Association and are an integral part of these articles. Of the lapsed warrants, additionally 625 have been re-issued on April 10, 2018 as set out in this Schedule A. The decisions of the Board of Directors are set out in schedule E to these Articles of Association.</w:t>
      </w:r>
    </w:p>
    <w:p>
      <w:pPr>
        <w:spacing w:after="0" w:line="187"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Under the authorization of April 9, 2014 to issue 500,000 warrants, the Board of Directors has on March 26, 2015 issued warrants to subscribe for up to 22,050 of the Company’s shares, each with a nominal value of DKK 1 to employees of the Company and the Company’s subsidiaries. The Board of Directors has at the same time resolved the necessary cash issue of shares in the amount of DKK 22,050 related to the warrants issued. 8,502 of these warrants had on November 20, 2018 been exercised and 2,487 had on September 30, 2018 lapsed upon termination of employees’ employment. Of the lapsed warrants, 525 have been re-issued on June 9, 2016 as set out in this Schedule A. The decisions of the Board of Directors are set out in schedule D to these Articles of Association and are an integral part of these articles. Of the lapsed warrants, additionally 262 have been re-issued on March 28, 2017 and 1,700 have been re-issued on April 10, 2018 as set out in this Schedule A. The decisions of the Board of Directors are set out in schedule E to these Articles of Association and are an integral part of these articles.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authorizations of April 17, 2013 to issue 600,000 warrants and of April 9, 2014 to issue 500,000 warrants, the Board of Directors has on June 11, 2015 issued warrants to subscribe for up to 11,100 of the Company’s shares, each with a nominal value of DKK 1 to employees of the Company and one of the Company’s subsidiaries. The Board of Directors has at the same time resolved the necessary cash issue of shares in the amount of DKK 11,100 related to the warrants issued. 4,075 of these warrants had on May 15, 2018 been exercised and 675 had on September 30, 2018 lapsed upon termination of employees’ employment. The decisions of the Board of Directors are set out in schedule D to these Articles of Association and are an integral part of these articles. Of the lapsed warrants, 675 have been re-issued on December 15, 2017 as set out in this Schedule A. The decisions of the Board of Directors are set out in schedule E to these Articles of Association and are an integral part of these articles.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0" w:name="page341"/>
    <w:bookmarkEnd w:id="340"/>
    <w:p>
      <w:pPr>
        <w:ind w:right="20" w:firstLine="648"/>
        <w:spacing w:after="0" w:line="290" w:lineRule="auto"/>
        <w:rPr>
          <w:sz w:val="20"/>
          <w:szCs w:val="20"/>
          <w:color w:val="auto"/>
        </w:rPr>
      </w:pPr>
      <w:r>
        <w:rPr>
          <w:rFonts w:ascii="Arial" w:cs="Arial" w:eastAsia="Arial" w:hAnsi="Arial"/>
          <w:sz w:val="16"/>
          <w:szCs w:val="16"/>
          <w:color w:val="auto"/>
        </w:rPr>
        <w:t>Under the authorizations of April 17, 2013 to issue 600,000 warrants and of April 9, 2014 to issue 500,000 warrants, the Board of Directors has on October 7, 2015 issued warrants to subscribe for up to 41,000 of the Company’s shares, each with a nominal value of DKK 1 to employees of the Company and the Company’s subsidiaries. The Board of Directors has at the same time resolved the necessary cash issue of shares in the amount of DKK 41,000 related to the warrants issued. 10,250 of these warrants had on November 20, 2018 been exercised and 6,250 had on September 30, 2018 lapsed upon termination of employees’ employment. Of the lapsed warrants, 1,000 have been re-issued on October 6, 2016 as set out in this Schedule A. The decisions of the Board of Directors are set out in schedule D to these Articles of Association and are an integral part of these articles. Of the lapsed warrants, additionally 2,250 have been re-issued on March 28, 2017 and 3,000 have been re-issued on December 15, 2017 as set out in this Schedule A. The decisions of the Board of Directors are set out in schedule E to these Articles of Association and are an integral part of these articles.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the authorizations of April 25, 2012 to issue 250,000 warrants, of April 17, 2013 to issue 600,000 warrants and of April 9, 2014 to issue 500,000 warrants, the Board of Directors has on December 10, 2015 issued warrants to subscribe for up to 101,750 of the Company’s shares, each with a nominal value of DKK 1 to employees of the Company and the Company’s subsidiaries. The Board of Directors has at the same time resolved the necessary cash issue of shares in the amount of DKK 101,750 related to the warrants issued. 15,127 of these warrants had on August 14, 2018 been exercised and 5,062 had on September 30, 2018 lapsed upon termination of employees’ employment. Of the lapsed warrants, 500 have been re-issued on June 9, 2016 as set out in this Schedule A. The decisions of the Board of Directors are set out in schedule D to these Articles of Association and are an integral part of these articles. Of the lapsed warrants, additionally 1,500 have been re-issued on March 28, 2017, 1,687 have been re-issued on June 8, 2017, 250 have been re-issued on April 10, 2018 and 1,125 have been re-issued on December 10, 2018 as set out in this Schedule A. The decisions of the Board of Directors are set out in schedule E to these Articles of Association and are an integral part of these articles.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authorization of April 9, 2014 to issue 500,000 warrants, the Board of Directors has on March 17, 2016 issued warrants to subscribe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1" w:name="page342"/>
    <w:bookmarkEnd w:id="341"/>
    <w:p>
      <w:pPr>
        <w:spacing w:after="0" w:line="293" w:lineRule="auto"/>
        <w:rPr>
          <w:sz w:val="20"/>
          <w:szCs w:val="20"/>
          <w:color w:val="auto"/>
        </w:rPr>
      </w:pPr>
      <w:r>
        <w:rPr>
          <w:rFonts w:ascii="Arial" w:cs="Arial" w:eastAsia="Arial" w:hAnsi="Arial"/>
          <w:sz w:val="16"/>
          <w:szCs w:val="16"/>
          <w:color w:val="auto"/>
        </w:rPr>
        <w:t>24,350 of the Company’s shares, each with a nominal value of DKK 1 to employees of the Company and one of the Company’s subsidiaries. The Board of Directors has at the same time resolved the necessary cash issue of shares in the amount of DKK 24,350 related to the warrants issued. 2,788 of these warrants had on May 15, 2018 been exercised and 4,725 had on September 30, 2018 lapsed upon termination of employees’ employment. The decisions of the Board of Directors are set out in schedule D to these Articles of Association and are an integral part of these articles. Of the lapsed warrants, 2,037 have been re-issued on June 8, 2017, 663 have been re-issued on October 5, 2017 and 2,025 have been re-issued on April 10, 2018 as set out in this Schedule A. The decisions of the Board of Directors are set out in schedule E to these Articles of Association and are an integral part of these articles.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authorizations of April 25, 2012 to issue 250,000 warrants, of April 17, 2013 to issue 600,000 warrants and of April 9, 2014 to issue</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500,000 warrants, the Board of Directors has on June 9, 2016 issued warrants to subscribe for up to 16,800 of the Company’s shares, each with a nominal value of DKK 1 to employees of the Company and one of the Company’s subsidiaries. The Board of Directors has at the same time resolved the necessary cash issue of shares in the amount of DKK 16,800 related to the warrants issued. 1,350 of these warrants had on July 3, 2018 been exercised and 1,012 had on September 30, 2018 lapsed upon termination of employees’ employment. The decisions of the Board of Directors are set out in schedule D to these Articles of Association and are an integral part of these articles. Of the lapsed warrants, 1,012 have been re-issued on June 7, 2018 as set out in this Schedule A. The decisions of the Board of Directors are set out in schedule E to these Articles of Association and are an integral part of these articles.</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authorization of April 9, 2014 to issue 500,000 warrants, the Board of Directors has on October 6, 2016 issued warrants to subscribe for up to 19,450 of the Company’s shares, each with a nominal value of DKK 1 to employees of the Company and one of the Company’s subsidiaries. The Board of Directors has at the same time resolved the necessary cash issue of shares in the amount of DKK 19,450 related to the warrants issued. None of these warrants to subscribe shares have been exercised. The decisions of the Board of Directors are set out in schedule D to these Articles of Association and are an integral part of these articles.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authorization of April 9, 2014 to issue 500,000 warrants, the Board of Directors has on December 15, 2016 issued warrants to subscribe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up to 89,465 of the Company’s shares, each with a nominal value of DKK 1 to managers and employees of the Company and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The Board of Directors has at the same time resolved the necessary cash issue of shares in the amount of DKK 89,465 related to the warrants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133 of these warrants had on April 3, 2018 been exercised and 2,253 had on September 30, 2018 lapsed upon termination of employees’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employment. The decisions of the Board of Directors are set out in schedule D to these Articles of Association and are an integral part of these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lapsed warrants, 482 have been re-issued on October 5, 2017, 1,236 have been re-issued on April 10, 2018 and 535 have been re-issued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10, 2018 as set out in this Schedule A. The decisions of the Board of Directors are set out in schedule E to these Articles of Association and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integral part of these articles.</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Under the authorization of April 9, 2014 to issue 500,000 warrants, the Board of Directors has on February 10, 2017 issued warrants to subscribe for up to 1,976 of the Company’s shares, each with a nominal value of DKK 1 to employees of the Company and one of the Company’s subsidiaries. The Board of Directors has at the same time resolved the necessary cash issue of shares in the amount of DKK 1,976 related to the warrants issued. None of these warrants to subscribe shares have been exercised, but 370 had on September 30, 2018 lapsed upon termination of employees’ employment. The decisions of the Board of Directors are set out in schedule D to these Articles of Association and are an integral part of these articles. Of the lapsed warrants, 73 have been re-issued on December 15, 2017 and additionally 297 have been re-issued on September 21, 2018 as set out in this Schedule A. The decisions of the Board of Directors are set out in schedule E to these Articles of Association and are an integral part of these articles.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the authorizations of April 17, 2013 to issue 600,000 warrants and of April 9, 2014 to issue 500,000 warrants, the Board of Directors has on March 28, 2017 issued warrants to subscribe for up to 8,736 of the Company’s shares, each with a nominal value of DKK 1 to employees of the Company and the Company’s subsidiaries. The Board of Directors has at the same time resolved the necessary cash issue of shares in the amount of DKK 8,736 related to the warrants issued. None of these warrants to subscribe shares have been exercised. The decisions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t>the Board of Directors are set out in schedule E to these Articles of Association and are an integral part of these articles.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Under the authorization of April 9, 2014 to issue 500,000 warrants, the Board of Directors has on March 29, 2017 issued warrants to subscribe for up to 8,400 of the Company’s shares, each with a nominal value of DKK 1 to a manager of the Company. The Board of Directors has at the same time resolved the necessary cash issue of shares in the amount of DKK 8,400 related to the warrants issued. None of these warrants to subscribe shares have been exercised. The decisions of the Board of Directors are set out in schedule E to these Articles of Association and are an integral part of these articles.</w:t>
      </w:r>
    </w:p>
    <w:p>
      <w:pPr>
        <w:spacing w:after="0" w:line="15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authorizations of April 17, 2013 to issue 600,000 warrants and of April 9, 2014 to issue 500,000 warrants, the Board of Directors has on June 8, 2017 re-issued warrants (respectively 1,500 and 3,724 warrants under the authorizations) to subscribe for up to 5,224 of the Company’s shares, each with a nominal value of DKK 1 to employees of the Company and of two of the Company’s subsidiaries. The Board of Directors has at the same time resolved the necessary cash issue of shares in the amount of DKK 5,224 related to the re-issued warrants. None of these warrants to subscribe for shares have been exercised. The decisions of the Board of Directors are set out in schedule E to these Articles of Association and are an integral part of these articles.</w:t>
      </w:r>
    </w:p>
    <w:p>
      <w:pPr>
        <w:spacing w:after="0" w:line="19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None of these warrants to subscribe for shares have been exercised, but 778 had on September 30, 2018 lapsed upon termination of employees’ employment. The decisions of the Board of Directors are set out in schedule E to these Articles of Association and are an integral part of these articles. Of the lapsed warrants 778 have been re-issued on September 21, 2018 as set out in this Schedule A.</w:t>
      </w:r>
    </w:p>
    <w:p>
      <w:pPr>
        <w:spacing w:after="0" w:line="1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 the authorizations of April 9, 2014 to issue 500,000 warrants and of March 28, 2017 to issue 500,000 warrants, the Board of Directors has on December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3" w:name="page344"/>
    <w:bookmarkEnd w:id="343"/>
    <w:p>
      <w:pPr>
        <w:spacing w:after="0" w:line="254" w:lineRule="auto"/>
        <w:rPr>
          <w:sz w:val="20"/>
          <w:szCs w:val="20"/>
          <w:color w:val="auto"/>
        </w:rPr>
      </w:pPr>
      <w:r>
        <w:rPr>
          <w:rFonts w:ascii="Arial" w:cs="Arial" w:eastAsia="Arial" w:hAnsi="Arial"/>
          <w:sz w:val="18"/>
          <w:szCs w:val="18"/>
          <w:color w:val="auto"/>
        </w:rPr>
        <w:t>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None of these warrants to subscribe for shares have been exercised, but 5,457 had on September 30, 2018 lapsed upon termination of employees’ employment. Of the lapsed warrants 314 have been re-issued on April 10, 2018, 3,398 have been re-issued on September 21, 2018 and 1,745 have been re-issued on December 10, 2018 as set out in this Schedule A. The decisions of the Board of Directors are set out in schedule E to these Articles of Association and are an integral part of these articles.</w:t>
      </w:r>
    </w:p>
    <w:p>
      <w:pPr>
        <w:spacing w:after="0" w:line="19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Under the authorizations of April 9, 2014 to issue 500,000 warrants and of March 28, 2017 to issue 500,000 warrants, the Board of Directors has on April 10, 2018 re-issued 6,150 warrants and issued 8,804 warrants to subscribe for up to 14,954 of the Company’s shares, each with a nominal value of DKK 1 to employees of the Company and of two of the Company’s subsidiaries. The Board of Directors has at the same time resolved the necessary cash issue of shares in the amount of DKK 14,954 related to the issued warrants. None of these warrants to subscribe for shares have been exercised. The decisions of the Board of Directors are set out in schedule E to these Articles of Association and are an integral part of these articles.</w:t>
      </w:r>
    </w:p>
    <w:p>
      <w:pPr>
        <w:spacing w:after="0" w:line="161"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None of these warrants to subscribe for shares have been exercised. The decisions of the Board of Directors are set out in schedule E to these Articles of Association and are an integral part of these articles.</w:t>
      </w:r>
    </w:p>
    <w:p>
      <w:pPr>
        <w:spacing w:after="0" w:line="16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Under the authorizations of April 9, 2014 to issue 500,000 warrants and of March 28, 2017 to issue 500,000 warrants, the Board of Directors has on September 21, 2018 re-issued 4,473 warrants and issued 28,753 warrants to subscribe for up to 33,226 of the Company’s shares, each with a nominal value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4" w:name="page345"/>
    <w:bookmarkEnd w:id="344"/>
    <w:p>
      <w:pPr>
        <w:ind w:right="20"/>
        <w:spacing w:after="0" w:line="311" w:lineRule="auto"/>
        <w:rPr>
          <w:sz w:val="20"/>
          <w:szCs w:val="20"/>
          <w:color w:val="auto"/>
        </w:rPr>
      </w:pPr>
      <w:r>
        <w:rPr>
          <w:rFonts w:ascii="Arial" w:cs="Arial" w:eastAsia="Arial" w:hAnsi="Arial"/>
          <w:sz w:val="16"/>
          <w:szCs w:val="16"/>
          <w:color w:val="auto"/>
        </w:rPr>
        <w:t>DKK 1 to employees of the Company and of two of the Company’s subsidiaries. The Board of Directors has at the same time resolved the necessary cash issue of shares in the amount of DKK 33,226 related to the issued warrants. None of these warrants to subscribe for shares have been exercised. The decisions of the Board of Directors are set out in schedule E to these Articles of Association and are an integral part of these articles.</w:t>
      </w:r>
    </w:p>
    <w:p>
      <w:pPr>
        <w:spacing w:after="0" w:line="1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None of these warrants to subscribe for shares have been exercised. The decisions of the Board of Directors are set out in schedule E to these Articles of Association and are an integral part of these articles.</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[DELETED BY DECISION BY THE GENERAL MEETING ON APRIL 15, 2009]</w:t>
      </w: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color w:val="auto"/>
        </w:rPr>
        <w:t>Schedule C</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Under the authorizations by the General Meeting of April 24, 2003, April 1, 2004, April 20, 2005, April 25, 2006, April 19, 2007 and April 23, 2008 the Board of Directors has as of December 8, 2011 granted warrants to subscribe for shares in the Company as follows: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 and consultants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Board of Directors issued on August 3, 2004 615,550 warrants with the right to subscribe 615,550 ordinary shares each with a nominal value of DKK 1 at a price of DKK 86 to employees of the Company and its subsidiaries as well as to the Company’s management.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Board of Directors issued on September 22, 2004 33,575 warrants with the right to subscribe 33,575 ordinary shares each with a nominal value of DKK 1 at a price of DKK 89.50 to employees of the Company and its subsidiaries.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Board of Directors issued on December 1, 2004 81,750 warrants with the right to subscribe 81,750 ordinary shares each with a nominal value of DKK 1 at a price of DKK 97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20, 2005 67,500 warrants with the right to subscribe 67,500 ordinary shares each with a nominal value of DKK 1 at a price of DKK 116 to employees of the Company and its subsidiaries.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issued on June 7, 2005 304,000 warrants with the right to subscribe 304,000 ordinary shares each with a nominal value of DKK 1 at a price of DKK 114 to employees of the Company and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August 10, 2005 307,000 warrants with the right to subscribe 307,000 ordinary shares each with a nominal value of DKK 1 at a price of DKK 101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September 21, 2005 7,250 warrants with the right to subscribe 7,250 ordinary shares each with a nominal value of DKK 1 at a price of DKK 115 to employees of the Company and its subsidiaries.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Board of Directors issued on December 1, 2005 23,250 warrants with the right to subscribe 23,250 ordinary shares each with a nominal value of DKK 1 at a price of DKK 130 to employees of the Company and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7" w:name="page348"/>
    <w:bookmarkEnd w:id="347"/>
    <w:p>
      <w:pPr>
        <w:ind w:right="140" w:firstLine="648"/>
        <w:spacing w:after="0" w:line="277" w:lineRule="auto"/>
        <w:rPr>
          <w:sz w:val="20"/>
          <w:szCs w:val="20"/>
          <w:color w:val="auto"/>
        </w:rPr>
      </w:pPr>
      <w:r>
        <w:rPr>
          <w:rFonts w:ascii="Arial" w:cs="Arial" w:eastAsia="Arial" w:hAnsi="Arial"/>
          <w:sz w:val="18"/>
          <w:szCs w:val="18"/>
          <w:color w:val="auto"/>
        </w:rPr>
        <w:t>The Board of Directors issued on March 2, 2006 148,375 warrants with the right to subscribe 148,375 ordinary shares each with a nominal value of DKK 1 at a price of DKK 184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25, 2006 54,500 warrants with the right to subscribe 54,500 ordinary shares each with a nominal value of DKK 1 at a price of DKK 210.5 to employees of the Company and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21, 2006 314,000 warrants with the right to subscribe 314,000 ordinary shares each with a nominal value of DKK 1 at a price of DKK 173 to employees of the Company and its subsidiaries.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issued on September 19, 2006 146,550 warrants with the right to subscribe 146,500 ordinary shares each with a nominal value of DKK 1 at a price of DKK 224 to employees of the Company and its subsidiaries.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Board of Directors issued on December 13, 2006 80,500 warrants with the right to subscribe 80,500 ordinary shares each with a nominal value of DKK 1 at a price of DKK 330 to employees of the Company and its subsidiaries.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Board of Directors issued on April 19, 2007 322,400 warrants with the right to subscribe 322,400 ordinary shares each with a nominal value of DKK 1 at a price of DKK 364 to employees of the Company and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27, 2007 721,045 warrants with the right to subscribe 721,045 ordinary shares each with a nominal value of DKK 1 at a price of DKK 352.50 to employees of the Company and its subsidiaries.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October 4, 2007 188,900 warrants with the right to subscribe 188,900 ordinary shares each with a nominal value of DKK 1 at a price of DKK 326.50 to employees of the Company and its subsidiaries.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Board of Directors issued on December 13, 2007 132,030 warrants with the right to subscribe 132,030 ordinary shares each with a nominal value of DKK 1 at a price of DKK 329 to employees of the Company and its subsidiaries.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Board of Directors issued on April 24, 2008 715,600 warrants with the right to subscribe 715,600 ordinary shares each with a nominal value of DKK 1 at a price of DKK 254 to employees of the Company and its subsidiaries.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issued on June 4, 2008 231,500 warrants with the right to subscribe 231,500 ordinary shares each with a nominal value of DKK 1 at a price of DKK 246 to employees of the Company and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8" w:name="page349"/>
    <w:bookmarkEnd w:id="348"/>
    <w:p>
      <w:pPr>
        <w:ind w:right="40" w:firstLine="648"/>
        <w:spacing w:after="0" w:line="277" w:lineRule="auto"/>
        <w:rPr>
          <w:sz w:val="20"/>
          <w:szCs w:val="20"/>
          <w:color w:val="auto"/>
        </w:rPr>
      </w:pPr>
      <w:r>
        <w:rPr>
          <w:rFonts w:ascii="Arial" w:cs="Arial" w:eastAsia="Arial" w:hAnsi="Arial"/>
          <w:sz w:val="18"/>
          <w:szCs w:val="18"/>
          <w:color w:val="auto"/>
        </w:rPr>
        <w:t>The Board of Directors issued on October 8, 2008 421,250 warrants with the right to subscribe 421,250 ordinary shares each with a nominal value of DKK 1 at a price of DKK 272 to managers and employees of the Company and its subsidiaries.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Board of Directors issued on December 17, 2008 39,500 warrants with the right to subscribe 39,500 ordinary shares each with a nominal value of DKK 1 at a price of DKK 234.75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15, 2009 70,450 warrants with the right to subscribe 70,450 ordinary shares each with a nominal value of DKK 1 at a price of DKK 234 to employees of the Company and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17, 2009 277,000 warrants with the right to subscribe 277,000 ordinary shares each with a nominal value of DKK 1 at a price of DKK 174 to managers and employees of the Company and its subsidiaries.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October 8, 2009 200,750 warrants with the right to subscribe 200,750 ordinary shares each with a nominal value of DKK 1 at a price of DKK 129.75 to employees of the Company and its subsidiaries.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Board of Directors issued on December 9, 2009 12,500 warrants with the right to subscribe 12,500 ordinary shares each with a nominal value of DKK 1 at a price of DKK 77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21, 2010 64,500 warrants with the right to subscribe 64,500 ordinary shares each with a nominal value of DKK 1 at a price of DKK 68.65 to employees of the Company and its subsidiaries.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issued on June 2, 2010 270,000 warrants with the right to subscribe 270,000 ordinary shares each with a nominal value of DKK 1 at a price of DKK 46.74 to managers and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October 14, 2010 49,500 warrants with the right to subscribe 49,500 ordinary shares each with a nominal value of DKK 1 at a price of DKK 67.50 to employees of the Company and its subsidiaries.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Board of Directors issued on December 9, 2010 118,000 warrants with the right to subscribe 118,000 ordinary shares each with a nominal value of DKK 1 at a price of DKK 66.60 to managers and employees of the Company and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9" w:name="page350"/>
    <w:bookmarkEnd w:id="349"/>
    <w:p>
      <w:pPr>
        <w:ind w:right="220" w:firstLine="648"/>
        <w:spacing w:after="0" w:line="277" w:lineRule="auto"/>
        <w:rPr>
          <w:sz w:val="20"/>
          <w:szCs w:val="20"/>
          <w:color w:val="auto"/>
        </w:rPr>
      </w:pPr>
      <w:r>
        <w:rPr>
          <w:rFonts w:ascii="Arial" w:cs="Arial" w:eastAsia="Arial" w:hAnsi="Arial"/>
          <w:sz w:val="18"/>
          <w:szCs w:val="18"/>
          <w:color w:val="auto"/>
        </w:rPr>
        <w:t>The Board of Directors issued on April 6, 2011 39,500 warrants with the right to subscribe 39,500 ordinary shares each with a nominal value of DKK 1 at a price of DKK 55.85 to employees of the Company and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22, 2011 247,000 warrants with the right to subscribe 247,000 ordinary shares each with a nominal value of DKK 1 at a price of DKK 40.41 to managers and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October 14, 2011 47,750 warrants with the right to subscribe 47,750 ordinary shares each with a nominal value of DKK 1 at a price of DKK 31.75 to employees of the Company and its subsidiaries.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December 8, 2011 3,750 warrants with the right to subscribe 3,750 ordinary shares each with a nominal value of DKK 1 at a price of DKK 26.75 to employees of the Company and its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Members of the Board of Directors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Board of Directors issued on August 3, 2004 115,000 warrants with the right to subscribe 115,000 ordinary shares each with a nominal value of DKK 1 at a price of DKK 86 to members of the Board of Directors of the Company.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issued on June 7, 2005 261,000 warrants with the right to subscribe 261,000 ordinary shares each with a nominal value of DKK 1 at a price of DKK 114 to members of the Board of Directors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21, 2006 290,000 warrants with the right to subscribe 290,000 ordinary shares each with a nominal value of DKK 1 at a price of DKK 173 to members of the Board of Directors of the Company.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19, 2007 50,000 warrants with the right to subscribe 50,000 ordinary shares each with a nominal value of DKK 1 at a price of DKK 364 to members of the Board of Directors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27, 2007 105,000 warrants with the right to subscribe 105,000 ordinary shares each with a nominal value of DKK 1 at a price of DKK 352.50 to members of the Board of Directors of the Company.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issued on October 8, 2008 84,000 warrants with the right to subscribe 84,000 ordinary shares each with a nominal value of DKK 1 at a price of DKK 272 to members of the Board of Directors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0" w:name="page351"/>
    <w:bookmarkEnd w:id="350"/>
    <w:p>
      <w:pPr>
        <w:ind w:right="180" w:firstLine="648"/>
        <w:spacing w:after="0" w:line="277" w:lineRule="auto"/>
        <w:rPr>
          <w:sz w:val="20"/>
          <w:szCs w:val="20"/>
          <w:color w:val="auto"/>
        </w:rPr>
      </w:pPr>
      <w:r>
        <w:rPr>
          <w:rFonts w:ascii="Arial" w:cs="Arial" w:eastAsia="Arial" w:hAnsi="Arial"/>
          <w:sz w:val="18"/>
          <w:szCs w:val="18"/>
          <w:color w:val="auto"/>
        </w:rPr>
        <w:t>The Board of Directors issued on June 17, 2009 60,000 warrants with the right to subscribe 60,000 ordinary shares each with a nominal value of DKK 1 at a price of DKK 174 to members of the Board of Directors of the Company.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Board of Directors issued on June 2, 2010 67,500 warrants with the right to subscribe 67,500 ordinary shares each with a nominal value of DKK 1 at a price of DKK 46.74 to members of the Board of Directors of the Company.</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Board of Directors issued on April 6, 2011 15,000 warrants with the right to subscribe 15,000 ordinary shares each with a nominal value of DKK 1 at a price of DKK 55.85 to a member of the Board of Directors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June 22, 2011 100,000 warrants with the right to subscribe 100,000 ordinary shares each with a nominal value of DKK 1 at a price of DKK 40.41 to members of the Board of Directors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All warrants have been issued on the following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General description of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warrant means a right — but not an obligation — of the owner (the “Owner”) to subscribe for ordinary shares in the Company at a price fixed in advance (the exercise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 of the warrant can for a given period choose to subscribe for shares in the Company by paying the exercise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does not entitle the Owner to vote at the Company’s general meeting or to receive dividends.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 of the warrant is obligated to give notice to the Company of changes in the Owner’s contact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Conditions for exercise of Warrants.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Warrants are not granted due to work already performed by the Owners, but are granted in order to motivate the Owners, as described below, during the years following the date of issue of the Warrants.</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Consequently, the right to exercise the Warrants is earned during the following four years as set out in Clause II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Exercise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are issued to the Owner free of charge.</w:t>
      </w:r>
    </w:p>
    <w:p>
      <w:pPr>
        <w:spacing w:after="0" w:line="22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184" w:lineRule="exact"/>
        <w:rPr>
          <w:sz w:val="20"/>
          <w:szCs w:val="20"/>
          <w:color w:val="auto"/>
        </w:rPr>
      </w:pPr>
    </w:p>
    <w:p>
      <w:pPr>
        <w:ind w:left="300" w:hanging="292"/>
        <w:spacing w:after="0"/>
        <w:tabs>
          <w:tab w:leader="none" w:pos="300" w:val="left"/>
        </w:tabs>
        <w:numPr>
          <w:ilvl w:val="0"/>
          <w:numId w:val="1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Exercise Period &amp; Vesting Schedule.</w:t>
      </w:r>
    </w:p>
    <w:p>
      <w:pPr>
        <w:spacing w:after="0" w:line="225" w:lineRule="exact"/>
        <w:rPr>
          <w:rFonts w:ascii="Arial" w:cs="Arial" w:eastAsia="Arial" w:hAnsi="Arial"/>
          <w:sz w:val="18"/>
          <w:szCs w:val="18"/>
          <w:u w:val="single" w:color="auto"/>
          <w:color w:val="auto"/>
        </w:rPr>
      </w:pPr>
    </w:p>
    <w:p>
      <w:pPr>
        <w:ind w:right="140" w:firstLine="656"/>
        <w:spacing w:after="0" w:line="227" w:lineRule="auto"/>
        <w:tabs>
          <w:tab w:leader="none" w:pos="88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Warrants will lapse automatically, without prior notice and without compensation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Date of Issue (the “Expiry Date”).</w:t>
      </w:r>
    </w:p>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From the Date of Issue and until the Expiry Date (“The Exercise Period”), an Owner earns the right to keep and exercise Warrants only in accordance with the following rules: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1" w:name="page352"/>
    <w:bookmarkEnd w:id="351"/>
    <w:p>
      <w:pPr>
        <w:ind w:left="280" w:hanging="280"/>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Until one (1) year from the Date of Issue of a particular grant of Warrants, no such Warrants are earned/can be exercised.</w:t>
      </w:r>
    </w:p>
    <w:p>
      <w:pPr>
        <w:spacing w:after="0" w:line="225" w:lineRule="exact"/>
        <w:rPr>
          <w:rFonts w:ascii="Arial" w:cs="Arial" w:eastAsia="Arial" w:hAnsi="Arial"/>
          <w:sz w:val="18"/>
          <w:szCs w:val="18"/>
          <w:color w:val="auto"/>
        </w:rPr>
      </w:pPr>
    </w:p>
    <w:p>
      <w:pPr>
        <w:ind w:left="320" w:right="100" w:hanging="320"/>
        <w:spacing w:after="0" w:line="259" w:lineRule="auto"/>
        <w:tabs>
          <w:tab w:leader="none" w:pos="2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 period starting one (1) year after the Date of Issue (a “Vesting Date”) of such particular grant of Warrants and ending on the Expiry Date, the Owner has earned and may exercise up to 25 % of such Warrants provided that the Owner’s employment/consultancy relationship or board membership (as the case may be) has not expired on or before such Vesting Date due to one of the reasons set out below under heading (c).</w:t>
      </w:r>
    </w:p>
    <w:p>
      <w:pPr>
        <w:spacing w:after="0" w:line="186" w:lineRule="exact"/>
        <w:rPr>
          <w:rFonts w:ascii="Arial" w:cs="Arial" w:eastAsia="Arial" w:hAnsi="Arial"/>
          <w:sz w:val="18"/>
          <w:szCs w:val="18"/>
          <w:color w:val="auto"/>
        </w:rPr>
      </w:pPr>
    </w:p>
    <w:p>
      <w:pPr>
        <w:ind w:left="320" w:hanging="320"/>
        <w:spacing w:after="0" w:line="259" w:lineRule="auto"/>
        <w:tabs>
          <w:tab w:leader="none" w:pos="2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 period starting two (2) years from the Date of Issue (a “Vesting Date”) of such particular grant of Warrants and ending on the Expiry Date, the Owner has earned and may exercise up to an additional 25 % of such Warrants provided that the Owner’s employment/consultancy relationship or board membership (as the case may be) has not expired on or before such Vesting Date due to one of the reasons set out below under heading (c).</w:t>
      </w:r>
    </w:p>
    <w:p>
      <w:pPr>
        <w:spacing w:after="0" w:line="186" w:lineRule="exact"/>
        <w:rPr>
          <w:rFonts w:ascii="Arial" w:cs="Arial" w:eastAsia="Arial" w:hAnsi="Arial"/>
          <w:sz w:val="18"/>
          <w:szCs w:val="18"/>
          <w:color w:val="auto"/>
        </w:rPr>
      </w:pPr>
    </w:p>
    <w:p>
      <w:pPr>
        <w:ind w:left="320" w:right="220" w:hanging="320"/>
        <w:spacing w:after="0" w:line="259" w:lineRule="auto"/>
        <w:tabs>
          <w:tab w:leader="none" w:pos="2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 period starting three (3) years from the Date of Issue (a “Vesting Date”) of such particular grant of Warrants and ending on the Expiry Date, the Owner has earned and may exercise up to an additional 25 % of such Warrants provided that the Owner’s employment/consultancy relationship or board membership (as the case may be) has not expired on or before such Vesting Date due to one of the reasons set out below under heading (c).</w:t>
      </w:r>
    </w:p>
    <w:p>
      <w:pPr>
        <w:spacing w:after="0" w:line="186" w:lineRule="exact"/>
        <w:rPr>
          <w:rFonts w:ascii="Arial" w:cs="Arial" w:eastAsia="Arial" w:hAnsi="Arial"/>
          <w:sz w:val="18"/>
          <w:szCs w:val="18"/>
          <w:color w:val="auto"/>
        </w:rPr>
      </w:pPr>
    </w:p>
    <w:p>
      <w:pPr>
        <w:ind w:left="320" w:right="200" w:hanging="320"/>
        <w:spacing w:after="0" w:line="259" w:lineRule="auto"/>
        <w:tabs>
          <w:tab w:leader="none" w:pos="2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a period starting four (4) years from the Date of Issue (a “Vesting Date”) of such particular grant of Warrants and ending on the Expiry Date, the Owner has earned and may exercise all of such Warrants provided that the Owner’s employment/consultancy relationship or board membership (as the case may be) has not expired on or before such Vesting Date due to one of the reasons set out below under heading (c).</w:t>
      </w:r>
    </w:p>
    <w:p>
      <w:pPr>
        <w:spacing w:after="0" w:line="1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81280</wp:posOffset>
            </wp:positionV>
            <wp:extent cx="71532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40"/>
          </w:cols>
          <w:pgMar w:left="1300" w:top="341" w:right="359" w:bottom="1440" w:gutter="0" w:footer="0" w:header="0"/>
        </w:sectPr>
      </w:pPr>
    </w:p>
    <w:bookmarkStart w:id="352" w:name="page353"/>
    <w:bookmarkEnd w:id="352"/>
    <w:p>
      <w:pPr>
        <w:ind w:right="420" w:firstLine="648"/>
        <w:spacing w:after="0" w:line="277" w:lineRule="auto"/>
        <w:rPr>
          <w:sz w:val="20"/>
          <w:szCs w:val="20"/>
          <w:color w:val="auto"/>
        </w:rPr>
      </w:pPr>
      <w:r>
        <w:rPr>
          <w:rFonts w:ascii="Arial" w:cs="Arial" w:eastAsia="Arial" w:hAnsi="Arial"/>
          <w:sz w:val="18"/>
          <w:szCs w:val="18"/>
          <w:color w:val="auto"/>
        </w:rPr>
        <w:t>For the sake of clarity it is noted that in no event can Warrants be exercised earlier than one (1) year after the Date of Issue of the Warrants in question.</w:t>
      </w:r>
    </w:p>
    <w:p>
      <w:pPr>
        <w:spacing w:after="0" w:line="170" w:lineRule="exact"/>
        <w:rPr>
          <w:sz w:val="20"/>
          <w:szCs w:val="20"/>
          <w:color w:val="auto"/>
        </w:rPr>
      </w:pPr>
    </w:p>
    <w:p>
      <w:pPr>
        <w:ind w:firstLine="656"/>
        <w:spacing w:after="0" w:line="277" w:lineRule="auto"/>
        <w:tabs>
          <w:tab w:leader="none" w:pos="90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case of termination of the employment/consultancy relationship with the Company or one of its subsidiaries the Owner or his/her estate shall be entitled to keep and exercise all Warrants issued to the Owner in instances where</w:t>
      </w:r>
    </w:p>
    <w:p>
      <w:pPr>
        <w:spacing w:after="0" w:line="170" w:lineRule="exact"/>
        <w:rPr>
          <w:rFonts w:ascii="Arial" w:cs="Arial" w:eastAsia="Arial" w:hAnsi="Arial"/>
          <w:sz w:val="18"/>
          <w:szCs w:val="18"/>
          <w:color w:val="auto"/>
        </w:rPr>
      </w:pPr>
    </w:p>
    <w:p>
      <w:pPr>
        <w:ind w:left="1300" w:right="100" w:hanging="320"/>
        <w:spacing w:after="0" w:line="257" w:lineRule="auto"/>
        <w:tabs>
          <w:tab w:leader="none" w:pos="12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or one of its subsidiaries terminates the Owner’s employment/consultancy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w:t>
      </w:r>
    </w:p>
    <w:p>
      <w:pPr>
        <w:spacing w:after="0" w:line="187" w:lineRule="exact"/>
        <w:rPr>
          <w:rFonts w:ascii="Arial" w:cs="Arial" w:eastAsia="Arial" w:hAnsi="Arial"/>
          <w:sz w:val="18"/>
          <w:szCs w:val="18"/>
          <w:color w:val="auto"/>
        </w:rPr>
      </w:pPr>
    </w:p>
    <w:p>
      <w:pPr>
        <w:ind w:left="1260" w:hanging="280"/>
        <w:spacing w:after="0"/>
        <w:tabs>
          <w:tab w:leader="none" w:pos="12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Owner terminates the employment/consultancy relationship as a result of a material breach on the part of the Company/subsidiary; or</w:t>
      </w:r>
    </w:p>
    <w:p>
      <w:pPr>
        <w:spacing w:after="0" w:line="248" w:lineRule="exact"/>
        <w:rPr>
          <w:rFonts w:ascii="Arial" w:cs="Arial" w:eastAsia="Arial" w:hAnsi="Arial"/>
          <w:sz w:val="16"/>
          <w:szCs w:val="16"/>
          <w:color w:val="auto"/>
        </w:rPr>
      </w:pPr>
    </w:p>
    <w:p>
      <w:pPr>
        <w:ind w:left="1300" w:right="160" w:hanging="320"/>
        <w:spacing w:after="0" w:line="263" w:lineRule="auto"/>
        <w:tabs>
          <w:tab w:leader="none" w:pos="12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employment/consultancy relationship is terminated as a result of the Owner’s death, sickness or injury (other than termination by the employer due to excessive absenteeism or absence without notice), or retirement at an age where the Owner is eligible for Company or governmental pension.</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Any exercise may however, only take place within the time periods where the Warrants in question would otherwise become exercisable and with the given percentages), cf. above under heading (a) had the employment/consultancy relationship continued unchanged — that is, the Owner in question cannot be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t>treated more favourably than the continuing employees/consultants of the Company or its subsidiaries.</w:t>
      </w:r>
    </w:p>
    <w:p>
      <w:pPr>
        <w:spacing w:after="0" w:line="225" w:lineRule="exact"/>
        <w:rPr>
          <w:sz w:val="20"/>
          <w:szCs w:val="20"/>
          <w:color w:val="auto"/>
        </w:rPr>
      </w:pPr>
    </w:p>
    <w:p>
      <w:pPr>
        <w:ind w:right="120" w:firstLine="656"/>
        <w:spacing w:after="0" w:line="342" w:lineRule="auto"/>
        <w:tabs>
          <w:tab w:leader="none" w:pos="89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case of termination of the Owner’s employment/consultancy relationship with the Company or one of its subsidiaries in all other instances than those described above under heading (b), the Owner’s right to exercise the Owner’s Warrants shall be limited as described under heading (a) above.</w:t>
      </w:r>
    </w:p>
    <w:p>
      <w:pPr>
        <w:spacing w:after="0" w:line="123" w:lineRule="exact"/>
        <w:rPr>
          <w:rFonts w:ascii="Arial" w:cs="Arial" w:eastAsia="Arial" w:hAnsi="Arial"/>
          <w:sz w:val="16"/>
          <w:szCs w:val="16"/>
          <w:color w:val="auto"/>
        </w:rPr>
      </w:pPr>
    </w:p>
    <w:p>
      <w:pPr>
        <w:ind w:firstLine="656"/>
        <w:spacing w:after="0" w:line="263" w:lineRule="auto"/>
        <w:tabs>
          <w:tab w:leader="none" w:pos="90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relation to board members, the vesting shall cease on the termination date of the board membership regardless of the reason therefore unless in case of termination of the board membership as a result of the Owner’s death, sickness or injury, retirement at an age where the Owner is eligible for Company or governmental pension or as agreed otherwise with the Board of Directors.</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case of a direct or indirect transfer of shares in the Company which entails that the acquirer achieves any one or more of the following:</w:t>
      </w:r>
    </w:p>
    <w:p>
      <w:pPr>
        <w:spacing w:after="0" w:line="237" w:lineRule="exact"/>
        <w:rPr>
          <w:sz w:val="20"/>
          <w:szCs w:val="20"/>
          <w:color w:val="auto"/>
        </w:rPr>
      </w:pPr>
    </w:p>
    <w:p>
      <w:pPr>
        <w:ind w:left="980" w:right="120" w:hanging="324"/>
        <w:spacing w:after="0" w:line="258" w:lineRule="auto"/>
        <w:tabs>
          <w:tab w:leader="none" w:pos="98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holds at least a third of the voting rights in the Company, unless it is clearly demonstrated that such holding does not constitute a controlling influence over the Company,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way of an agreement with other investors controls at least a third of the voting rights in the Company,</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 able to control the Company’s financial and operational matters due to the content of the Company’s articles of association or as a result of any agreement, or</w:t>
      </w:r>
    </w:p>
    <w:p>
      <w:pPr>
        <w:ind w:left="980" w:right="180" w:hanging="324"/>
        <w:spacing w:after="0" w:line="260" w:lineRule="auto"/>
        <w:tabs>
          <w:tab w:leader="none" w:pos="98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 able to appoint or dismiss a majority of the members of the Board of Directors, and the Board of Directors has controlling influence over the Company,</w:t>
      </w:r>
    </w:p>
    <w:p>
      <w:pPr>
        <w:spacing w:after="0" w:line="18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then, the Owner shall immediately be granted the right to exercise all the Owner’s Warrants. However, to the extent (i) the Owner has at the time of the transfer of shares received or given notice of termination of the Owner’s employment/consultancy relationship with the Company or its subsidiaries, (ii) such</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54" w:name="page355"/>
    <w:bookmarkEnd w:id="354"/>
    <w:p>
      <w:pPr>
        <w:spacing w:after="0" w:line="287" w:lineRule="auto"/>
        <w:rPr>
          <w:sz w:val="20"/>
          <w:szCs w:val="20"/>
          <w:color w:val="auto"/>
        </w:rPr>
      </w:pPr>
      <w:r>
        <w:rPr>
          <w:rFonts w:ascii="Arial" w:cs="Arial" w:eastAsia="Arial" w:hAnsi="Arial"/>
          <w:sz w:val="16"/>
          <w:szCs w:val="16"/>
          <w:color w:val="auto"/>
        </w:rPr>
        <w:t>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Likewise, Owners that are former board members will only be able to exercise such number of Warrants that he or she would otherwise be entitled to cf. heading</w:t>
      </w:r>
    </w:p>
    <w:p>
      <w:pPr>
        <w:spacing w:after="0" w:line="2" w:lineRule="exact"/>
        <w:rPr>
          <w:sz w:val="20"/>
          <w:szCs w:val="20"/>
          <w:color w:val="auto"/>
        </w:rPr>
      </w:pPr>
    </w:p>
    <w:p>
      <w:pPr>
        <w:ind w:right="160" w:firstLine="8"/>
        <w:spacing w:after="0" w:line="260"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above. Termination in connection with or due to a transfer of shares as described above shall not be deemed made with a good reason as set out under heading (a) above.</w:t>
      </w:r>
    </w:p>
    <w:p>
      <w:pPr>
        <w:spacing w:after="0" w:line="185" w:lineRule="exact"/>
        <w:rPr>
          <w:rFonts w:ascii="Arial" w:cs="Arial" w:eastAsia="Arial" w:hAnsi="Arial"/>
          <w:sz w:val="18"/>
          <w:szCs w:val="18"/>
          <w:color w:val="auto"/>
        </w:rPr>
      </w:pPr>
    </w:p>
    <w:p>
      <w:pPr>
        <w:ind w:right="80" w:firstLine="656"/>
        <w:spacing w:after="0" w:line="259" w:lineRule="auto"/>
        <w:tabs>
          <w:tab w:leader="none" w:pos="87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Exercise of Warrants to subscribe shares is dependant upon the availability of the Company’s Board of Directors to make the necessary resolutions to increase the share capital of the Company. Any Owner must respect that the Board of Directors may in its discretion decide to defer the processing of any request to fit the working schedule of the Board of Directors as well as to allow that other requests to exercise Warrants are processed at the same time.</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Any exercise of Warrants must respect the stock exchange regulation in force from time to time, including the prohibition against insider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(III) Procedure for Exercise.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within 7 days after the request is made. The Board of Directors may require that requests to exercise are made using special forms.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(IV) Non-transferability.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Warrants issued are personal and may never be the subject of transfer or assignment. Warrants may not be pledged or otherwise serve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t>basis for settlement of claims by the Owner’s creditors. However, transfer can be made to heirs in case of the Owner’s death.</w:t>
      </w:r>
    </w:p>
    <w:p>
      <w:pPr>
        <w:spacing w:after="0" w:line="225" w:lineRule="exact"/>
        <w:rPr>
          <w:sz w:val="20"/>
          <w:szCs w:val="20"/>
          <w:color w:val="auto"/>
        </w:rPr>
      </w:pPr>
    </w:p>
    <w:p>
      <w:pPr>
        <w:jc w:val="both"/>
        <w:ind w:right="160" w:firstLine="656"/>
        <w:spacing w:after="0" w:line="279" w:lineRule="auto"/>
        <w:tabs>
          <w:tab w:leader="none" w:pos="90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spacing w:after="0" w:line="171" w:lineRule="exact"/>
        <w:rPr>
          <w:rFonts w:ascii="Arial" w:cs="Arial" w:eastAsia="Arial" w:hAnsi="Arial"/>
          <w:sz w:val="17"/>
          <w:szCs w:val="17"/>
          <w:color w:val="auto"/>
        </w:rPr>
      </w:pPr>
    </w:p>
    <w:p>
      <w:pPr>
        <w:ind w:right="140" w:firstLine="656"/>
        <w:spacing w:after="0" w:line="277" w:lineRule="auto"/>
        <w:tabs>
          <w:tab w:leader="none" w:pos="89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170" w:lineRule="exact"/>
        <w:rPr>
          <w:rFonts w:ascii="Arial" w:cs="Arial" w:eastAsia="Arial" w:hAnsi="Arial"/>
          <w:sz w:val="18"/>
          <w:szCs w:val="18"/>
          <w:color w:val="auto"/>
        </w:rPr>
      </w:pPr>
    </w:p>
    <w:p>
      <w:pPr>
        <w:ind w:right="240" w:firstLine="656"/>
        <w:spacing w:after="0" w:line="263" w:lineRule="auto"/>
        <w:tabs>
          <w:tab w:leader="none" w:pos="90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an Owner enters into an agreement with the Company or its subsidiaries to make use of S. 7H of the Danish Tax Assessment Act then the Owner will be prohibited from transferring Warrants to a fully-owned company or — on the basis of the Board of Director’s permission — transferring Warrants to a third party, cf. headings (b) to (c) above.</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14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Terms.</w:t>
      </w:r>
    </w:p>
    <w:p>
      <w:pPr>
        <w:spacing w:after="0" w:line="229" w:lineRule="exact"/>
        <w:rPr>
          <w:rFonts w:ascii="Arial" w:cs="Arial" w:eastAsia="Arial" w:hAnsi="Arial"/>
          <w:sz w:val="18"/>
          <w:szCs w:val="18"/>
          <w:b w:val="1"/>
          <w:bCs w:val="1"/>
          <w:u w:val="single" w:color="auto"/>
          <w:color w:val="auto"/>
        </w:rPr>
      </w:pPr>
    </w:p>
    <w:p>
      <w:pPr>
        <w:ind w:firstLine="656"/>
        <w:spacing w:after="0" w:line="257" w:lineRule="auto"/>
        <w:tabs>
          <w:tab w:leader="none" w:pos="89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Existing shareholders of the Company do not have a right of pre-emption to the shares issued on the basis of the Owner’s exercise of Warrants. The shares issued on the basis of Warrants shall be negotiable instruments issued to the bearer and they may be entered in the name of their holders in the Company’s Register of Shareholders.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6" w:name="page357"/>
    <w:bookmarkEnd w:id="356"/>
    <w:p>
      <w:pPr>
        <w:ind w:left="900" w:hanging="244"/>
        <w:spacing w:after="0"/>
        <w:tabs>
          <w:tab w:leader="none" w:pos="9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At the request of the Owner, the Board of Directors of the Company shall issue certificates concerning the Owner’s right to Warrants.</w:t>
      </w:r>
    </w:p>
    <w:p>
      <w:pPr>
        <w:spacing w:after="0" w:line="232" w:lineRule="exact"/>
        <w:rPr>
          <w:rFonts w:ascii="Arial" w:cs="Arial" w:eastAsia="Arial" w:hAnsi="Arial"/>
          <w:sz w:val="17"/>
          <w:szCs w:val="17"/>
          <w:color w:val="auto"/>
        </w:rPr>
      </w:pPr>
    </w:p>
    <w:p>
      <w:pPr>
        <w:ind w:left="220" w:hanging="212"/>
        <w:spacing w:after="0"/>
        <w:tabs>
          <w:tab w:leader="none" w:pos="220" w:val="left"/>
        </w:tabs>
        <w:numPr>
          <w:ilvl w:val="0"/>
          <w:numId w:val="14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Adjustment of the Exercise Price and/or the Share Number.</w:t>
      </w:r>
    </w:p>
    <w:p>
      <w:pPr>
        <w:spacing w:after="0" w:line="229" w:lineRule="exact"/>
        <w:rPr>
          <w:rFonts w:ascii="Arial" w:cs="Arial" w:eastAsia="Arial" w:hAnsi="Arial"/>
          <w:sz w:val="18"/>
          <w:szCs w:val="18"/>
          <w:b w:val="1"/>
          <w:bCs w:val="1"/>
          <w:u w:val="single" w:color="auto"/>
          <w:color w:val="auto"/>
        </w:rPr>
      </w:pPr>
    </w:p>
    <w:p>
      <w:pPr>
        <w:ind w:firstLine="656"/>
        <w:spacing w:after="0" w:line="275" w:lineRule="auto"/>
        <w:tabs>
          <w:tab w:leader="none" w:pos="89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the denomination of the shares in the Company, purchase and sale of own shares, issuance of warrants and/or convertible instruments, cf. heading (c) below, merger and demerger.</w:t>
      </w:r>
    </w:p>
    <w:p>
      <w:pPr>
        <w:spacing w:after="0" w:line="17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However, no adjustment of the Exercise Price nor the Share Number shall be made as a result of capital increases implemented on the basis of the exercise of the warrants comprised by this Scheme or by Schedule A or Schedule B to the Company’s Articles of Association.</w:t>
      </w:r>
    </w:p>
    <w:p>
      <w:pPr>
        <w:spacing w:after="0" w:line="146" w:lineRule="exact"/>
        <w:rPr>
          <w:sz w:val="20"/>
          <w:szCs w:val="20"/>
          <w:color w:val="auto"/>
        </w:rPr>
      </w:pPr>
    </w:p>
    <w:p>
      <w:pPr>
        <w:ind w:firstLine="656"/>
        <w:spacing w:after="0" w:line="277" w:lineRule="auto"/>
        <w:tabs>
          <w:tab w:leader="none" w:pos="9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Company in an accounting year distributes dividend of more than DKK 5 per share at DKK 1, the Exercise Price shall be reduced to such an extent that the value of the warrants is unaffected by the part of the dividend exceeding the said amount.</w:t>
      </w:r>
    </w:p>
    <w:p>
      <w:pPr>
        <w:spacing w:after="0" w:line="170" w:lineRule="exact"/>
        <w:rPr>
          <w:rFonts w:ascii="Arial" w:cs="Arial" w:eastAsia="Arial" w:hAnsi="Arial"/>
          <w:sz w:val="18"/>
          <w:szCs w:val="18"/>
          <w:color w:val="auto"/>
        </w:rPr>
      </w:pPr>
    </w:p>
    <w:p>
      <w:pPr>
        <w:ind w:right="20" w:firstLine="656"/>
        <w:spacing w:after="0" w:line="259" w:lineRule="auto"/>
        <w:tabs>
          <w:tab w:leader="none" w:pos="89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Irrespective of heading (a) above, if the Company resolves to issue stock options, shares, warrants, convertible instruments or the like to the Company’s and/or its subsidiaries’ employees, managers, consultants or members of the Board of Directors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7" w:name="page358"/>
    <w:bookmarkEnd w:id="357"/>
    <w:p>
      <w:pPr>
        <w:spacing w:after="0"/>
        <w:rPr>
          <w:sz w:val="20"/>
          <w:szCs w:val="20"/>
          <w:color w:val="auto"/>
        </w:rPr>
      </w:pPr>
      <w:r>
        <w:rPr>
          <w:rFonts w:ascii="Arial" w:cs="Arial" w:eastAsia="Arial" w:hAnsi="Arial"/>
          <w:sz w:val="17"/>
          <w:szCs w:val="17"/>
          <w:color w:val="auto"/>
        </w:rPr>
        <w:t>of allotment or whether the purchase/sale of own shares takes place at a price higher or lower than the market price on the Company’s shares.</w:t>
      </w:r>
    </w:p>
    <w:p>
      <w:pPr>
        <w:spacing w:after="0" w:line="237" w:lineRule="exact"/>
        <w:rPr>
          <w:sz w:val="20"/>
          <w:szCs w:val="20"/>
          <w:color w:val="auto"/>
        </w:rPr>
      </w:pPr>
    </w:p>
    <w:p>
      <w:pPr>
        <w:ind w:firstLine="656"/>
        <w:spacing w:after="0" w:line="263" w:lineRule="auto"/>
        <w:tabs>
          <w:tab w:leader="none" w:pos="90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183" w:lineRule="exact"/>
        <w:rPr>
          <w:rFonts w:ascii="Arial" w:cs="Arial" w:eastAsia="Arial" w:hAnsi="Arial"/>
          <w:sz w:val="18"/>
          <w:szCs w:val="18"/>
          <w:color w:val="auto"/>
        </w:rPr>
      </w:pPr>
    </w:p>
    <w:p>
      <w:pPr>
        <w:ind w:right="360" w:firstLine="656"/>
        <w:spacing w:after="0" w:line="277" w:lineRule="auto"/>
        <w:tabs>
          <w:tab w:leader="none" w:pos="88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Board of Directors shall determine whether an implemented change in the capital causes for an adjustment of the Exercise Price and/or the Share Number.</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market value of the warrants as estimated by the Board of Directors after the relevant change to the extent possible corresponds to the market value of the warrants as estimated by the Board of Directors immediately prior to the change.</w:t>
      </w:r>
    </w:p>
    <w:p>
      <w:pPr>
        <w:spacing w:after="0" w:line="171" w:lineRule="exact"/>
        <w:rPr>
          <w:sz w:val="20"/>
          <w:szCs w:val="20"/>
          <w:color w:val="auto"/>
        </w:rPr>
      </w:pPr>
    </w:p>
    <w:p>
      <w:pPr>
        <w:ind w:right="140" w:firstLine="656"/>
        <w:spacing w:after="0" w:line="279" w:lineRule="auto"/>
        <w:tabs>
          <w:tab w:leader="none" w:pos="86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171" w:lineRule="exact"/>
        <w:rPr>
          <w:rFonts w:ascii="Arial" w:cs="Arial" w:eastAsia="Arial" w:hAnsi="Arial"/>
          <w:sz w:val="17"/>
          <w:szCs w:val="17"/>
          <w:color w:val="auto"/>
        </w:rPr>
      </w:pPr>
    </w:p>
    <w:p>
      <w:pPr>
        <w:ind w:left="900" w:hanging="244"/>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Where a valuer is appointed pursuant to heading (f) above, and the valuer’s valuation deviates from the adjustments made by the Board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t>the valuer’s valuation shall be used as a basis for adjusting the Exercise Price and/or Share Number.</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 Merger</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with Clause D above. For the period after the merger, the adjusted Exercise Price and Share number shall be adjusted in accordance with the rules otherwise contained in this Warrant Scheme.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Liquidation of the Company</w:t>
      </w:r>
    </w:p>
    <w:p>
      <w:pPr>
        <w:spacing w:after="0" w:line="229" w:lineRule="exact"/>
        <w:rPr>
          <w:sz w:val="20"/>
          <w:szCs w:val="20"/>
          <w:color w:val="auto"/>
        </w:rPr>
      </w:pPr>
    </w:p>
    <w:p>
      <w:pPr>
        <w:ind w:right="220" w:firstLine="656"/>
        <w:spacing w:after="0" w:line="277" w:lineRule="auto"/>
        <w:tabs>
          <w:tab w:leader="none" w:pos="8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Warrants that have not been exercised shall automatically lapse in the event of the liquidation of the Company. The lapse becomes effective when the general meeting has adopted the final liquidation accounts.</w:t>
      </w:r>
    </w:p>
    <w:p>
      <w:pPr>
        <w:spacing w:after="0" w:line="170" w:lineRule="exact"/>
        <w:rPr>
          <w:rFonts w:ascii="Arial" w:cs="Arial" w:eastAsia="Arial" w:hAnsi="Arial"/>
          <w:sz w:val="18"/>
          <w:szCs w:val="18"/>
          <w:color w:val="auto"/>
        </w:rPr>
      </w:pPr>
    </w:p>
    <w:p>
      <w:pPr>
        <w:ind w:firstLine="656"/>
        <w:spacing w:after="0" w:line="291" w:lineRule="auto"/>
        <w:tabs>
          <w:tab w:leader="none" w:pos="91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Prior to the lapse of non-exercised Warrants, the right to exercise all an Owner’s Warrants shall be granted to such Owner. However, to the extent (i) an Owner has received or given notice of termination of the Owner’s employment/consultancy relationship with the Company or its subsidiaries,</w:t>
      </w:r>
    </w:p>
    <w:p>
      <w:pPr>
        <w:ind w:right="220" w:firstLine="8"/>
        <w:spacing w:after="0" w:line="260" w:lineRule="auto"/>
        <w:tabs>
          <w:tab w:leader="none" w:pos="2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notice has become effective at the time when the right to exercise Warrants due to the liquidation is granted, and (iii) such notice is received or given due to reasons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color w:val="auto"/>
        </w:rPr>
        <w:t>comprised by Clause B.II, heading (c) above, the Owner will only be able to exercise the number of Warrants following from Clause B.II, heading</w:t>
      </w:r>
    </w:p>
    <w:p>
      <w:pPr>
        <w:spacing w:after="0" w:line="35"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above. Likewise, (former) board members will only be able to exercise the number of Warrants that they would otherwise be entitled to under heading II</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above.</w:t>
      </w:r>
    </w:p>
    <w:p>
      <w:pPr>
        <w:spacing w:after="0" w:line="207" w:lineRule="exact"/>
        <w:rPr>
          <w:sz w:val="20"/>
          <w:szCs w:val="20"/>
          <w:color w:val="auto"/>
        </w:rPr>
      </w:pPr>
    </w:p>
    <w:p>
      <w:pPr>
        <w:ind w:left="240" w:hanging="232"/>
        <w:spacing w:after="0"/>
        <w:tabs>
          <w:tab w:leader="none" w:pos="240" w:val="left"/>
        </w:tabs>
        <w:numPr>
          <w:ilvl w:val="0"/>
          <w:numId w:val="15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Demerger</w:t>
      </w:r>
    </w:p>
    <w:p>
      <w:pPr>
        <w:spacing w:after="0" w:line="229" w:lineRule="exact"/>
        <w:rPr>
          <w:rFonts w:ascii="Arial" w:cs="Arial" w:eastAsia="Arial" w:hAnsi="Arial"/>
          <w:sz w:val="18"/>
          <w:szCs w:val="18"/>
          <w:b w:val="1"/>
          <w:bCs w:val="1"/>
          <w:u w:val="single" w:color="auto"/>
          <w:color w:val="auto"/>
        </w:rPr>
      </w:pPr>
    </w:p>
    <w:p>
      <w:pPr>
        <w:ind w:firstLine="656"/>
        <w:spacing w:after="0" w:line="293" w:lineRule="auto"/>
        <w:tabs>
          <w:tab w:leader="none" w:pos="8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Where a final resolution is passed to divide the Company so that assets and liabilities as a whole are transferred to several existing or newly set up public or private limited companies against issue of shares and, if relevant, cash to the Company’s shareholders, the obligation to issue shares upon the exercise of outstanding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w:t>
      </w:r>
    </w:p>
    <w:p>
      <w:pPr>
        <w:spacing w:after="0" w:line="164" w:lineRule="exact"/>
        <w:rPr>
          <w:rFonts w:ascii="Arial" w:cs="Arial" w:eastAsia="Arial" w:hAnsi="Arial"/>
          <w:sz w:val="16"/>
          <w:szCs w:val="16"/>
          <w:color w:val="auto"/>
        </w:rPr>
      </w:pPr>
    </w:p>
    <w:p>
      <w:pPr>
        <w:ind w:right="60" w:firstLine="656"/>
        <w:spacing w:after="0" w:line="263" w:lineRule="auto"/>
        <w:tabs>
          <w:tab w:leader="none" w:pos="9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event of a demerger where the Company remains in existence concurrently with the Company transferring some of its assets and liabilities to one or more existing or newly set up public or private limited companies, the right to Warrants shall be maintained as a right to Warrants in the Company.</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 the event of a demerger as set out in item (i) or (ii) above, the Exercise Price and/or Share Number shall be adjusted according to Clause 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right="160" w:firstLine="656"/>
        <w:spacing w:after="0" w:line="277" w:lineRule="auto"/>
        <w:tabs>
          <w:tab w:leader="none" w:pos="95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adjustment of the Exercise Price and/or the Share Number shall be made in the event of a demerger where certain assets and/or liabilities of the Company are divested by the Company into a subsidiary without payment to the shareholders of the Company.</w:t>
      </w:r>
    </w:p>
    <w:p>
      <w:pPr>
        <w:spacing w:after="0" w:line="166" w:lineRule="exact"/>
        <w:rPr>
          <w:rFonts w:ascii="Arial" w:cs="Arial" w:eastAsia="Arial" w:hAnsi="Arial"/>
          <w:sz w:val="18"/>
          <w:szCs w:val="18"/>
          <w:color w:val="auto"/>
        </w:rPr>
      </w:pPr>
    </w:p>
    <w:p>
      <w:pPr>
        <w:ind w:left="240" w:hanging="232"/>
        <w:spacing w:after="0"/>
        <w:tabs>
          <w:tab w:leader="none" w:pos="240" w:val="left"/>
        </w:tabs>
        <w:numPr>
          <w:ilvl w:val="0"/>
          <w:numId w:val="15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Tax Implications.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and its subsidiaries shall have no responsibility for the tax consequences (including social security contributions triggered) for the Owner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0" w:name="page361"/>
    <w:bookmarkEnd w:id="360"/>
    <w:p>
      <w:pPr>
        <w:ind w:right="220"/>
        <w:spacing w:after="0" w:line="263" w:lineRule="auto"/>
        <w:rPr>
          <w:sz w:val="20"/>
          <w:szCs w:val="20"/>
          <w:color w:val="auto"/>
        </w:rPr>
      </w:pPr>
      <w:r>
        <w:rPr>
          <w:rFonts w:ascii="Arial" w:cs="Arial" w:eastAsia="Arial" w:hAnsi="Arial"/>
          <w:sz w:val="18"/>
          <w:szCs w:val="18"/>
          <w:color w:val="auto"/>
        </w:rPr>
        <w:t>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No exterritorial applicability of mandatory laws.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 Arbitration.</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amended by the General Meeting on April 21, 2010 and the Board of Directors on October 15,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authorizations by the General Meeting of April 23, 2008, April 25, 2012, April 17, 2013 and April 9, 2014 the Board of Directors has as of February 10, 2017 granted warrants to subscribe for shares in the Company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 and consultants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25, 2012 27,000 warrants with the right to subscribe 27,000 ordinary shares each with a nominal value of DKK 1 at a price of DKK 45.24 to employees of the Company and its subsidiaries.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issued on October 9, 2012 31,500 warrants with the right to subscribe 31,500 ordinary shares each with a nominal value of DKK 1 at a price of DKK 79.25 to employees of the Company and its subsidiaries.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issued on December 5, 2012 235,000 warrants with the right to subscribe 235,000 ordinary shares each with a nominal value of DKK 1 at a price of DKK 88.55 to managers and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January 31, 2013 4,250 warrants with the right to subscribe 4,250 ordinary shares each with a nominal value of DKK 1 at a price of DKK 98 to employees of the Company and its subsidiaries.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issued on April 17, 2013 3,000 warrants with the right to subscribe 3,000 ordinary shares each with a nominal value of DKK 1 at a price of DKK 147.50 to an employee of the Company’s subsidiary.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Board of Directors issued on June 12, 2013 3,000 warrants with the right to subscribe 3,000 ordinary shares each with a nominal value of DKK 1 at a price of DKK 199 to an employee of the Company’s subsidiary.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October 10, 2013 32,500 warrants with the right to subscribe 32,500 ordinary shares each with a nominal value of DKK 1 at a price of DKK 231.50 to employees of the Company and its subsidiary.</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issued on December 6, 2013 358.500 warrants with the right to subscribe 358.500 ordinary shares each with a nominal value of DKK 1 at a price of DKK 225.90 to managers and employees of the Company and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1" w:name="page362"/>
    <w:bookmarkEnd w:id="361"/>
    <w:p>
      <w:pPr>
        <w:ind w:right="40" w:firstLine="648"/>
        <w:spacing w:after="0" w:line="277" w:lineRule="auto"/>
        <w:rPr>
          <w:sz w:val="20"/>
          <w:szCs w:val="20"/>
          <w:color w:val="auto"/>
        </w:rPr>
      </w:pPr>
      <w:r>
        <w:rPr>
          <w:rFonts w:ascii="Arial" w:cs="Arial" w:eastAsia="Arial" w:hAnsi="Arial"/>
          <w:sz w:val="18"/>
          <w:szCs w:val="18"/>
          <w:color w:val="auto"/>
        </w:rPr>
        <w:t>The Board of Directors issued on February 10, 2014 14,750 warrants with the right to subscribe 14,750 ordinary shares each with a nominal value of DKK 1 at a price of DKK 210 to employees of the Company and its subsidiary.</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Board of Directors issued on April 9, 2014 8,000 warrants with the right to subscribe 8,000 ordinary shares each with a nominal value of DKK 1 at a price of DKK 215.60 to employees of the Company and one of the Company’s subsidiaries.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Board of Directors issued on June 12, 2014 17,000 warrants with the right to subscribe 17,000 ordinary shares each with a nominal value of DKK 1 at a price of DKK 225.30 to employees of the Company and one of the Company’s subsidiaries.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Board of Directors issued on October 15, 2014 57,750 warrants with the right to subscribe 57,750 ordinary shares each with a nominal value of DKK 1 at a price of DKK 220.40 to employees of the Company and the Company’s subsidiaries.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Board of Directors issued on December 15, 2014 157,525 warrants with the right to subscribe 157,525 ordinary shares each with a nominal value of DKK 1 at a price of DKK 337.40 to managers and employees of the Company and the Company’s subsidiaries.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issued on March 26, 2015 22,050 warrants with the right to subscribe 22,050 ordinary shares each with a nominal value of DKK 1 at a price of DKK 466.20 to employees of the Company and the Company’s subsidiaries.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issued on June 11, 2015 11,100 warrants with the right to subscribe 11,100 ordinary shares each with a nominal value of DKK 1 at a price of DKK 623.50 to employees of the Company and one of the Company’s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October 7, 2015 41,000 warrants with the right to subscribe 41,000 ordinary shares each with a nominal value of DKK 1 at a price of DKK 636.50 to employees of the Company and the Company’s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issued on December 10, 2015 101,750 warrants with the right to subscribe 101,750 ordinary shares each with a nominal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t>DKK 1 at a price of DKK 939.50 to employees of the Company and the Company’s subsidiaries.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issued on March 17, 2016 24,350 warrants with the right to subscribe 24,350 ordinary shares each with a nominal value of DKK 1 at a price of DKK 815.50 to employees of the Company and one of the Company’s subsidiaries.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Board of Directors issued on June 9, 2016 16,800 warrants with the right to subscribe 16,800 ordinary shares each with a nominal value of DKK 1 at a price of DKK 1,233 to employees of the Company and one of the Company’s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October 6, 2016 19,450 warrants with the right to subscribe 19,450 ordinary shares each with a nominal value of DKK 1 at a price of DKK 1,136 to employees of the Company and one of the Company’s subsidiaries.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Board of Directors issued on December 15, 2016 89,465 warrants with the right to subscribe 89,465 ordinary shares each with a nominal value of DKK 1 at a price of DKK 1,145 to managers and employees of the Company and the Company’s subsidiaries.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issued on February 10, 2017 1,976 warrants with the right to subscribe 1,976 ordinary shares each with a nominal value of DKK 1 at a price of DKK 1,424 to employees of the Company and one of the Company’s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Members of the Board of Directors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December 5, 2012 90,000 warrants with the right to subscribe 90,000 ordinary shares each with a nominal value of DKK 1 at a price of DKK 88.55 to members of the Board of Directors of the Company.</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Board of Directors issued on April 17, 2013 25,000 warrants with the right to subscribe 25,000 ordinary shares each with a nominal value of DKK 1 at a price of DKK 147.50 to a member of the Board of Directors of the Company.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December 6, 2013 70,000 warrants with the right to subscribe 70,000 ordinary shares each with a nominal value of DKK 1 at a price of DKK 225.90 to members of the Board of Directors of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3" w:name="page364"/>
    <w:bookmarkEnd w:id="363"/>
    <w:p>
      <w:pPr>
        <w:ind w:firstLine="648"/>
        <w:spacing w:after="0" w:line="295" w:lineRule="auto"/>
        <w:rPr>
          <w:sz w:val="20"/>
          <w:szCs w:val="20"/>
          <w:color w:val="auto"/>
        </w:rPr>
      </w:pPr>
      <w:r>
        <w:rPr>
          <w:rFonts w:ascii="Arial" w:cs="Arial" w:eastAsia="Arial" w:hAnsi="Arial"/>
          <w:sz w:val="18"/>
          <w:szCs w:val="18"/>
          <w:b w:val="1"/>
          <w:bCs w:val="1"/>
          <w:color w:val="auto"/>
        </w:rPr>
        <w:t>All warrants are issued on terms identical with the terms in Schedule C except that the Expiry Date set out in “(II) Exercise Period &amp; Vesting Schedule” is the seventh (7</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anniversary instead of the tenth (10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anniversary.</w:t>
      </w:r>
    </w:p>
    <w:p>
      <w:pPr>
        <w:spacing w:after="0" w:line="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color w:val="auto"/>
        </w:rPr>
        <w:t>Schedule 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authorizations by the General Meeting of April 17, 2013, April 9, 2014 and March 28, 2017 the Board of Directors has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2018 granted warrants to subscribe for shares in the Company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 including managers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March 28, 2017 warrants with the right to subscribe 8,736 ordinary shares each with a nominal value of DKK 1 at a price of DKK 1,402 to employees of the Company and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March 29, 2017 warrants with the right to subscribe 8,400 ordinary shares each with a nominal value of DKK 1 at a price of DKK 1,427 to a manager of the Company.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issued on June 8, 2017 warrants with the right to subscribe 5,224 ordinary shares each with a nominal value of DKK 1 at a price of DKK 1,408 to employees of the Company and two of its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issued on October 5, 2017 warrants with the right to subscribe 18,756 ordinary shares each with a nominal value of DKK 1 at a price of DKK 1,432 to employees of the Company and two of its subsidiaries.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Board of Directors issued on December 15, 2017 warrants with the right to subscribe 139,597 ordinary shares each with a nominal value of DKK 1 at the price of DKK 1,032 to managers and employees of the Company and two of its subsidiaries.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Board of Directors issued on April 10, 2018 warrants with the right to subscribe 14,954 ordinary shares each with a nominal value of DKK 1 at the price of DKK 1,210 to employees of the Company and two of its subsidiaries.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issued on June 7, 2018 warrants with the right to subscribe 14,714 ordinary shares each with a nominal value of DKK 1 at the price of DKK 962 to employees of the Company and two of its subsidiaries.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issued on September 21, 2018 warrants with the right to subscribe 33,226 ordinary shares each with a nominal value of DKK 1 at the price of DKK 1,050 to employees of the Company and two of its subsidiaries.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Board of Directors issued on December 10, 2018 warrants with the right to subscribe 213,613 ordinary shares each with a nominal value of DKK 1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t>the price of DKK 1,025 to managers and employees of the Company and two of its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All warrants have been issued on the following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General description of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warrant means a right — but not an obligation — of the owner (the “Owner”) to subscribe for ordinary shares in the Company at a price fixed in advance (the exercise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 of the warrant can for a given period choose to subscribe for shares in the Company by paying the exercise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does not entitle the Owner to vote at the Company’s general meeting or to receive dividends.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 of the warrant is obligated to give notice to the Company of changes in the Owner’s contact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Conditions for exercise of Warrants.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Warrants are not granted due to work already performed by the Owners, but are granted in order to motivate the Owners, as described below, during the years following the date of issue of the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6" w:name="page367"/>
    <w:bookmarkEnd w:id="366"/>
    <w:p>
      <w:pPr>
        <w:ind w:right="200" w:firstLine="648"/>
        <w:spacing w:after="0" w:line="308" w:lineRule="auto"/>
        <w:rPr>
          <w:sz w:val="20"/>
          <w:szCs w:val="20"/>
          <w:color w:val="auto"/>
        </w:rPr>
      </w:pPr>
      <w:r>
        <w:rPr>
          <w:rFonts w:ascii="Arial" w:cs="Arial" w:eastAsia="Arial" w:hAnsi="Arial"/>
          <w:sz w:val="17"/>
          <w:szCs w:val="17"/>
          <w:color w:val="auto"/>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Exercise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are issued to the Owner free of charge.</w:t>
      </w:r>
    </w:p>
    <w:p>
      <w:pPr>
        <w:spacing w:after="0" w:line="225"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w:t>
      </w:r>
    </w:p>
    <w:p>
      <w:pPr>
        <w:spacing w:after="0" w:line="184" w:lineRule="exact"/>
        <w:rPr>
          <w:sz w:val="20"/>
          <w:szCs w:val="20"/>
          <w:color w:val="auto"/>
        </w:rPr>
      </w:pPr>
    </w:p>
    <w:p>
      <w:pPr>
        <w:ind w:left="300" w:hanging="292"/>
        <w:spacing w:after="0"/>
        <w:tabs>
          <w:tab w:leader="none" w:pos="300"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Exercise Period &amp; Vesting Schedule.</w:t>
      </w:r>
    </w:p>
    <w:p>
      <w:pPr>
        <w:spacing w:after="0" w:line="225" w:lineRule="exact"/>
        <w:rPr>
          <w:rFonts w:ascii="Arial" w:cs="Arial" w:eastAsia="Arial" w:hAnsi="Arial"/>
          <w:sz w:val="18"/>
          <w:szCs w:val="18"/>
          <w:u w:val="single" w:color="auto"/>
          <w:color w:val="auto"/>
        </w:rPr>
      </w:pPr>
    </w:p>
    <w:p>
      <w:pPr>
        <w:ind w:firstLine="656"/>
        <w:spacing w:after="0" w:line="227" w:lineRule="auto"/>
        <w:tabs>
          <w:tab w:leader="none" w:pos="88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Warrants will lapse automatically, without prior notice and without compensation on the seventh (7</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Date of Issue (the “Expiry Date”).</w:t>
      </w:r>
    </w:p>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From the Date of Issue and until the Expiry Date (“The Exercise Period”), an Owner earns the right to keep and exercise Warrants only in accordance with the following rules:</w:t>
      </w:r>
    </w:p>
    <w:p>
      <w:pPr>
        <w:spacing w:after="0" w:line="170" w:lineRule="exact"/>
        <w:rPr>
          <w:sz w:val="20"/>
          <w:szCs w:val="20"/>
          <w:color w:val="auto"/>
        </w:rPr>
      </w:pPr>
    </w:p>
    <w:p>
      <w:pPr>
        <w:ind w:left="1260" w:hanging="280"/>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Until three (3) years from the Date of Issue of a particular grant of Warrants, no such Warrants are earned/can be exercised.</w:t>
      </w:r>
    </w:p>
    <w:p>
      <w:pPr>
        <w:spacing w:after="0" w:line="225" w:lineRule="exact"/>
        <w:rPr>
          <w:rFonts w:ascii="Arial" w:cs="Arial" w:eastAsia="Arial" w:hAnsi="Arial"/>
          <w:sz w:val="18"/>
          <w:szCs w:val="18"/>
          <w:color w:val="auto"/>
        </w:rPr>
      </w:pPr>
    </w:p>
    <w:p>
      <w:pPr>
        <w:ind w:left="1300" w:right="240" w:hanging="320"/>
        <w:spacing w:after="0" w:line="286" w:lineRule="auto"/>
        <w:tabs>
          <w:tab w:leader="none" w:pos="126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67" w:name="page368"/>
    <w:bookmarkEnd w:id="367"/>
    <w:p>
      <w:pPr>
        <w:ind w:right="220" w:firstLine="648"/>
        <w:spacing w:after="0" w:line="277" w:lineRule="auto"/>
        <w:rPr>
          <w:sz w:val="20"/>
          <w:szCs w:val="20"/>
          <w:color w:val="auto"/>
        </w:rPr>
      </w:pPr>
      <w:r>
        <w:rPr>
          <w:rFonts w:ascii="Arial" w:cs="Arial" w:eastAsia="Arial" w:hAnsi="Arial"/>
          <w:sz w:val="18"/>
          <w:szCs w:val="18"/>
          <w:color w:val="auto"/>
        </w:rPr>
        <w:t>For the sake of clarity it is noted that in no event can Warrants be exercised earlier than three (3) years after the Date of Issue of the Warrants in question, unless as set out in Clause B.II, heading (d) in this Schedule E.</w:t>
      </w:r>
    </w:p>
    <w:p>
      <w:pPr>
        <w:spacing w:after="0" w:line="170" w:lineRule="exact"/>
        <w:rPr>
          <w:sz w:val="20"/>
          <w:szCs w:val="20"/>
          <w:color w:val="auto"/>
        </w:rPr>
      </w:pPr>
    </w:p>
    <w:p>
      <w:pPr>
        <w:ind w:right="80" w:firstLine="656"/>
        <w:spacing w:after="0" w:line="277" w:lineRule="auto"/>
        <w:tabs>
          <w:tab w:leader="none" w:pos="90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case of termination of the employment relationship with the Company or one of its subsidiaries the Owner or his/her estate shall be entitled to keep and exercise all Warrants issued to the Owner in instances where</w:t>
      </w:r>
    </w:p>
    <w:p>
      <w:pPr>
        <w:spacing w:after="0" w:line="170" w:lineRule="exact"/>
        <w:rPr>
          <w:rFonts w:ascii="Arial" w:cs="Arial" w:eastAsia="Arial" w:hAnsi="Arial"/>
          <w:sz w:val="18"/>
          <w:szCs w:val="18"/>
          <w:color w:val="auto"/>
        </w:rPr>
      </w:pPr>
    </w:p>
    <w:p>
      <w:pPr>
        <w:ind w:left="1300" w:right="100" w:hanging="320"/>
        <w:spacing w:after="0" w:line="257" w:lineRule="auto"/>
        <w:tabs>
          <w:tab w:leader="none" w:pos="12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w:t>
      </w:r>
    </w:p>
    <w:p>
      <w:pPr>
        <w:spacing w:after="0" w:line="187" w:lineRule="exact"/>
        <w:rPr>
          <w:rFonts w:ascii="Arial" w:cs="Arial" w:eastAsia="Arial" w:hAnsi="Arial"/>
          <w:sz w:val="18"/>
          <w:szCs w:val="18"/>
          <w:color w:val="auto"/>
        </w:rPr>
      </w:pPr>
    </w:p>
    <w:p>
      <w:pPr>
        <w:ind w:left="1260" w:hanging="280"/>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Owner terminates the employment relationship as a result of a material breach on the part of the Company/subsidiary; or</w:t>
      </w:r>
    </w:p>
    <w:p>
      <w:pPr>
        <w:spacing w:after="0" w:line="225" w:lineRule="exact"/>
        <w:rPr>
          <w:rFonts w:ascii="Arial" w:cs="Arial" w:eastAsia="Arial" w:hAnsi="Arial"/>
          <w:sz w:val="18"/>
          <w:szCs w:val="18"/>
          <w:color w:val="auto"/>
        </w:rPr>
      </w:pPr>
    </w:p>
    <w:p>
      <w:pPr>
        <w:ind w:left="1300" w:hanging="320"/>
        <w:spacing w:after="0" w:line="263" w:lineRule="auto"/>
        <w:tabs>
          <w:tab w:leader="none" w:pos="12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656"/>
        <w:spacing w:after="0" w:line="342" w:lineRule="auto"/>
        <w:tabs>
          <w:tab w:leader="none" w:pos="89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case of termination of the Owner’s employment relationship with the Company or one of its subsidiaries in all other instances than those described above under heading (b), the Owner’s right to exercise the Owner’s Warrants shall be limited as described under heading (a) above.</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case of a direct or indirect transfer of shares in the Company which entails that the acquirer achieves any one or more of the following:</w:t>
      </w:r>
    </w:p>
    <w:p>
      <w:pPr>
        <w:spacing w:after="0" w:line="237" w:lineRule="exact"/>
        <w:rPr>
          <w:sz w:val="20"/>
          <w:szCs w:val="20"/>
          <w:color w:val="auto"/>
        </w:rPr>
      </w:pPr>
    </w:p>
    <w:p>
      <w:pPr>
        <w:ind w:left="980" w:right="140" w:hanging="324"/>
        <w:spacing w:after="0" w:line="277" w:lineRule="auto"/>
        <w:tabs>
          <w:tab w:leader="none" w:pos="9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holds at least a third of the voting rights in the Company, unless it is clearly demonstrated that such holding does not constitute a controlling influence over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by way of an agreement with other investors controls at least a third of the voting rights in the Company,</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able to control the Company’s financial and operational matters due to the content of the Company’s articles of association or as a result of any agreement, or</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able to appoint or dismiss a majority of the members of the Board of Directors, and the Board of Directors has controlling influence over the Company,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spacing w:after="0" w:line="192" w:lineRule="exact"/>
        <w:rPr>
          <w:sz w:val="20"/>
          <w:szCs w:val="20"/>
          <w:color w:val="auto"/>
        </w:rPr>
      </w:pPr>
    </w:p>
    <w:p>
      <w:pPr>
        <w:jc w:val="center"/>
        <w:ind w:left="5540" w:right="580" w:hanging="4884"/>
        <w:spacing w:after="0" w:line="527" w:lineRule="auto"/>
        <w:tabs>
          <w:tab w:leader="none" w:pos="90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Exercise of Warrants to subscribe shares is dependent upon the availability of the Company’s Board of Directors to make the necessary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8" w:name="page369"/>
    <w:bookmarkEnd w:id="368"/>
    <w:p>
      <w:pPr>
        <w:jc w:val="both"/>
        <w:spacing w:after="0" w:line="263" w:lineRule="auto"/>
        <w:rPr>
          <w:sz w:val="20"/>
          <w:szCs w:val="20"/>
          <w:color w:val="auto"/>
        </w:rPr>
      </w:pPr>
      <w:r>
        <w:rPr>
          <w:rFonts w:ascii="Arial" w:cs="Arial" w:eastAsia="Arial" w:hAnsi="Arial"/>
          <w:sz w:val="18"/>
          <w:szCs w:val="18"/>
          <w:color w:val="auto"/>
        </w:rPr>
        <w:t>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 Any exercise of Warrants must respect the stock exchange regulation in force from time to time, including the prohibition against insider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(III) Procedure for Exercise.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(IV) Non-transferability.</w:t>
      </w:r>
    </w:p>
    <w:p>
      <w:pPr>
        <w:spacing w:after="0" w:line="225" w:lineRule="exact"/>
        <w:rPr>
          <w:sz w:val="20"/>
          <w:szCs w:val="20"/>
          <w:color w:val="auto"/>
        </w:rPr>
      </w:pPr>
    </w:p>
    <w:p>
      <w:pPr>
        <w:ind w:right="180" w:firstLine="656"/>
        <w:spacing w:after="0" w:line="308" w:lineRule="auto"/>
        <w:tabs>
          <w:tab w:leader="none" w:pos="89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spacing w:after="0" w:line="146" w:lineRule="exact"/>
        <w:rPr>
          <w:rFonts w:ascii="Arial" w:cs="Arial" w:eastAsia="Arial" w:hAnsi="Arial"/>
          <w:sz w:val="17"/>
          <w:szCs w:val="17"/>
          <w:color w:val="auto"/>
        </w:rPr>
      </w:pPr>
    </w:p>
    <w:p>
      <w:pPr>
        <w:jc w:val="both"/>
        <w:ind w:right="160" w:firstLine="656"/>
        <w:spacing w:after="0" w:line="259" w:lineRule="auto"/>
        <w:tabs>
          <w:tab w:leader="none" w:pos="90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t>without undue delay notify the Company and present appropriate proof of the transfer.</w:t>
      </w:r>
    </w:p>
    <w:p>
      <w:pPr>
        <w:spacing w:after="0" w:line="225" w:lineRule="exact"/>
        <w:rPr>
          <w:sz w:val="20"/>
          <w:szCs w:val="20"/>
          <w:color w:val="auto"/>
        </w:rPr>
      </w:pPr>
    </w:p>
    <w:p>
      <w:pPr>
        <w:ind w:right="140" w:firstLine="656"/>
        <w:spacing w:after="0" w:line="277" w:lineRule="auto"/>
        <w:tabs>
          <w:tab w:leader="none" w:pos="89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Irrespective of heading (a) above, the Board of Directors can on a case-by-case basis decide that an Owner may transfer his/her Warrants to a third party. The Board of Directors will determine the conditions for such transfer on a case-by-case basis.</w:t>
      </w:r>
    </w:p>
    <w:p>
      <w:pPr>
        <w:spacing w:after="0" w:line="170" w:lineRule="exact"/>
        <w:rPr>
          <w:rFonts w:ascii="Arial" w:cs="Arial" w:eastAsia="Arial" w:hAnsi="Arial"/>
          <w:sz w:val="18"/>
          <w:szCs w:val="18"/>
          <w:color w:val="auto"/>
        </w:rPr>
      </w:pPr>
    </w:p>
    <w:p>
      <w:pPr>
        <w:ind w:right="260" w:firstLine="656"/>
        <w:spacing w:after="0" w:line="263" w:lineRule="auto"/>
        <w:tabs>
          <w:tab w:leader="none" w:pos="9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16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Terms.</w:t>
      </w:r>
    </w:p>
    <w:p>
      <w:pPr>
        <w:spacing w:after="0" w:line="229" w:lineRule="exact"/>
        <w:rPr>
          <w:rFonts w:ascii="Arial" w:cs="Arial" w:eastAsia="Arial" w:hAnsi="Arial"/>
          <w:sz w:val="18"/>
          <w:szCs w:val="18"/>
          <w:b w:val="1"/>
          <w:bCs w:val="1"/>
          <w:u w:val="single" w:color="auto"/>
          <w:color w:val="auto"/>
        </w:rPr>
      </w:pPr>
    </w:p>
    <w:p>
      <w:pPr>
        <w:jc w:val="both"/>
        <w:ind w:firstLine="656"/>
        <w:spacing w:after="0" w:line="279" w:lineRule="auto"/>
        <w:tabs>
          <w:tab w:leader="none" w:pos="89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spacing w:after="0" w:line="171" w:lineRule="exact"/>
        <w:rPr>
          <w:rFonts w:ascii="Arial" w:cs="Arial" w:eastAsia="Arial" w:hAnsi="Arial"/>
          <w:sz w:val="17"/>
          <w:szCs w:val="17"/>
          <w:color w:val="auto"/>
        </w:rPr>
      </w:pPr>
    </w:p>
    <w:p>
      <w:pPr>
        <w:ind w:left="900" w:hanging="244"/>
        <w:spacing w:after="0"/>
        <w:tabs>
          <w:tab w:leader="none" w:pos="9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At the request of the Owner, the Board of Directors of the Company shall issue certificates concerning the Owner’s right to Warrants.</w:t>
      </w:r>
    </w:p>
    <w:p>
      <w:pPr>
        <w:spacing w:after="0" w:line="232" w:lineRule="exact"/>
        <w:rPr>
          <w:rFonts w:ascii="Arial" w:cs="Arial" w:eastAsia="Arial" w:hAnsi="Arial"/>
          <w:sz w:val="17"/>
          <w:szCs w:val="17"/>
          <w:color w:val="auto"/>
        </w:rPr>
      </w:pPr>
    </w:p>
    <w:p>
      <w:pPr>
        <w:ind w:left="220" w:hanging="212"/>
        <w:spacing w:after="0"/>
        <w:tabs>
          <w:tab w:leader="none" w:pos="220" w:val="left"/>
        </w:tabs>
        <w:numPr>
          <w:ilvl w:val="0"/>
          <w:numId w:val="16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Adjustment of the Exercise Price and/or the Share Number.</w:t>
      </w:r>
    </w:p>
    <w:p>
      <w:pPr>
        <w:spacing w:after="0" w:line="229" w:lineRule="exact"/>
        <w:rPr>
          <w:rFonts w:ascii="Arial" w:cs="Arial" w:eastAsia="Arial" w:hAnsi="Arial"/>
          <w:sz w:val="18"/>
          <w:szCs w:val="18"/>
          <w:b w:val="1"/>
          <w:bCs w:val="1"/>
          <w:u w:val="single" w:color="auto"/>
          <w:color w:val="auto"/>
        </w:rPr>
      </w:pPr>
    </w:p>
    <w:p>
      <w:pPr>
        <w:ind w:firstLine="656"/>
        <w:spacing w:after="0" w:line="263" w:lineRule="auto"/>
        <w:tabs>
          <w:tab w:leader="none" w:pos="8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0" w:name="page371"/>
    <w:bookmarkEnd w:id="370"/>
    <w:p>
      <w:pPr>
        <w:jc w:val="both"/>
        <w:ind w:right="100"/>
        <w:spacing w:after="0" w:line="286" w:lineRule="auto"/>
        <w:rPr>
          <w:sz w:val="20"/>
          <w:szCs w:val="20"/>
          <w:color w:val="auto"/>
        </w:rPr>
      </w:pPr>
      <w:r>
        <w:rPr>
          <w:rFonts w:ascii="Arial" w:cs="Arial" w:eastAsia="Arial" w:hAnsi="Arial"/>
          <w:sz w:val="17"/>
          <w:szCs w:val="17"/>
          <w:color w:val="auto"/>
        </w:rPr>
        <w:t>shall be made. Main examples of such changes in the capital structure of the Company are capital increases and capital decreases not done at market price, payment of dividend, cf. heading (b) below, issuance of bonus shares, change of the denomination of the shares in the Company, purchase and sale of own shares, issuance of warrants and/or convertible instruments, cf. heading (c) below, merger and demerger.</w:t>
      </w:r>
    </w:p>
    <w:p>
      <w:pPr>
        <w:spacing w:after="0" w:line="165" w:lineRule="exact"/>
        <w:rPr>
          <w:sz w:val="20"/>
          <w:szCs w:val="20"/>
          <w:color w:val="auto"/>
        </w:rPr>
      </w:pPr>
    </w:p>
    <w:p>
      <w:pPr>
        <w:jc w:val="both"/>
        <w:ind w:right="80" w:firstLine="648"/>
        <w:spacing w:after="0" w:line="308" w:lineRule="auto"/>
        <w:rPr>
          <w:sz w:val="20"/>
          <w:szCs w:val="20"/>
          <w:color w:val="auto"/>
        </w:rPr>
      </w:pPr>
      <w:r>
        <w:rPr>
          <w:rFonts w:ascii="Arial" w:cs="Arial" w:eastAsia="Arial" w:hAnsi="Arial"/>
          <w:sz w:val="17"/>
          <w:szCs w:val="17"/>
          <w:color w:val="auto"/>
        </w:rPr>
        <w:t>However, no adjustment of the Exercise Price nor the Share Number shall be made as a result of capital increases implemented on the basis of the exercise of the warrants comprised by this Warrant Scheme or by Schedule C or Schedule D to the Company’s Articles of Association.</w:t>
      </w:r>
    </w:p>
    <w:p>
      <w:pPr>
        <w:spacing w:after="0" w:line="146" w:lineRule="exact"/>
        <w:rPr>
          <w:sz w:val="20"/>
          <w:szCs w:val="20"/>
          <w:color w:val="auto"/>
        </w:rPr>
      </w:pPr>
    </w:p>
    <w:p>
      <w:pPr>
        <w:ind w:firstLine="656"/>
        <w:spacing w:after="0" w:line="277" w:lineRule="auto"/>
        <w:tabs>
          <w:tab w:leader="none" w:pos="90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 Company in an accounting year distributes dividend of more than DKK 5 per share at DKK 1, the Exercise Price shall be reduced to such an extent that the value of the warrants is unaffected by the part of the dividend exceeding the said amount.</w:t>
      </w:r>
    </w:p>
    <w:p>
      <w:pPr>
        <w:spacing w:after="0" w:line="170" w:lineRule="exact"/>
        <w:rPr>
          <w:rFonts w:ascii="Arial" w:cs="Arial" w:eastAsia="Arial" w:hAnsi="Arial"/>
          <w:sz w:val="18"/>
          <w:szCs w:val="18"/>
          <w:color w:val="auto"/>
        </w:rPr>
      </w:pPr>
    </w:p>
    <w:p>
      <w:pPr>
        <w:ind w:right="120" w:firstLine="656"/>
        <w:spacing w:after="0" w:line="257" w:lineRule="auto"/>
        <w:tabs>
          <w:tab w:leader="none" w:pos="89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spacing w:after="0" w:line="187" w:lineRule="exact"/>
        <w:rPr>
          <w:rFonts w:ascii="Arial" w:cs="Arial" w:eastAsia="Arial" w:hAnsi="Arial"/>
          <w:sz w:val="18"/>
          <w:szCs w:val="18"/>
          <w:color w:val="auto"/>
        </w:rPr>
      </w:pPr>
    </w:p>
    <w:p>
      <w:pPr>
        <w:ind w:firstLine="656"/>
        <w:spacing w:after="0" w:line="263" w:lineRule="auto"/>
        <w:tabs>
          <w:tab w:leader="none" w:pos="90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1" w:name="page372"/>
    <w:bookmarkEnd w:id="371"/>
    <w:p>
      <w:pPr>
        <w:ind w:right="300" w:firstLine="656"/>
        <w:spacing w:after="0" w:line="277" w:lineRule="auto"/>
        <w:tabs>
          <w:tab w:leader="none" w:pos="8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Company’s Board of Directors shall determine whether an implemented change in the capital causes for an adjustment of the Exercise Price and/or the Share Number.</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w:t>
      </w:r>
    </w:p>
    <w:p>
      <w:pPr>
        <w:spacing w:after="0" w:line="187" w:lineRule="exact"/>
        <w:rPr>
          <w:sz w:val="20"/>
          <w:szCs w:val="20"/>
          <w:color w:val="auto"/>
        </w:rPr>
      </w:pPr>
    </w:p>
    <w:p>
      <w:pPr>
        <w:ind w:right="80" w:firstLine="656"/>
        <w:spacing w:after="0" w:line="279" w:lineRule="auto"/>
        <w:tabs>
          <w:tab w:leader="none" w:pos="87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w:t>
      </w:r>
    </w:p>
    <w:p>
      <w:pPr>
        <w:spacing w:after="0" w:line="171" w:lineRule="exact"/>
        <w:rPr>
          <w:rFonts w:ascii="Arial" w:cs="Arial" w:eastAsia="Arial" w:hAnsi="Arial"/>
          <w:sz w:val="17"/>
          <w:szCs w:val="17"/>
          <w:color w:val="auto"/>
        </w:rPr>
      </w:pPr>
    </w:p>
    <w:p>
      <w:pPr>
        <w:ind w:right="340" w:firstLine="656"/>
        <w:spacing w:after="0" w:line="277" w:lineRule="auto"/>
        <w:tabs>
          <w:tab w:leader="none" w:pos="90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Where a valuer is appointed pursuant to heading (f) above, and the valuer’s valuation deviates from the adjustments made by the Board of Directors, the valuer’s valuation shall be used as a basis for adjusting the Exercise Price and/or Share Number.</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b w:val="1"/>
          <w:bCs w:val="1"/>
          <w:u w:val="single" w:color="auto"/>
          <w:color w:val="auto"/>
        </w:rPr>
        <w:t>E. Merger</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with Clause D above. For the period after the merger, the adjusted Exercise Price and Share number shall be adjusted in accordance with the rules otherwise contained in this Warrant Scheme.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 Liquidation of the Company</w:t>
      </w:r>
    </w:p>
    <w:p>
      <w:pPr>
        <w:spacing w:after="0" w:line="229" w:lineRule="exact"/>
        <w:rPr>
          <w:sz w:val="20"/>
          <w:szCs w:val="20"/>
          <w:color w:val="auto"/>
        </w:rPr>
      </w:pPr>
    </w:p>
    <w:p>
      <w:pPr>
        <w:ind w:right="280" w:firstLine="656"/>
        <w:spacing w:after="0" w:line="277" w:lineRule="auto"/>
        <w:tabs>
          <w:tab w:leader="none" w:pos="86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Warrants that have not been exercised shall automatically lapse in the event of the liquidation of the Company. The lapse becomes effective when the general meeting has adopted the final liquidation accounts.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above.</w:t>
      </w:r>
    </w:p>
    <w:p>
      <w:pPr>
        <w:spacing w:after="0" w:line="207" w:lineRule="exact"/>
        <w:rPr>
          <w:sz w:val="20"/>
          <w:szCs w:val="20"/>
          <w:color w:val="auto"/>
        </w:rPr>
      </w:pPr>
    </w:p>
    <w:p>
      <w:pPr>
        <w:ind w:left="240" w:hanging="232"/>
        <w:spacing w:after="0"/>
        <w:tabs>
          <w:tab w:leader="none" w:pos="240" w:val="left"/>
        </w:tabs>
        <w:numPr>
          <w:ilvl w:val="0"/>
          <w:numId w:val="1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Demerger</w:t>
      </w:r>
    </w:p>
    <w:p>
      <w:pPr>
        <w:spacing w:after="0" w:line="229" w:lineRule="exact"/>
        <w:rPr>
          <w:rFonts w:ascii="Arial" w:cs="Arial" w:eastAsia="Arial" w:hAnsi="Arial"/>
          <w:sz w:val="18"/>
          <w:szCs w:val="18"/>
          <w:b w:val="1"/>
          <w:bCs w:val="1"/>
          <w:u w:val="single" w:color="auto"/>
          <w:color w:val="auto"/>
        </w:rPr>
      </w:pPr>
    </w:p>
    <w:p>
      <w:pPr>
        <w:ind w:right="40" w:firstLine="656"/>
        <w:spacing w:after="0" w:line="263" w:lineRule="auto"/>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73" w:name="page374"/>
    <w:bookmarkEnd w:id="373"/>
    <w:p>
      <w:pPr>
        <w:ind w:right="80"/>
        <w:spacing w:after="0" w:line="259" w:lineRule="auto"/>
        <w:rPr>
          <w:sz w:val="20"/>
          <w:szCs w:val="20"/>
          <w:color w:val="auto"/>
        </w:rPr>
      </w:pPr>
      <w:r>
        <w:rPr>
          <w:rFonts w:ascii="Arial" w:cs="Arial" w:eastAsia="Arial" w:hAnsi="Arial"/>
          <w:sz w:val="18"/>
          <w:szCs w:val="18"/>
          <w:color w:val="auto"/>
        </w:rPr>
        <w:t>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w:t>
      </w:r>
    </w:p>
    <w:p>
      <w:pPr>
        <w:spacing w:after="0" w:line="187" w:lineRule="exact"/>
        <w:rPr>
          <w:sz w:val="20"/>
          <w:szCs w:val="20"/>
          <w:color w:val="auto"/>
        </w:rPr>
      </w:pPr>
    </w:p>
    <w:p>
      <w:pPr>
        <w:ind w:right="40" w:firstLine="656"/>
        <w:spacing w:after="0" w:line="263" w:lineRule="auto"/>
        <w:tabs>
          <w:tab w:leader="none" w:pos="91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event of a demerger where the Company remains in existence concurrently with the Company transferring some of its assets and liabilities to one or more existing or newly set up public or private limited companies, the right to Warrants shall be maintained as a right to Warrants in the Company.</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the event of a demerger as set out in item (i) or (ii) above, the Exercise Price and/or Share Number shall be adjusted according to Clause 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right="140" w:firstLine="656"/>
        <w:spacing w:after="0" w:line="277" w:lineRule="auto"/>
        <w:tabs>
          <w:tab w:leader="none" w:pos="9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adjustment of the Exercise Price and/or the Share Number shall be made in the event of a demerger where certain assets and/or liabilities of the Company are divested by the Company into a subsidiary without payment to the shareholders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Tax Implications.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No exterritorial applicability of mandatory laws.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u w:val="single" w:color="auto"/>
          <w:color w:val="auto"/>
        </w:rPr>
        <w:t>J. Arbitration.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3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2"/>
    </w:lvl>
  </w:abstractNum>
  <w:abstractNum w:abstractNumId="1">
    <w:nsid w:val="885E1B"/>
    <w:multiLevelType w:val="hybridMultilevel"/>
    <w:lvl w:ilvl="0">
      <w:lvlJc w:val="left"/>
      <w:lvlText w:val="(%1)"/>
      <w:numFmt w:val="decimal"/>
      <w:start w:val="1"/>
    </w:lvl>
  </w:abstractNum>
  <w:abstractNum w:abstractNumId="2">
    <w:nsid w:val="76272110"/>
    <w:multiLevelType w:val="hybridMultilevel"/>
    <w:lvl w:ilvl="0">
      <w:lvlJc w:val="left"/>
      <w:lvlText w:val="(%1)"/>
      <w:numFmt w:val="decimal"/>
      <w:start w:val="2"/>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decimal"/>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1."/>
      <w:numFmt w:val="decimal"/>
      <w:start w:val="28"/>
    </w:lvl>
  </w:abstractNum>
  <w:abstractNum w:abstractNumId="16">
    <w:nsid w:val="60EF0119"/>
    <w:multiLevelType w:val="hybridMultilevel"/>
    <w:lvl w:ilvl="0">
      <w:lvlJc w:val="left"/>
      <w:lvlText w:val="(%1)"/>
      <w:numFmt w:val="decimal"/>
      <w:start w:val="2"/>
    </w:lvl>
  </w:abstractNum>
  <w:abstractNum w:abstractNumId="17">
    <w:nsid w:val="26F324BA"/>
    <w:multiLevelType w:val="hybridMultilevel"/>
    <w:lvl w:ilvl="0">
      <w:lvlJc w:val="left"/>
      <w:lvlText w:val="%1"/>
      <w:numFmt w:val="upperLetter"/>
      <w:start w:val="39"/>
    </w:lvl>
  </w:abstractNum>
  <w:abstractNum w:abstractNumId="18">
    <w:nsid w:val="7F01579B"/>
    <w:multiLevelType w:val="hybridMultilevel"/>
    <w:lvl w:ilvl="0">
      <w:lvlJc w:val="left"/>
      <w:lvlText w:val="(%1)"/>
      <w:numFmt w:val="lowerRoman"/>
      <w:start w:val="2"/>
    </w:lvl>
  </w:abstractNum>
  <w:abstractNum w:abstractNumId="19">
    <w:nsid w:val="49DA307D"/>
    <w:multiLevelType w:val="hybridMultilevel"/>
    <w:lvl w:ilvl="0">
      <w:lvlJc w:val="left"/>
      <w:lvlText w:val="(%1)"/>
      <w:numFmt w:val="lowerRoman"/>
      <w:start w:val="2"/>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1)"/>
      <w:numFmt w:val="decimal"/>
      <w:start w:val="2"/>
    </w:lvl>
  </w:abstractNum>
  <w:abstractNum w:abstractNumId="34">
    <w:nsid w:val="3FA62ACA"/>
    <w:multiLevelType w:val="hybridMultilevel"/>
    <w:lvl w:ilvl="0">
      <w:lvlJc w:val="left"/>
      <w:lvlText w:val="(%1)"/>
      <w:numFmt w:val="decimal"/>
      <w:start w:val="3"/>
    </w:lvl>
  </w:abstractNum>
  <w:abstractNum w:abstractNumId="35">
    <w:nsid w:val="14FCE74E"/>
    <w:multiLevelType w:val="hybridMultilevel"/>
    <w:lvl w:ilvl="0">
      <w:lvlJc w:val="left"/>
      <w:lvlText w:val="(%1)"/>
      <w:numFmt w:val="decimal"/>
      <w:start w:val="2"/>
    </w:lvl>
  </w:abstractNum>
  <w:abstractNum w:abstractNumId="36">
    <w:nsid w:val="6A3DD3E8"/>
    <w:multiLevelType w:val="hybridMultilevel"/>
    <w:lvl w:ilvl="0">
      <w:lvlJc w:val="left"/>
      <w:lvlText w:val="(%1)"/>
      <w:numFmt w:val="lowerRoman"/>
      <w:start w:val="3"/>
    </w:lvl>
  </w:abstractNum>
  <w:abstractNum w:abstractNumId="37">
    <w:nsid w:val="71C91298"/>
    <w:multiLevelType w:val="hybridMultilevel"/>
    <w:lvl w:ilvl="0">
      <w:lvlJc w:val="left"/>
      <w:lvlText w:val="(%1)"/>
      <w:numFmt w:val="lowerRoman"/>
      <w:start w:val="5"/>
    </w:lvl>
  </w:abstractNum>
  <w:abstractNum w:abstractNumId="38">
    <w:nsid w:val="9DAF632"/>
    <w:multiLevelType w:val="hybridMultilevel"/>
    <w:lvl w:ilvl="0">
      <w:lvlJc w:val="left"/>
      <w:lvlText w:val="(%1)"/>
      <w:numFmt w:val="decimal"/>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1)"/>
      <w:numFmt w:val="decimal"/>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upperLetter"/>
      <w:start w:val="39"/>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1)"/>
      <w:numFmt w:val="decimal"/>
      <w:start w:val="1"/>
    </w:lvl>
  </w:abstractNum>
  <w:abstractNum w:abstractNumId="57">
    <w:nsid w:val="3C5991AA"/>
    <w:multiLevelType w:val="hybridMultilevel"/>
    <w:lvl w:ilvl="0">
      <w:lvlJc w:val="left"/>
      <w:lvlText w:val="(%1)"/>
      <w:numFmt w:val="decimal"/>
      <w:start w:val="2"/>
    </w:lvl>
  </w:abstractNum>
  <w:abstractNum w:abstractNumId="58">
    <w:nsid w:val="4BD8591A"/>
    <w:multiLevelType w:val="hybridMultilevel"/>
    <w:lvl w:ilvl="0">
      <w:lvlJc w:val="left"/>
      <w:lvlText w:val="(%1)"/>
      <w:numFmt w:val="decimal"/>
      <w:start w:val="1"/>
    </w:lvl>
  </w:abstractNum>
  <w:abstractNum w:abstractNumId="59">
    <w:nsid w:val="78DF6A55"/>
    <w:multiLevelType w:val="hybridMultilevel"/>
    <w:lvl w:ilvl="0">
      <w:lvlJc w:val="left"/>
      <w:lvlText w:val="%1."/>
      <w:numFmt w:val="decimal"/>
      <w:start w:val="50"/>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1)"/>
      <w:numFmt w:val="decimal"/>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abstractNum>
  <w:abstractNum w:abstractNumId="82">
    <w:nsid w:val="17A1B582"/>
    <w:multiLevelType w:val="hybridMultilevel"/>
    <w:lvl w:ilvl="0">
      <w:lvlJc w:val="left"/>
      <w:lvlText w:val="(%1)"/>
      <w:numFmt w:val="decimal"/>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1)"/>
      <w:numFmt w:val="lowerRoman"/>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1)"/>
      <w:numFmt w:val="lowerLetter"/>
      <w:start w:val="1"/>
    </w:lvl>
  </w:abstractNum>
  <w:abstractNum w:abstractNumId="107">
    <w:nsid w:val="2A31B62D"/>
    <w:multiLevelType w:val="hybridMultilevel"/>
    <w:lvl w:ilvl="0">
      <w:lvlJc w:val="left"/>
      <w:lvlText w:val="(%1)"/>
      <w:numFmt w:val="decimal"/>
      <w:start w:val="1"/>
    </w:lvl>
  </w:abstractNum>
  <w:abstractNum w:abstractNumId="108">
    <w:nsid w:val="1849C29B"/>
    <w:multiLevelType w:val="hybridMultilevel"/>
    <w:lvl w:ilvl="0">
      <w:lvlJc w:val="left"/>
      <w:lvlText w:val="(%1)"/>
      <w:numFmt w:val="lowerRoman"/>
      <w:start w:val="2"/>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lowerLetter"/>
      <w:start w:val="1"/>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
      <w:numFmt w:val="bullet"/>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
      <w:numFmt w:val="bullet"/>
      <w:start w:val="1"/>
    </w:lvl>
  </w:abstractNum>
  <w:abstractNum w:abstractNumId="117">
    <w:nsid w:val="61E74EA3"/>
    <w:multiLevelType w:val="hybridMultilevel"/>
    <w:lvl w:ilvl="0">
      <w:lvlJc w:val="left"/>
      <w:lvlText w:val="•"/>
      <w:numFmt w:val="bullet"/>
      <w:start w:val="1"/>
    </w:lvl>
  </w:abstractNum>
  <w:abstractNum w:abstractNumId="118">
    <w:nsid w:val="597B4D84"/>
    <w:multiLevelType w:val="hybridMultilevel"/>
    <w:lvl w:ilvl="0">
      <w:lvlJc w:val="left"/>
      <w:lvlText w:val="*"/>
      <w:numFmt w:val="bullet"/>
      <w:start w:val="1"/>
    </w:lvl>
  </w:abstractNum>
  <w:abstractNum w:abstractNumId="119">
    <w:nsid w:val="F819E7F"/>
    <w:multiLevelType w:val="hybridMultilevel"/>
    <w:lvl w:ilvl="0">
      <w:lvlJc w:val="left"/>
      <w:lvlText w:val="•"/>
      <w:numFmt w:val="bullet"/>
      <w:start w:val="1"/>
    </w:lvl>
  </w:abstractNum>
  <w:abstractNum w:abstractNumId="120">
    <w:nsid w:val="57C7D42D"/>
    <w:multiLevelType w:val="hybridMultilevel"/>
    <w:lvl w:ilvl="0">
      <w:lvlJc w:val="left"/>
      <w:lvlText w:val="•"/>
      <w:numFmt w:val="bullet"/>
      <w:start w:val="1"/>
    </w:lvl>
  </w:abstractNum>
  <w:abstractNum w:abstractNumId="121">
    <w:nsid w:val="312167AD"/>
    <w:multiLevelType w:val="hybridMultilevel"/>
    <w:lvl w:ilvl="0">
      <w:lvlJc w:val="left"/>
      <w:lvlText w:val="*"/>
      <w:numFmt w:val="bullet"/>
      <w:start w:val="1"/>
    </w:lvl>
  </w:abstractNum>
  <w:abstractNum w:abstractNumId="122">
    <w:nsid w:val="631B64D4"/>
    <w:multiLevelType w:val="hybridMultilevel"/>
    <w:lvl w:ilvl="0">
      <w:lvlJc w:val="left"/>
      <w:lvlText w:val="*"/>
      <w:numFmt w:val="bullet"/>
      <w:start w:val="1"/>
    </w:lvl>
  </w:abstractNum>
  <w:abstractNum w:abstractNumId="123">
    <w:nsid w:val="78B5E776"/>
    <w:multiLevelType w:val="hybridMultilevel"/>
    <w:lvl w:ilvl="0">
      <w:lvlJc w:val="left"/>
      <w:lvlText w:val="(%1)"/>
      <w:numFmt w:val="decimal"/>
      <w:start w:val="4"/>
    </w:lvl>
  </w:abstractNum>
  <w:abstractNum w:abstractNumId="124">
    <w:nsid w:val="75486E47"/>
    <w:multiLevelType w:val="hybridMultilevel"/>
    <w:lvl w:ilvl="0">
      <w:lvlJc w:val="left"/>
      <w:lvlText w:val="*"/>
      <w:numFmt w:val="bullet"/>
      <w:start w:val="1"/>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
      <w:numFmt w:val="bullet"/>
      <w:start w:val="1"/>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1."/>
      <w:numFmt w:val="lowerRoman"/>
      <w:start w:val="1"/>
    </w:lvl>
  </w:abstractNum>
  <w:abstractNum w:abstractNumId="129">
    <w:nsid w:val="260D8C4A"/>
    <w:multiLevelType w:val="hybridMultilevel"/>
    <w:lvl w:ilvl="0">
      <w:lvlJc w:val="left"/>
      <w:lvlText w:val="%1."/>
      <w:numFmt w:val="lowerRoman"/>
      <w:start w:val="1"/>
    </w:lvl>
  </w:abstractNum>
  <w:abstractNum w:abstractNumId="130">
    <w:nsid w:val="73D4D3C4"/>
    <w:multiLevelType w:val="hybridMultilevel"/>
    <w:lvl w:ilvl="0">
      <w:lvlJc w:val="left"/>
      <w:lvlText w:val="%1."/>
      <w:numFmt w:val="lowerRoman"/>
      <w:start w:val="1"/>
    </w:lvl>
  </w:abstractNum>
  <w:abstractNum w:abstractNumId="131">
    <w:nsid w:val="746F2E30"/>
    <w:multiLevelType w:val="hybridMultilevel"/>
    <w:lvl w:ilvl="0">
      <w:lvlJc w:val="left"/>
      <w:lvlText w:val="%1."/>
      <w:numFmt w:val="lowerRoman"/>
      <w:start w:val="2"/>
    </w:lvl>
  </w:abstractNum>
  <w:abstractNum w:abstractNumId="132">
    <w:nsid w:val="6FDE8AF6"/>
    <w:multiLevelType w:val="hybridMultilevel"/>
    <w:lvl w:ilvl="0">
      <w:lvlJc w:val="left"/>
      <w:lvlText w:val="(%1)"/>
      <w:numFmt w:val="lowerLetter"/>
      <w:start w:val="1"/>
    </w:lvl>
  </w:abstractNum>
  <w:abstractNum w:abstractNumId="133">
    <w:nsid w:val="3FC32E20"/>
    <w:multiLevelType w:val="hybridMultilevel"/>
    <w:lvl w:ilvl="0">
      <w:lvlJc w:val="left"/>
      <w:lvlText w:val="%1."/>
      <w:numFmt w:val="decimal"/>
      <w:start w:val="1"/>
    </w:lvl>
  </w:abstractNum>
  <w:abstractNum w:abstractNumId="134">
    <w:nsid w:val="49C0E823"/>
    <w:multiLevelType w:val="hybridMultilevel"/>
    <w:lvl w:ilvl="0">
      <w:lvlJc w:val="left"/>
      <w:lvlText w:val="*"/>
      <w:numFmt w:val="bullet"/>
      <w:start w:val="1"/>
    </w:lvl>
  </w:abstractNum>
  <w:abstractNum w:abstractNumId="135">
    <w:nsid w:val="14D53685"/>
    <w:multiLevelType w:val="hybridMultilevel"/>
    <w:lvl w:ilvl="0">
      <w:lvlJc w:val="left"/>
      <w:lvlText w:val="†"/>
      <w:numFmt w:val="bullet"/>
      <w:start w:val="1"/>
    </w:lvl>
  </w:abstractNum>
  <w:abstractNum w:abstractNumId="136">
    <w:nsid w:val="230F856C"/>
    <w:multiLevelType w:val="hybridMultilevel"/>
    <w:lvl w:ilvl="0">
      <w:lvlJc w:val="left"/>
      <w:lvlText w:val="%1."/>
      <w:numFmt w:val="decimal"/>
      <w:start w:val="1"/>
    </w:lvl>
    <w:lvl w:ilvl="1">
      <w:lvlJc w:val="left"/>
      <w:lvlText w:val="§"/>
      <w:numFmt w:val="bullet"/>
      <w:start w:val="1"/>
    </w:lvl>
  </w:abstractNum>
  <w:abstractNum w:abstractNumId="137">
    <w:nsid w:val="6EAA85FB"/>
    <w:multiLevelType w:val="hybridMultilevel"/>
    <w:lvl w:ilvl="0">
      <w:lvlJc w:val="left"/>
      <w:lvlText w:val="(%1)"/>
      <w:numFmt w:val="upperLetter"/>
      <w:start w:val="35"/>
    </w:lvl>
    <w:lvl w:ilvl="1">
      <w:lvlJc w:val="left"/>
      <w:lvlText w:val="(%2)"/>
      <w:numFmt w:val="lowerLetter"/>
      <w:start w:val="1"/>
    </w:lvl>
  </w:abstractNum>
  <w:abstractNum w:abstractNumId="138">
    <w:nsid w:val="3F06ECB2"/>
    <w:multiLevelType w:val="hybridMultilevel"/>
    <w:lvl w:ilvl="0">
      <w:lvlJc w:val="left"/>
      <w:lvlText w:val="·"/>
      <w:numFmt w:val="bullet"/>
      <w:start w:val="1"/>
    </w:lvl>
  </w:abstractNum>
  <w:abstractNum w:abstractNumId="139">
    <w:nsid w:val="3B594807"/>
    <w:multiLevelType w:val="hybridMultilevel"/>
    <w:lvl w:ilvl="0">
      <w:lvlJc w:val="left"/>
      <w:lvlText w:val="(%1)"/>
      <w:numFmt w:val="lowerLetter"/>
      <w:start w:val="2"/>
    </w:lvl>
    <w:lvl w:ilvl="1">
      <w:lvlJc w:val="left"/>
      <w:lvlText w:val="·"/>
      <w:numFmt w:val="bullet"/>
      <w:start w:val="1"/>
    </w:lvl>
  </w:abstractNum>
  <w:abstractNum w:abstractNumId="140">
    <w:nsid w:val="6CAA2304"/>
    <w:multiLevelType w:val="hybridMultilevel"/>
    <w:lvl w:ilvl="0">
      <w:lvlJc w:val="left"/>
      <w:lvlText w:val="(%1)"/>
      <w:numFmt w:val="lowerLetter"/>
      <w:start w:val="3"/>
    </w:lvl>
  </w:abstractNum>
  <w:abstractNum w:abstractNumId="141">
    <w:nsid w:val="3F7C2FF4"/>
    <w:multiLevelType w:val="hybridMultilevel"/>
    <w:lvl w:ilvl="0">
      <w:lvlJc w:val="left"/>
      <w:lvlText w:val="%1)"/>
      <w:numFmt w:val="decimal"/>
      <w:start w:val="1"/>
    </w:lvl>
  </w:abstractNum>
  <w:abstractNum w:abstractNumId="142">
    <w:nsid w:val="25413BEC"/>
    <w:multiLevelType w:val="hybridMultilevel"/>
    <w:lvl w:ilvl="0">
      <w:lvlJc w:val="left"/>
      <w:lvlText w:val="(%1)"/>
      <w:numFmt w:val="lowerLetter"/>
      <w:start w:val="4"/>
    </w:lvl>
    <w:lvl w:ilvl="1">
      <w:lvlJc w:val="left"/>
      <w:lvlText w:val="(%2)"/>
      <w:numFmt w:val="lowerLetter"/>
      <w:start w:val="6"/>
    </w:lvl>
  </w:abstractNum>
  <w:abstractNum w:abstractNumId="143">
    <w:nsid w:val="17180B0B"/>
    <w:multiLevelType w:val="hybridMultilevel"/>
    <w:lvl w:ilvl="0">
      <w:lvlJc w:val="left"/>
      <w:lvlText w:val="%1"/>
      <w:numFmt w:val="upperLetter"/>
      <w:start w:val="1"/>
    </w:lvl>
    <w:lvl w:ilvl="1">
      <w:lvlJc w:val="left"/>
      <w:lvlText w:val="(%2)"/>
      <w:numFmt w:val="lowerLetter"/>
      <w:start w:val="2"/>
    </w:lvl>
  </w:abstractNum>
  <w:abstractNum w:abstractNumId="144">
    <w:nsid w:val="579328B9"/>
    <w:multiLevelType w:val="hybridMultilevel"/>
    <w:lvl w:ilvl="0">
      <w:lvlJc w:val="left"/>
      <w:lvlText w:val="%1."/>
      <w:numFmt w:val="upperLetter"/>
      <w:start w:val="3"/>
    </w:lvl>
    <w:lvl w:ilvl="1">
      <w:lvlJc w:val="left"/>
      <w:lvlText w:val="(%2)"/>
      <w:numFmt w:val="lowerLetter"/>
      <w:start w:val="1"/>
    </w:lvl>
  </w:abstractNum>
  <w:abstractNum w:abstractNumId="145">
    <w:nsid w:val="5D205E20"/>
    <w:multiLevelType w:val="hybridMultilevel"/>
    <w:lvl w:ilvl="0">
      <w:lvlJc w:val="left"/>
      <w:lvlText w:val="%1"/>
      <w:numFmt w:val="upperLetter"/>
      <w:start w:val="1"/>
    </w:lvl>
    <w:lvl w:ilvl="1">
      <w:lvlJc w:val="left"/>
      <w:lvlText w:val="(%2)"/>
      <w:numFmt w:val="lowerLetter"/>
      <w:start w:val="2"/>
    </w:lvl>
  </w:abstractNum>
  <w:abstractNum w:abstractNumId="146">
    <w:nsid w:val="11CCA8BA"/>
    <w:multiLevelType w:val="hybridMultilevel"/>
    <w:lvl w:ilvl="0">
      <w:lvlJc w:val="left"/>
      <w:lvlText w:val="%1."/>
      <w:numFmt w:val="upperLetter"/>
      <w:start w:val="4"/>
    </w:lvl>
    <w:lvl w:ilvl="1">
      <w:lvlJc w:val="left"/>
      <w:lvlText w:val="(%2)"/>
      <w:numFmt w:val="lowerLetter"/>
      <w:start w:val="1"/>
    </w:lvl>
  </w:abstractNum>
  <w:abstractNum w:abstractNumId="147">
    <w:nsid w:val="4D32AB86"/>
    <w:multiLevelType w:val="hybridMultilevel"/>
    <w:lvl w:ilvl="0">
      <w:lvlJc w:val="left"/>
      <w:lvlText w:val="(%1)"/>
      <w:numFmt w:val="lowerLetter"/>
      <w:start w:val="2"/>
    </w:lvl>
  </w:abstractNum>
  <w:abstractNum w:abstractNumId="148">
    <w:nsid w:val="3F07ACC3"/>
    <w:multiLevelType w:val="hybridMultilevel"/>
    <w:lvl w:ilvl="0">
      <w:lvlJc w:val="left"/>
      <w:lvlText w:val="(%1)"/>
      <w:numFmt w:val="lowerLetter"/>
      <w:start w:val="4"/>
    </w:lvl>
  </w:abstractNum>
  <w:abstractNum w:abstractNumId="149">
    <w:nsid w:val="6B47F63E"/>
    <w:multiLevelType w:val="hybridMultilevel"/>
    <w:lvl w:ilvl="0">
      <w:lvlJc w:val="left"/>
      <w:lvlText w:val="(%1)"/>
      <w:numFmt w:val="lowerLetter"/>
      <w:start w:val="6"/>
    </w:lvl>
  </w:abstractNum>
  <w:abstractNum w:abstractNumId="150">
    <w:nsid w:val="5CB44A05"/>
    <w:multiLevelType w:val="hybridMultilevel"/>
    <w:lvl w:ilvl="0">
      <w:lvlJc w:val="left"/>
      <w:lvlText w:val="%1"/>
      <w:numFmt w:val="lowerRoman"/>
      <w:start w:val="1"/>
    </w:lvl>
    <w:lvl w:ilvl="1">
      <w:lvlJc w:val="left"/>
      <w:lvlText w:val="(%2)"/>
      <w:numFmt w:val="lowerRoman"/>
      <w:start w:val="1"/>
    </w:lvl>
  </w:abstractNum>
  <w:abstractNum w:abstractNumId="151">
    <w:nsid w:val="16CF80F1"/>
    <w:multiLevelType w:val="hybridMultilevel"/>
    <w:lvl w:ilvl="0">
      <w:lvlJc w:val="left"/>
      <w:lvlText w:val="(%1)"/>
      <w:numFmt w:val="lowerRoman"/>
      <w:start w:val="2"/>
    </w:lvl>
    <w:lvl w:ilvl="1">
      <w:lvlJc w:val="left"/>
      <w:lvlText w:val="%2"/>
      <w:numFmt w:val="lowerRoman"/>
      <w:start w:val="1"/>
    </w:lvl>
  </w:abstractNum>
  <w:abstractNum w:abstractNumId="152">
    <w:nsid w:val="1C695DEC"/>
    <w:multiLevelType w:val="hybridMultilevel"/>
    <w:lvl w:ilvl="0">
      <w:lvlJc w:val="left"/>
      <w:lvlText w:val="(%1)"/>
      <w:numFmt w:val="lowerLetter"/>
      <w:start w:val="1"/>
    </w:lvl>
  </w:abstractNum>
  <w:abstractNum w:abstractNumId="153">
    <w:nsid w:val="3FCFAED9"/>
    <w:multiLevelType w:val="hybridMultilevel"/>
    <w:lvl w:ilvl="0">
      <w:lvlJc w:val="left"/>
      <w:lvlText w:val="(%1)"/>
      <w:numFmt w:val="lowerLetter"/>
      <w:start w:val="4"/>
    </w:lvl>
  </w:abstractNum>
  <w:abstractNum w:abstractNumId="154">
    <w:nsid w:val="F856867"/>
    <w:multiLevelType w:val="hybridMultilevel"/>
    <w:lvl w:ilvl="0">
      <w:lvlJc w:val="left"/>
      <w:lvlText w:val="%1."/>
      <w:numFmt w:val="upperLetter"/>
      <w:start w:val="7"/>
    </w:lvl>
    <w:lvl w:ilvl="1">
      <w:lvlJc w:val="left"/>
      <w:lvlText w:val="(%2)"/>
      <w:numFmt w:val="lowerRoman"/>
      <w:start w:val="1"/>
    </w:lvl>
  </w:abstractNum>
  <w:abstractNum w:abstractNumId="155">
    <w:nsid w:val="11B1CC33"/>
    <w:multiLevelType w:val="hybridMultilevel"/>
    <w:lvl w:ilvl="0">
      <w:lvlJc w:val="left"/>
      <w:lvlText w:val="(%1)"/>
      <w:numFmt w:val="upperLetter"/>
      <w:start w:val="35"/>
    </w:lvl>
    <w:lvl w:ilvl="1">
      <w:lvlJc w:val="left"/>
      <w:lvlText w:val="(%2)"/>
      <w:numFmt w:val="lowerLetter"/>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1)"/>
      <w:numFmt w:val="lowerLetter"/>
      <w:start w:val="2"/>
    </w:lvl>
    <w:lvl w:ilvl="1">
      <w:lvlJc w:val="left"/>
      <w:lvlText w:val="·"/>
      <w:numFmt w:val="bullet"/>
      <w:start w:val="1"/>
    </w:lvl>
  </w:abstractNum>
  <w:abstractNum w:abstractNumId="158">
    <w:nsid w:val="77485850"/>
    <w:multiLevelType w:val="hybridMultilevel"/>
    <w:lvl w:ilvl="0">
      <w:lvlJc w:val="left"/>
      <w:lvlText w:val="(%1)"/>
      <w:numFmt w:val="lowerLetter"/>
      <w:start w:val="3"/>
    </w:lvl>
  </w:abstractNum>
  <w:abstractNum w:abstractNumId="159">
    <w:nsid w:val="744939A3"/>
    <w:multiLevelType w:val="hybridMultilevel"/>
    <w:lvl w:ilvl="0">
      <w:lvlJc w:val="left"/>
      <w:lvlText w:val="%1)"/>
      <w:numFmt w:val="decimal"/>
      <w:start w:val="1"/>
    </w:lvl>
  </w:abstractNum>
  <w:abstractNum w:abstractNumId="160">
    <w:nsid w:val="4FA0D2E3"/>
    <w:multiLevelType w:val="hybridMultilevel"/>
    <w:lvl w:ilvl="0">
      <w:lvlJc w:val="left"/>
      <w:lvlText w:val="(%1)"/>
      <w:numFmt w:val="lowerLetter"/>
      <w:start w:val="5"/>
    </w:lvl>
  </w:abstractNum>
  <w:abstractNum w:abstractNumId="161">
    <w:nsid w:val="6B1D2C14"/>
    <w:multiLevelType w:val="hybridMultilevel"/>
    <w:lvl w:ilvl="0">
      <w:lvlJc w:val="left"/>
      <w:lvlText w:val="(%1)"/>
      <w:numFmt w:val="lowerLetter"/>
      <w:start w:val="1"/>
    </w:lvl>
  </w:abstractNum>
  <w:abstractNum w:abstractNumId="162">
    <w:nsid w:val="68B867D3"/>
    <w:multiLevelType w:val="hybridMultilevel"/>
    <w:lvl w:ilvl="0">
      <w:lvlJc w:val="left"/>
      <w:lvlText w:val="%1"/>
      <w:numFmt w:val="upperLetter"/>
      <w:start w:val="1"/>
    </w:lvl>
    <w:lvl w:ilvl="1">
      <w:lvlJc w:val="left"/>
      <w:lvlText w:val="(%2)"/>
      <w:numFmt w:val="lowerLetter"/>
      <w:start w:val="3"/>
    </w:lvl>
  </w:abstractNum>
  <w:abstractNum w:abstractNumId="163">
    <w:nsid w:val="3F7F5DD9"/>
    <w:multiLevelType w:val="hybridMultilevel"/>
    <w:lvl w:ilvl="0">
      <w:lvlJc w:val="left"/>
      <w:lvlText w:val="%1."/>
      <w:numFmt w:val="upperLetter"/>
      <w:start w:val="3"/>
    </w:lvl>
    <w:lvl w:ilvl="1">
      <w:lvlJc w:val="left"/>
      <w:lvlText w:val="(%2)"/>
      <w:numFmt w:val="lowerLetter"/>
      <w:start w:val="1"/>
    </w:lvl>
  </w:abstractNum>
  <w:abstractNum w:abstractNumId="164">
    <w:nsid w:val="2AE05A34"/>
    <w:multiLevelType w:val="hybridMultilevel"/>
    <w:lvl w:ilvl="0">
      <w:lvlJc w:val="left"/>
      <w:lvlText w:val="(%1)"/>
      <w:numFmt w:val="lowerLetter"/>
      <w:start w:val="2"/>
    </w:lvl>
  </w:abstractNum>
  <w:abstractNum w:abstractNumId="165">
    <w:nsid w:val="32794FF7"/>
    <w:multiLevelType w:val="hybridMultilevel"/>
    <w:lvl w:ilvl="0">
      <w:lvlJc w:val="left"/>
      <w:lvlText w:val="(%1)"/>
      <w:numFmt w:val="lowerLetter"/>
      <w:start w:val="5"/>
    </w:lvl>
  </w:abstractNum>
  <w:abstractNum w:abstractNumId="166">
    <w:nsid w:val="5454945E"/>
    <w:multiLevelType w:val="hybridMultilevel"/>
    <w:lvl w:ilvl="0">
      <w:lvlJc w:val="left"/>
      <w:lvlText w:val="(%1)"/>
      <w:numFmt w:val="lowerLetter"/>
      <w:start w:val="6"/>
    </w:lvl>
  </w:abstractNum>
  <w:abstractNum w:abstractNumId="167">
    <w:nsid w:val="4DEFDFA0"/>
    <w:multiLevelType w:val="hybridMultilevel"/>
    <w:lvl w:ilvl="0">
      <w:lvlJc w:val="left"/>
      <w:lvlText w:val="%1"/>
      <w:numFmt w:val="lowerLetter"/>
      <w:start w:val="1"/>
    </w:lvl>
    <w:lvl w:ilvl="1">
      <w:lvlJc w:val="left"/>
      <w:lvlText w:val="(%2)"/>
      <w:numFmt w:val="lowerRoman"/>
      <w:start w:val="1"/>
    </w:lvl>
  </w:abstractNum>
  <w:abstractNum w:abstractNumId="168">
    <w:nsid w:val="2123D5F2"/>
    <w:multiLevelType w:val="hybridMultilevel"/>
    <w:lvl w:ilvl="0">
      <w:lvlJc w:val="left"/>
      <w:lvlText w:val="(%1)"/>
      <w:numFmt w:val="lowerLetter"/>
      <w:start w:val="1"/>
    </w:lvl>
    <w:lvl w:ilvl="1">
      <w:lvlJc w:val="left"/>
      <w:lvlText w:val="%2"/>
      <w:numFmt w:val="lowerRoman"/>
      <w:start w:val="1"/>
    </w:lvl>
  </w:abstractNum>
  <w:abstractNum w:abstractNumId="169">
    <w:nsid w:val="135B8110"/>
    <w:multiLevelType w:val="hybridMultilevel"/>
    <w:lvl w:ilvl="0">
      <w:lvlJc w:val="left"/>
      <w:lvlText w:val="%1."/>
      <w:numFmt w:val="upperLetter"/>
      <w:start w:val="7"/>
    </w:lvl>
    <w:lvl w:ilvl="1">
      <w:lvlJc w:val="left"/>
      <w:lvlText w:val="(%2)"/>
      <w:numFmt w:val="lowerRoman"/>
      <w:start w:val="1"/>
    </w:lvl>
  </w:abstractNum>
  <w:abstractNum w:abstractNumId="170">
    <w:nsid w:val="94927A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2020-03-14T19:15:04Z</dcterms:created>
  <dcterms:modified xsi:type="dcterms:W3CDTF">2020-03-14T19:15:04Z</dcterms:modified>
</cp:coreProperties>
</file>