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Articles of Association</w:t>
            </w: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536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May 13, 2026</w:t>
      </w:r>
    </w:p>
    <w:p>
      <w:pPr>
        <w:sectPr>
          <w:pgSz w:w="11900" w:h="16838" w:orient="portrait"/>
          <w:cols w:equalWidth="0" w:num="1">
            <w:col w:w="11220"/>
          </w:cols>
          <w:pgMar w:left="320" w:top="1255" w:right="359" w:bottom="1440" w:gutter="0" w:footer="0" w:header="0"/>
        </w:sectPr>
      </w:pPr>
    </w:p>
    <w:bookmarkStart w:id="3" w:name="page4"/>
    <w:bookmarkEnd w:id="3"/>
    <w:p>
      <w:pPr>
        <w:ind w:left="10240"/>
        <w:spacing w:after="0"/>
        <w:rPr>
          <w:sz w:val="20"/>
          <w:szCs w:val="20"/>
          <w:color w:val="auto"/>
        </w:rPr>
      </w:pPr>
      <w:r>
        <w:rPr>
          <w:rFonts w:ascii="Arial" w:cs="Arial" w:eastAsia="Arial" w:hAnsi="Arial"/>
          <w:sz w:val="21"/>
          <w:szCs w:val="2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(English translation)</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(May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Articles of Association</w:t>
      </w:r>
    </w:p>
    <w:p>
      <w:pPr>
        <w:spacing w:after="0" w:line="3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Genmab A/S</w:t>
      </w:r>
    </w:p>
    <w:p>
      <w:pPr>
        <w:spacing w:after="0" w:line="15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(CVR-nr. 21023884</w:t>
      </w:r>
    </w:p>
    <w:p>
      <w:pPr>
        <w:spacing w:after="0" w:line="15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Formerly A/S registration no.: 248.498)</w:t>
      </w:r>
    </w:p>
    <w:p>
      <w:pPr>
        <w:sectPr>
          <w:pgSz w:w="11900" w:h="16838" w:orient="portrait"/>
          <w:cols w:equalWidth="0" w:num="1">
            <w:col w:w="11240"/>
          </w:cols>
          <w:pgMar w:left="320" w:top="127"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Name, Registered Office, Objects and Group Language</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name of the Company is Genmab A/S.</w:t>
      </w:r>
    </w:p>
    <w:p>
      <w:pPr>
        <w:spacing w:after="0" w:line="200" w:lineRule="exact"/>
        <w:rPr>
          <w:sz w:val="20"/>
          <w:szCs w:val="20"/>
          <w:color w:val="auto"/>
        </w:rPr>
      </w:pPr>
    </w:p>
    <w:p>
      <w:pPr>
        <w:spacing w:after="0" w:line="202"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2.</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registered office of the Company shall be in the municipality of Copenhagen.</w:t>
      </w:r>
    </w:p>
    <w:p>
      <w:pPr>
        <w:spacing w:after="0" w:line="200" w:lineRule="exact"/>
        <w:rPr>
          <w:sz w:val="20"/>
          <w:szCs w:val="20"/>
          <w:color w:val="auto"/>
        </w:rPr>
      </w:pPr>
    </w:p>
    <w:p>
      <w:pPr>
        <w:spacing w:after="0" w:line="202"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3.</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objects of the Company are to engage in medical research, production and sale of such products and related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3A.</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group language of the Company is English.</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The Company’s Share Capital</w:t>
      </w:r>
    </w:p>
    <w:p>
      <w:pPr>
        <w:spacing w:after="0" w:line="267"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4.</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share capital of the Company equals DKK 62,353,067 divided into shares of DKK 1 each or any multiple</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4A.</w:t>
      </w:r>
    </w:p>
    <w:p>
      <w:pPr>
        <w:spacing w:after="0" w:line="159" w:lineRule="exact"/>
        <w:rPr>
          <w:sz w:val="20"/>
          <w:szCs w:val="20"/>
          <w:color w:val="auto"/>
        </w:rPr>
      </w:pPr>
    </w:p>
    <w:p>
      <w:pPr>
        <w:jc w:val="both"/>
        <w:ind w:firstLine="893"/>
        <w:spacing w:after="0" w:line="415" w:lineRule="auto"/>
        <w:rPr>
          <w:sz w:val="20"/>
          <w:szCs w:val="20"/>
          <w:color w:val="auto"/>
        </w:rPr>
      </w:pPr>
      <w:r>
        <w:rPr>
          <w:rFonts w:ascii="Verdana" w:cs="Verdana" w:eastAsia="Verdana" w:hAnsi="Verdana"/>
          <w:sz w:val="18"/>
          <w:szCs w:val="18"/>
          <w:color w:val="auto"/>
        </w:rPr>
        <w:t>The Board of Directors is until and including March 12, 2029, authorized to increase the Company's share capital on one or more occasions without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The capital increase must be subscribed at a price not lower than the market value.</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Further, the Board of Directors is until and including March 12, 2029, authorized to increase the Company's share capital on one or more occasions with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w:t>
      </w:r>
    </w:p>
    <w:p>
      <w:pPr>
        <w:spacing w:after="0" w:line="1" w:lineRule="exact"/>
        <w:rPr>
          <w:sz w:val="20"/>
          <w:szCs w:val="20"/>
          <w:color w:val="auto"/>
        </w:rPr>
      </w:pPr>
    </w:p>
    <w:p>
      <w:pPr>
        <w:jc w:val="both"/>
        <w:ind w:firstLine="893"/>
        <w:spacing w:after="0" w:line="423" w:lineRule="auto"/>
        <w:rPr>
          <w:sz w:val="20"/>
          <w:szCs w:val="20"/>
          <w:color w:val="auto"/>
        </w:rPr>
      </w:pPr>
      <w:r>
        <w:rPr>
          <w:rFonts w:ascii="Verdana" w:cs="Verdana" w:eastAsia="Verdana" w:hAnsi="Verdana"/>
          <w:sz w:val="18"/>
          <w:szCs w:val="18"/>
          <w:color w:val="auto"/>
        </w:rPr>
        <w:t>In connection with the exercise of the authorizations in this Article 4A, the Board of Directors may, however, not increase the nominal share capital by more than a total of DKK 6,600,000. The Board of Directors is authorized to amend the Articles of Association as required in connection with the exercise of these authorizations.</w:t>
      </w:r>
    </w:p>
    <w:p>
      <w:pPr>
        <w:spacing w:after="0" w:line="20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Warrants</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w:t>
      </w:r>
    </w:p>
    <w:p>
      <w:pPr>
        <w:spacing w:after="0" w:line="159" w:lineRule="exact"/>
        <w:rPr>
          <w:sz w:val="20"/>
          <w:szCs w:val="20"/>
          <w:color w:val="auto"/>
        </w:rPr>
      </w:pPr>
    </w:p>
    <w:p>
      <w:pPr>
        <w:jc w:val="both"/>
        <w:ind w:firstLine="893"/>
        <w:spacing w:after="0" w:line="415" w:lineRule="auto"/>
        <w:rPr>
          <w:sz w:val="20"/>
          <w:szCs w:val="20"/>
          <w:color w:val="auto"/>
        </w:rPr>
      </w:pPr>
      <w:r>
        <w:rPr>
          <w:rFonts w:ascii="Verdana" w:cs="Verdana" w:eastAsia="Verdana" w:hAnsi="Verdana"/>
          <w:sz w:val="18"/>
          <w:szCs w:val="18"/>
          <w:color w:val="auto"/>
        </w:rPr>
        <w:t>By decision of the General Meeting on April 13, 2021,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104,194 warrants under this authorization. This authorization shall remain in force for a period ending on April 12, 2026.</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Furthermore, by decision of the General Meeting on March 13, 2024,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30,310 warrants under this authorization. This authorization shall remain in force for a period ending on March 12, 2029.</w:t>
      </w:r>
    </w:p>
    <w:p>
      <w:pPr>
        <w:spacing w:after="0" w:line="6" w:lineRule="exact"/>
        <w:rPr>
          <w:sz w:val="20"/>
          <w:szCs w:val="20"/>
          <w:color w:val="auto"/>
        </w:rPr>
      </w:pPr>
    </w:p>
    <w:p>
      <w:pPr>
        <w:jc w:val="both"/>
        <w:ind w:firstLine="893"/>
        <w:spacing w:after="0" w:line="410" w:lineRule="auto"/>
        <w:rPr>
          <w:sz w:val="20"/>
          <w:szCs w:val="20"/>
          <w:color w:val="auto"/>
        </w:rPr>
      </w:pPr>
      <w:r>
        <w:rPr>
          <w:rFonts w:ascii="Verdana" w:cs="Verdana" w:eastAsia="Verdana" w:hAnsi="Verdana"/>
          <w:sz w:val="18"/>
          <w:szCs w:val="18"/>
          <w:color w:val="auto"/>
        </w:rPr>
        <w:t>Furthermore, by decision of the General Meeting on March 12, 2025,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33,515 warrants under this authorization. This authorization shall remain in force for a period ending on March 11, 2030.</w:t>
      </w:r>
    </w:p>
    <w:p>
      <w:pPr>
        <w:spacing w:after="0" w:line="7" w:lineRule="exact"/>
        <w:rPr>
          <w:sz w:val="20"/>
          <w:szCs w:val="20"/>
          <w:color w:val="auto"/>
        </w:rPr>
      </w:pPr>
    </w:p>
    <w:p>
      <w:pPr>
        <w:jc w:val="both"/>
        <w:ind w:firstLine="893"/>
        <w:spacing w:after="0" w:line="419" w:lineRule="auto"/>
        <w:rPr>
          <w:sz w:val="20"/>
          <w:szCs w:val="20"/>
          <w:color w:val="auto"/>
        </w:rPr>
      </w:pPr>
      <w:r>
        <w:rPr>
          <w:rFonts w:ascii="Verdana" w:cs="Verdana" w:eastAsia="Verdana" w:hAnsi="Verdana"/>
          <w:sz w:val="18"/>
          <w:szCs w:val="18"/>
          <w:color w:val="auto"/>
        </w:rPr>
        <w:t>Subject to the rules in force at any time, the Board of Directors may re-use or re-issue lapsed nonexercised warrants, if any, provided that the re-use or re-issue occurs under the same terms and within the time limitations set out in the relevant authorization. Re-use is to be construed as the Board of Directors' entitlement to let another party enter into an existing agreement on warrants. Re-issue is to be construed as the Board of Directors' option to re-issue new warrants</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09" w:lineRule="auto"/>
        <w:rPr>
          <w:sz w:val="20"/>
          <w:szCs w:val="20"/>
          <w:color w:val="auto"/>
        </w:rPr>
      </w:pPr>
      <w:r>
        <w:rPr>
          <w:rFonts w:ascii="Verdana" w:cs="Verdana" w:eastAsia="Verdana" w:hAnsi="Verdana"/>
          <w:sz w:val="18"/>
          <w:szCs w:val="18"/>
          <w:color w:val="auto"/>
        </w:rPr>
        <w:t>under the same authorization, if previously issued warrants have lapsed. One warrant shall give the right to subscribe one share with a nominal value of DKK 1 at a subscription price per share determined by the Board of Directors which, however, shall be no less than the market price per share of the Company’s shares at the time of issue.</w:t>
      </w:r>
    </w:p>
    <w:p>
      <w:pPr>
        <w:spacing w:after="0" w:line="2"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Board of Directors is authorized to set out more detailed terms for the warrants, and to amend the Articles of Association as required in connection with the exercise of these authorizations.</w:t>
      </w:r>
    </w:p>
    <w:p>
      <w:pPr>
        <w:spacing w:after="0" w:line="1" w:lineRule="exact"/>
        <w:rPr>
          <w:sz w:val="20"/>
          <w:szCs w:val="20"/>
          <w:color w:val="auto"/>
        </w:rPr>
      </w:pPr>
    </w:p>
    <w:p>
      <w:pPr>
        <w:jc w:val="both"/>
        <w:ind w:firstLine="893"/>
        <w:spacing w:after="0" w:line="410" w:lineRule="auto"/>
        <w:rPr>
          <w:sz w:val="20"/>
          <w:szCs w:val="20"/>
          <w:color w:val="auto"/>
        </w:rPr>
      </w:pPr>
      <w:r>
        <w:rPr>
          <w:rFonts w:ascii="Verdana" w:cs="Verdana" w:eastAsia="Verdana" w:hAnsi="Verdana"/>
          <w:sz w:val="18"/>
          <w:szCs w:val="18"/>
          <w:color w:val="auto"/>
        </w:rPr>
        <w:t>The existing shareholders of the Company shall not have a right of preemption in connection with issue of shares on the basis of warrants. The shares that are issued through the exercise of warrants shall carry the same pre-emption rights in connection with future increases, redemption rights, and transferability rights as the Company’s existing shares. The shares shall be negotiable instruments and issued in the name of the holder.</w:t>
      </w:r>
    </w:p>
    <w:p>
      <w:pPr>
        <w:spacing w:after="0" w:line="4"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The Board of Directors has exercised the above authorizations as stipulated in schedule A which is an integral part of these articles.</w:t>
      </w:r>
    </w:p>
    <w:p>
      <w:pPr>
        <w:spacing w:after="0" w:line="21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5A.</w:t>
      </w:r>
    </w:p>
    <w:p>
      <w:pPr>
        <w:spacing w:after="0" w:line="159" w:lineRule="exact"/>
        <w:rPr>
          <w:sz w:val="20"/>
          <w:szCs w:val="20"/>
          <w:color w:val="auto"/>
        </w:rPr>
      </w:pPr>
    </w:p>
    <w:p>
      <w:pPr>
        <w:jc w:val="both"/>
        <w:ind w:firstLine="893"/>
        <w:spacing w:after="0" w:line="415" w:lineRule="auto"/>
        <w:rPr>
          <w:sz w:val="20"/>
          <w:szCs w:val="20"/>
          <w:color w:val="auto"/>
        </w:rPr>
      </w:pPr>
      <w:r>
        <w:rPr>
          <w:rFonts w:ascii="Verdana" w:cs="Verdana" w:eastAsia="Verdana" w:hAnsi="Verdana"/>
          <w:sz w:val="18"/>
          <w:szCs w:val="18"/>
          <w:color w:val="auto"/>
        </w:rPr>
        <w:t>The Board of Directors is until and including March 12, 2029, authorized to let the Company issue convertible debt instruments in one or more issues, entitling the lender to covert its claim to a maximum of nominally DKK 3,000,000 new shares. However, the nominal increase of the share capital may be higher due to subsequent adjustments of the convertible debt instruments in accordance with the adjustment clauses determined by the Board of Directors when the convertible debt instruments are issued. The Board of Directors is also authorized to complete the consequential increase of the share capital. Convertible debt instruments may be issued against payment in cash or in other ways. The subscription of shares shall be without pre-emption rights for the shareholders and the convertible debt instruments shall be offered at a conversion price that at least corresponds to the market price of the shares at the time of the decision of the Board of Directors. The</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new shares shall carry the same pre-emption rights in connection with future increases, redemption rights, and transferability rights as the Company’s existing shares. The shares shall be negotiable instruments and issued in the name of the holder. The Board of Directors is authorized to determine the detailed terms of the convertible debt instruments and to amend the Articles of Association as required in connection with the exercise of this authorization.</w:t>
      </w:r>
    </w:p>
    <w:p>
      <w:pPr>
        <w:spacing w:after="0" w:line="22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5B.</w:t>
      </w:r>
    </w:p>
    <w:p>
      <w:pPr>
        <w:spacing w:after="0" w:line="159" w:lineRule="exact"/>
        <w:rPr>
          <w:sz w:val="20"/>
          <w:szCs w:val="20"/>
          <w:color w:val="auto"/>
        </w:rPr>
      </w:pPr>
    </w:p>
    <w:p>
      <w:pPr>
        <w:jc w:val="both"/>
        <w:ind w:firstLine="893"/>
        <w:spacing w:after="0" w:line="411" w:lineRule="auto"/>
        <w:rPr>
          <w:sz w:val="20"/>
          <w:szCs w:val="20"/>
          <w:color w:val="auto"/>
        </w:rPr>
      </w:pPr>
      <w:r>
        <w:rPr>
          <w:rFonts w:ascii="Verdana" w:cs="Verdana" w:eastAsia="Verdana" w:hAnsi="Verdana"/>
          <w:sz w:val="18"/>
          <w:szCs w:val="18"/>
          <w:color w:val="auto"/>
        </w:rPr>
        <w:t>The authorizations to the Board of Directors set out in Articles 4A and 5A above combined can, subject to the limitations set forth therein, be utilized to increase the share capital by a total of nominally DKK 6,600,000 however, the nominal increase of the share capital may be higher due to subsequent adjustments of the convertible debt instruments in accordance with the adjustment clauses determined by the Board of Directors when the convertible debt instruments are issued.</w:t>
      </w:r>
    </w:p>
    <w:p>
      <w:pPr>
        <w:spacing w:after="0" w:line="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6.</w:t>
      </w:r>
    </w:p>
    <w:p>
      <w:pPr>
        <w:spacing w:after="0" w:line="159"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shares are issued in the name of the holder and are entered in the name of their holders in the Company’s Register of Shareholders. Until the board decides otherwise the register of shareholders shall be kept by VP Securities A/S (CVR no. 21599336), which has been designated as the Company’s registrar.</w:t>
      </w:r>
    </w:p>
    <w:p>
      <w:pPr>
        <w:spacing w:after="0" w:line="2"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No restrictions shall apply to the transferability of the shares. The shares shall be negotiable instruments.</w:t>
      </w:r>
    </w:p>
    <w:p>
      <w:pPr>
        <w:spacing w:after="0" w:line="159" w:lineRule="exact"/>
        <w:rPr>
          <w:sz w:val="20"/>
          <w:szCs w:val="20"/>
          <w:color w:val="auto"/>
        </w:rPr>
      </w:pPr>
    </w:p>
    <w:p>
      <w:pPr>
        <w:jc w:val="both"/>
        <w:ind w:right="20" w:firstLine="893"/>
        <w:spacing w:after="0" w:line="417" w:lineRule="auto"/>
        <w:rPr>
          <w:sz w:val="20"/>
          <w:szCs w:val="20"/>
          <w:color w:val="auto"/>
        </w:rPr>
      </w:pPr>
      <w:r>
        <w:rPr>
          <w:rFonts w:ascii="Verdana" w:cs="Verdana" w:eastAsia="Verdana" w:hAnsi="Verdana"/>
          <w:sz w:val="18"/>
          <w:szCs w:val="18"/>
          <w:color w:val="auto"/>
        </w:rPr>
        <w:t>No shares shall confer any special rights upon the holder, and no shareholder shall be under an obligation to allow his shares to be redeemed.</w:t>
      </w:r>
    </w:p>
    <w:p>
      <w:pPr>
        <w:spacing w:after="0" w:line="225"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7.</w:t>
      </w:r>
    </w:p>
    <w:p>
      <w:pPr>
        <w:spacing w:after="0" w:line="159"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The shares shall be issued through VP Securities A/S. The distribution of dividends etc. shall be subject to the rules of VP Securities A/S.</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The General Meeting</w:t>
      </w:r>
    </w:p>
    <w:p>
      <w:pPr>
        <w:spacing w:after="0" w:line="267"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8.</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Company’s General Meetings shall be held in the municipality of Copenhagen or in the greater Copenhagen</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area.</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Annual General Meetings shall be held each year not later than four (4) months after the end of the financial</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year.</w:t>
      </w:r>
    </w:p>
    <w:p>
      <w:pPr>
        <w:spacing w:after="0" w:line="159" w:lineRule="exact"/>
        <w:rPr>
          <w:sz w:val="20"/>
          <w:szCs w:val="20"/>
          <w:color w:val="auto"/>
        </w:rPr>
      </w:pPr>
    </w:p>
    <w:p>
      <w:pPr>
        <w:jc w:val="both"/>
        <w:ind w:firstLine="893"/>
        <w:spacing w:after="0" w:line="411" w:lineRule="auto"/>
        <w:rPr>
          <w:sz w:val="20"/>
          <w:szCs w:val="20"/>
          <w:color w:val="auto"/>
        </w:rPr>
      </w:pPr>
      <w:r>
        <w:rPr>
          <w:rFonts w:ascii="Verdana" w:cs="Verdana" w:eastAsia="Verdana" w:hAnsi="Verdana"/>
          <w:sz w:val="18"/>
          <w:szCs w:val="18"/>
          <w:color w:val="auto"/>
        </w:rPr>
        <w:t>Extraordinary General Meetings shall be held when resolved by the Board of Directors or one of the Company’s auditors appointed by the General Meeting, or when the Board of Directors is so requisitioned in writing and by shareholders holding not less than one-twentieth of the Company’s share capital who wishes to have a specific subject discussed on the General Meeting. When so requisitioned the Board of Directors shall within two (2) weeks convene an extraordinary General Meeting by giving the shortest possible notice.</w:t>
      </w:r>
    </w:p>
    <w:p>
      <w:pPr>
        <w:spacing w:after="0" w:line="3" w:lineRule="exact"/>
        <w:rPr>
          <w:sz w:val="20"/>
          <w:szCs w:val="20"/>
          <w:color w:val="auto"/>
        </w:rPr>
      </w:pPr>
    </w:p>
    <w:p>
      <w:pPr>
        <w:jc w:val="both"/>
        <w:ind w:firstLine="893"/>
        <w:spacing w:after="0" w:line="411" w:lineRule="auto"/>
        <w:rPr>
          <w:sz w:val="20"/>
          <w:szCs w:val="20"/>
          <w:color w:val="auto"/>
        </w:rPr>
      </w:pPr>
      <w:r>
        <w:rPr>
          <w:rFonts w:ascii="Verdana" w:cs="Verdana" w:eastAsia="Verdana" w:hAnsi="Verdana"/>
          <w:sz w:val="18"/>
          <w:szCs w:val="18"/>
          <w:color w:val="auto"/>
        </w:rPr>
        <w:t>The Board of Directors shall call the General Meeting with no less than three (3) weeks' notice and not more than five (5) weeks' notice by notification to Nasdaq Copenhagen and by posting on the Company's website (www.genmab.com). The length of the notice shall be reckoned from the first advertisement. General meetings shall moreover be convened by sending a notice to all shareholders entered in the Company’s Register of Shareholders having so requested, to the address, including the e-mail address, cf. § 16, indicated to the Company.</w:t>
      </w:r>
    </w:p>
    <w:p>
      <w:pPr>
        <w:spacing w:after="0" w:line="3"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notice calling the general meeting as well as other documents prepared for and in connection with the general meeting shall be prepared in English and, if decided by the Board of Directors, also in Danish.</w:t>
      </w:r>
    </w:p>
    <w:p>
      <w:pPr>
        <w:spacing w:after="0" w:line="1"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In order to be transacted at the Annual General Meeting, resolutions proposed by the shareholders shall be submitted in writing to the Board of Directors no less than six (6) weeks prior to the date of the Annual General Meeting.</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8B.</w:t>
      </w:r>
    </w:p>
    <w:p>
      <w:pPr>
        <w:spacing w:after="0" w:line="159" w:lineRule="exact"/>
        <w:rPr>
          <w:sz w:val="20"/>
          <w:szCs w:val="20"/>
          <w:color w:val="auto"/>
        </w:rPr>
      </w:pPr>
    </w:p>
    <w:p>
      <w:pPr>
        <w:jc w:val="both"/>
        <w:ind w:firstLine="893"/>
        <w:spacing w:after="0" w:line="409" w:lineRule="auto"/>
        <w:rPr>
          <w:sz w:val="20"/>
          <w:szCs w:val="20"/>
          <w:color w:val="auto"/>
        </w:rPr>
      </w:pPr>
      <w:r>
        <w:rPr>
          <w:rFonts w:ascii="Verdana" w:cs="Verdana" w:eastAsia="Verdana" w:hAnsi="Verdana"/>
          <w:sz w:val="18"/>
          <w:szCs w:val="18"/>
          <w:color w:val="auto"/>
        </w:rPr>
        <w:t>General meetings may in special circumstances be held as wholly virtual general meetings without physical attendance as determined by the Board of Directors. Shareholders may attend such general meetings via the internet, on the Company’s website, by conference call, or on any other medium offering the same functionality.</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9.</w:t>
      </w:r>
    </w:p>
    <w:p>
      <w:pPr>
        <w:spacing w:after="0" w:line="159"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information referred to in section 99 (1) of the Danish Companies Act must be available for inspection on the Company’s website for a period of at least three (3) consecutive weeks before the date of the General Meeting.</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As a minimum, this information shall include:</w:t>
      </w:r>
    </w:p>
    <w:p>
      <w:pPr>
        <w:spacing w:after="0" w:line="200" w:lineRule="exact"/>
        <w:rPr>
          <w:sz w:val="20"/>
          <w:szCs w:val="20"/>
          <w:color w:val="auto"/>
        </w:rPr>
      </w:pPr>
    </w:p>
    <w:p>
      <w:pPr>
        <w:spacing w:after="0" w:line="202" w:lineRule="exact"/>
        <w:rPr>
          <w:sz w:val="20"/>
          <w:szCs w:val="20"/>
          <w:color w:val="auto"/>
        </w:rPr>
      </w:pPr>
    </w:p>
    <w:p>
      <w:pPr>
        <w:ind w:left="1540" w:hanging="318"/>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notice.</w:t>
      </w:r>
    </w:p>
    <w:p>
      <w:pPr>
        <w:spacing w:after="0" w:line="145" w:lineRule="exact"/>
        <w:rPr>
          <w:rFonts w:ascii="Verdana" w:cs="Verdana" w:eastAsia="Verdana" w:hAnsi="Verdana"/>
          <w:sz w:val="18"/>
          <w:szCs w:val="18"/>
          <w:color w:val="auto"/>
        </w:rPr>
      </w:pPr>
    </w:p>
    <w:p>
      <w:pPr>
        <w:ind w:left="1540" w:hanging="315"/>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total share capital and the total number of voting rights on the date of the notice.</w:t>
      </w:r>
    </w:p>
    <w:p>
      <w:pPr>
        <w:spacing w:after="0" w:line="159" w:lineRule="exact"/>
        <w:rPr>
          <w:rFonts w:ascii="Verdana" w:cs="Verdana" w:eastAsia="Verdana" w:hAnsi="Verdana"/>
          <w:sz w:val="18"/>
          <w:szCs w:val="18"/>
          <w:color w:val="auto"/>
        </w:rPr>
      </w:pPr>
    </w:p>
    <w:p>
      <w:pPr>
        <w:ind w:left="1540" w:hanging="315"/>
        <w:spacing w:after="0" w:line="414" w:lineRule="auto"/>
        <w:tabs>
          <w:tab w:leader="none" w:pos="1531"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documents to be submitted at the General Meeting, including with respect to the Annual General Meeting the audited Annual Report.</w:t>
      </w:r>
    </w:p>
    <w:p>
      <w:pPr>
        <w:spacing w:after="0" w:line="1" w:lineRule="exact"/>
        <w:rPr>
          <w:rFonts w:ascii="Verdana" w:cs="Verdana" w:eastAsia="Verdana" w:hAnsi="Verdana"/>
          <w:sz w:val="18"/>
          <w:szCs w:val="18"/>
          <w:color w:val="auto"/>
        </w:rPr>
      </w:pPr>
    </w:p>
    <w:p>
      <w:pPr>
        <w:ind w:left="1540" w:hanging="315"/>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agenda and the complete proposals.</w:t>
      </w:r>
    </w:p>
    <w:p>
      <w:pPr>
        <w:spacing w:after="0" w:line="159" w:lineRule="exact"/>
        <w:rPr>
          <w:rFonts w:ascii="Verdana" w:cs="Verdana" w:eastAsia="Verdana" w:hAnsi="Verdana"/>
          <w:sz w:val="18"/>
          <w:szCs w:val="18"/>
          <w:color w:val="auto"/>
        </w:rPr>
      </w:pPr>
    </w:p>
    <w:p>
      <w:pPr>
        <w:ind w:left="1540" w:hanging="315"/>
        <w:spacing w:after="0" w:line="432" w:lineRule="auto"/>
        <w:tabs>
          <w:tab w:leader="none" w:pos="1531"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forms to be used for voting by proxy or postal voting, unless these forms have been sent directly to the shareholders.</w:t>
      </w:r>
    </w:p>
    <w:p>
      <w:pPr>
        <w:spacing w:after="0" w:line="211"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10.</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Each share of DKK 1 entitles the shareholder to one vote.</w:t>
      </w:r>
    </w:p>
    <w:p>
      <w:pPr>
        <w:spacing w:after="0" w:line="159" w:lineRule="exact"/>
        <w:rPr>
          <w:sz w:val="20"/>
          <w:szCs w:val="20"/>
          <w:color w:val="auto"/>
        </w:rPr>
      </w:pPr>
    </w:p>
    <w:p>
      <w:pPr>
        <w:jc w:val="both"/>
        <w:ind w:firstLine="893"/>
        <w:spacing w:after="0" w:line="420" w:lineRule="auto"/>
        <w:rPr>
          <w:sz w:val="20"/>
          <w:szCs w:val="20"/>
          <w:color w:val="auto"/>
        </w:rPr>
      </w:pPr>
      <w:r>
        <w:rPr>
          <w:rFonts w:ascii="Verdana" w:cs="Verdana" w:eastAsia="Verdana" w:hAnsi="Verdana"/>
          <w:sz w:val="18"/>
          <w:szCs w:val="18"/>
          <w:color w:val="auto"/>
        </w:rPr>
        <w:t>Shareholders who are registered in the Company’s Register of Shareholders one week before the date of the General Meeting or shareholders from whom the Company no later than one week before the General Meeting has received a request for registration in the Register of Shareholders may attend and vote at the General Meeting. In order to attend General Meetings, shareholders</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00" w:hanging="892"/>
        <w:spacing w:after="0" w:line="407" w:lineRule="auto"/>
        <w:rPr>
          <w:sz w:val="20"/>
          <w:szCs w:val="20"/>
          <w:color w:val="auto"/>
        </w:rPr>
      </w:pPr>
      <w:r>
        <w:rPr>
          <w:rFonts w:ascii="Verdana" w:cs="Verdana" w:eastAsia="Verdana" w:hAnsi="Verdana"/>
          <w:sz w:val="18"/>
          <w:szCs w:val="18"/>
          <w:color w:val="auto"/>
        </w:rPr>
        <w:t>must also obtain an admission card from the Company no later than three (3) days before the date of the meeting. Shareholders may appear in person or by proxy and may be accompanied by an advisor just as a proxy may be</w:t>
      </w:r>
    </w:p>
    <w:p>
      <w:pPr>
        <w:spacing w:after="0" w:line="1" w:lineRule="exact"/>
        <w:rPr>
          <w:sz w:val="20"/>
          <w:szCs w:val="20"/>
          <w:color w:val="auto"/>
        </w:rPr>
      </w:pPr>
    </w:p>
    <w:p>
      <w:pPr>
        <w:jc w:val="both"/>
        <w:ind w:right="20"/>
        <w:spacing w:after="0" w:line="414" w:lineRule="auto"/>
        <w:rPr>
          <w:sz w:val="20"/>
          <w:szCs w:val="20"/>
          <w:color w:val="auto"/>
        </w:rPr>
      </w:pPr>
      <w:r>
        <w:rPr>
          <w:rFonts w:ascii="Verdana" w:cs="Verdana" w:eastAsia="Verdana" w:hAnsi="Verdana"/>
          <w:sz w:val="18"/>
          <w:szCs w:val="18"/>
          <w:color w:val="auto"/>
        </w:rPr>
        <w:t>accompanied by an advisor. Voting rights may be exercised under the instrument of proxy subject to the proxy, against the delivery of the instrument of proxy, having obtained an admission card to appear on behalf of the shareholder issuing the instrument. The holder of the proxy shall present a written and dated instrument of proxy.</w:t>
      </w:r>
    </w:p>
    <w:p>
      <w:pPr>
        <w:spacing w:after="0" w:line="2" w:lineRule="exact"/>
        <w:rPr>
          <w:sz w:val="20"/>
          <w:szCs w:val="20"/>
          <w:color w:val="auto"/>
        </w:rPr>
      </w:pPr>
    </w:p>
    <w:p>
      <w:pPr>
        <w:jc w:val="both"/>
        <w:ind w:firstLine="893"/>
        <w:spacing w:after="0" w:line="415" w:lineRule="auto"/>
        <w:rPr>
          <w:sz w:val="20"/>
          <w:szCs w:val="20"/>
          <w:color w:val="auto"/>
        </w:rPr>
      </w:pPr>
      <w:r>
        <w:rPr>
          <w:rFonts w:ascii="Verdana" w:cs="Verdana" w:eastAsia="Verdana" w:hAnsi="Verdana"/>
          <w:sz w:val="18"/>
          <w:szCs w:val="18"/>
          <w:color w:val="auto"/>
        </w:rPr>
        <w:t>Shareholders may vote by post, i.e. cast their votes in writing before the General Meeting. The postal vote certificate must reach the Company at 10.00 AM the day before the date of the General Meeting. To ensure identification of each shareholder voting by post, the shareholder must sign the postal vote certificate and state its full name and address in block letters or type as well as its VP-reference number. If the shareholder is a legal person, its Central Business Register (CVR) number or other similar identification must also be clearly specified in the certificate.</w:t>
      </w:r>
    </w:p>
    <w:p>
      <w:pPr>
        <w:spacing w:after="0" w:line="228"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 11.</w:t>
      </w:r>
    </w:p>
    <w:p>
      <w:pPr>
        <w:spacing w:after="0" w:line="159"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Board of Directors shall appoint a chairman to preside at the General Meeting. The chairman shall decide all matters relating to the transaction of business and voting, including the issue of whether a written poll shall be taken.</w:t>
      </w:r>
    </w:p>
    <w:p>
      <w:pPr>
        <w:spacing w:after="0" w:line="1" w:lineRule="exact"/>
        <w:rPr>
          <w:sz w:val="20"/>
          <w:szCs w:val="20"/>
          <w:color w:val="auto"/>
        </w:rPr>
      </w:pPr>
    </w:p>
    <w:p>
      <w:pPr>
        <w:jc w:val="both"/>
        <w:ind w:right="20" w:firstLine="893"/>
        <w:spacing w:after="0" w:line="414" w:lineRule="auto"/>
        <w:rPr>
          <w:sz w:val="20"/>
          <w:szCs w:val="20"/>
          <w:color w:val="auto"/>
        </w:rPr>
      </w:pPr>
      <w:r>
        <w:rPr>
          <w:rFonts w:ascii="Verdana" w:cs="Verdana" w:eastAsia="Verdana" w:hAnsi="Verdana"/>
          <w:sz w:val="18"/>
          <w:szCs w:val="18"/>
          <w:color w:val="auto"/>
        </w:rPr>
        <w:t>Unless otherwise provided by the Companies Act all business transacted at General Meetings shall be resolved upon a simple majority of votes.</w:t>
      </w:r>
    </w:p>
    <w:p>
      <w:pPr>
        <w:spacing w:after="0" w:line="1" w:lineRule="exact"/>
        <w:rPr>
          <w:sz w:val="20"/>
          <w:szCs w:val="20"/>
          <w:color w:val="auto"/>
        </w:rPr>
      </w:pPr>
    </w:p>
    <w:p>
      <w:pPr>
        <w:jc w:val="both"/>
        <w:ind w:right="20" w:firstLine="893"/>
        <w:spacing w:after="0" w:line="409" w:lineRule="auto"/>
        <w:rPr>
          <w:sz w:val="20"/>
          <w:szCs w:val="20"/>
          <w:color w:val="auto"/>
        </w:rPr>
      </w:pPr>
      <w:r>
        <w:rPr>
          <w:rFonts w:ascii="Verdana" w:cs="Verdana" w:eastAsia="Verdana" w:hAnsi="Verdana"/>
          <w:sz w:val="18"/>
          <w:szCs w:val="18"/>
          <w:color w:val="auto"/>
        </w:rPr>
        <w:t>Unless the Companies Act otherwise provides, the adoption of any resolution to alter the Company’s Articles of Association or wind up the Company shall be subject to the affirmative vote of not less than two thirds of the votes cast as well as of the share capital represented at the General Meeting.</w:t>
      </w:r>
    </w:p>
    <w:p>
      <w:pPr>
        <w:spacing w:after="0" w:line="2"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Minutes of the proceedings of the General Meeting shall be entered into a minute book, which shall be signed by the chairman of the meeting.</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Board of Directors and Management</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12.</w:t>
      </w:r>
    </w:p>
    <w:p>
      <w:pPr>
        <w:spacing w:after="0" w:line="146"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Board of Directors is elected partly by the General Meeting and partly by the employees of the Company and its directly and indirectly owned subsidiaries and branch offices from time to time, regardless of whether their place of residence is within or outside the EU/EEA.</w:t>
      </w:r>
    </w:p>
    <w:p>
      <w:pPr>
        <w:spacing w:after="0" w:line="2"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General Meeting elects between three (3) and nine (9) members of the Board of Directors for a period which expires at the Annual General Meeting in the Company in the first year after the year of their election.</w:t>
      </w:r>
    </w:p>
    <w:p>
      <w:pPr>
        <w:spacing w:after="0" w:line="1"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Provided the Company and its directly and indirectly owned subsidiaries and branch offices residing in Denmark, if any, together during the last three (3) years before an ordinary election have employed at least 35 employees on average the employees of the Company and its directly and indirectly owned subsidiaries and branch offices from time to time, regardless of whether their place of residence is within or outside the EU/EEA, have the right to elect a number of members of the Board of Directors equal to half of the members of the Board of Directors elected by the General Meeting as well as alternate members. If the condition of employment of at least 35 employees on average during the last three (3) years is not met prior to an ordinary election by the employees of members of the Board of Directors and alternate members, the right for the employees to elect members of the Board of Directors and alternate members according to these Articles shall cease for the period thereafter. An ordinary election by the employees of members of the Board of Directors and alternate members shall occur every third year. Re-election can occur. The election is being held as a direct election in accordance with an election regulation approved by the Board of Directors.</w:t>
      </w:r>
    </w:p>
    <w:p>
      <w:pPr>
        <w:jc w:val="both"/>
        <w:ind w:firstLine="893"/>
        <w:spacing w:after="0" w:line="423" w:lineRule="auto"/>
        <w:rPr>
          <w:sz w:val="20"/>
          <w:szCs w:val="20"/>
          <w:color w:val="auto"/>
        </w:rPr>
      </w:pPr>
      <w:r>
        <w:rPr>
          <w:rFonts w:ascii="Verdana" w:cs="Verdana" w:eastAsia="Verdana" w:hAnsi="Verdana"/>
          <w:sz w:val="18"/>
          <w:szCs w:val="18"/>
          <w:color w:val="auto"/>
        </w:rPr>
        <w:t>If the employees of the Company or the Company’s directly and indirectly owned subsidiaries exercise their right to elect company representatives and/or group representatives to the Board of Directors in accordance with the Companies Act, the right for the group employees to elect employee representatives in</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09" w:lineRule="auto"/>
        <w:rPr>
          <w:sz w:val="20"/>
          <w:szCs w:val="20"/>
          <w:color w:val="auto"/>
        </w:rPr>
      </w:pPr>
      <w:r>
        <w:rPr>
          <w:rFonts w:ascii="Verdana" w:cs="Verdana" w:eastAsia="Verdana" w:hAnsi="Verdana"/>
          <w:sz w:val="18"/>
          <w:szCs w:val="18"/>
          <w:color w:val="auto"/>
        </w:rPr>
        <w:t>accordance with these articles shall no longer apply. Employee representatives already elected in accordance with these articles shall resign simultaneously with the commencement of the employee representatives elected in accordance with the Companies Act.</w:t>
      </w:r>
    </w:p>
    <w:p>
      <w:pPr>
        <w:spacing w:after="0" w:line="2"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elect one of its members as chairman of the Board.</w:t>
      </w:r>
    </w:p>
    <w:p>
      <w:pPr>
        <w:spacing w:after="0" w:line="159"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specific rules governing the activities of the Board of Directors shall be laid down in rules of procedure drawn up by the Board.</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form a quorum when more than half of its members are represented.</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business of the Board of Directors shall be resolved upon by a simple majority of votes.</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receive an annual remuneration the size of which shall be stated in the Annual</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color w:val="auto"/>
        </w:rPr>
        <w:t>Report.</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13.</w:t>
      </w:r>
    </w:p>
    <w:p>
      <w:pPr>
        <w:spacing w:after="0" w:line="159" w:lineRule="exact"/>
        <w:rPr>
          <w:sz w:val="20"/>
          <w:szCs w:val="20"/>
          <w:color w:val="auto"/>
        </w:rPr>
      </w:pPr>
    </w:p>
    <w:p>
      <w:pPr>
        <w:jc w:val="both"/>
        <w:ind w:firstLine="893"/>
        <w:spacing w:after="0" w:line="409" w:lineRule="auto"/>
        <w:rPr>
          <w:sz w:val="20"/>
          <w:szCs w:val="20"/>
          <w:color w:val="auto"/>
        </w:rPr>
      </w:pPr>
      <w:r>
        <w:rPr>
          <w:rFonts w:ascii="Verdana" w:cs="Verdana" w:eastAsia="Verdana" w:hAnsi="Verdana"/>
          <w:sz w:val="18"/>
          <w:szCs w:val="18"/>
          <w:color w:val="auto"/>
        </w:rPr>
        <w:t>The chairman of the Board of Directors shall ensure that the Board of Directors meets whenever required. A member of the Board of Directors or a member of the Management may demand that a meeting of the Board of Directors be convened.</w:t>
      </w:r>
    </w:p>
    <w:p>
      <w:pPr>
        <w:spacing w:after="0" w:line="2"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Minutes of the proceedings of the Board of Directors shall be entered into a minute book, which shall be signed by all attending members of the Board of Directors.</w:t>
      </w:r>
    </w:p>
    <w:p>
      <w:pPr>
        <w:spacing w:after="0" w:line="1" w:lineRule="exact"/>
        <w:rPr>
          <w:sz w:val="20"/>
          <w:szCs w:val="20"/>
          <w:color w:val="auto"/>
        </w:rPr>
      </w:pPr>
    </w:p>
    <w:p>
      <w:pPr>
        <w:jc w:val="both"/>
        <w:ind w:firstLine="893"/>
        <w:spacing w:after="0" w:line="423" w:lineRule="auto"/>
        <w:rPr>
          <w:sz w:val="20"/>
          <w:szCs w:val="20"/>
          <w:color w:val="auto"/>
        </w:rPr>
      </w:pPr>
      <w:r>
        <w:rPr>
          <w:rFonts w:ascii="Verdana" w:cs="Verdana" w:eastAsia="Verdana" w:hAnsi="Verdana"/>
          <w:sz w:val="18"/>
          <w:szCs w:val="18"/>
          <w:color w:val="auto"/>
        </w:rPr>
        <w:t>The Board of Directors shall appoint 1-5 registered managers in charge of the day-to-day operations of the Company. The Board of Directors may grant powers of procure and determine rules as to who shall be authorized to sign for the Company in relation to banks etc.</w:t>
      </w:r>
    </w:p>
    <w:p>
      <w:pPr>
        <w:spacing w:after="0" w:line="20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14.</w:t>
      </w:r>
    </w:p>
    <w:p>
      <w:pPr>
        <w:spacing w:after="0" w:line="159"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The Company has established an indemnification scheme for members of its Board of Directors (each a “Board Member”). Under the indemnification scheme, the Company shall indemnify and hold harmless a Board Member from and against any losses actually and reasonably incurred by such Board Member arising out of actual or potential claims, including costs, expenses, fees, interests, and potential tax liabilities associated therewith, raised by a third party (other than Genmab group companies) against a Board Member in his/her capacity as Board Member. No third party shall be entitled to rely directly on or derive any benefits from the Scheme or have any recourse against the Company on account of the Scheme.</w:t>
      </w:r>
    </w:p>
    <w:p>
      <w:pPr>
        <w:spacing w:after="0" w:line="4" w:lineRule="exact"/>
        <w:rPr>
          <w:sz w:val="20"/>
          <w:szCs w:val="20"/>
          <w:color w:val="auto"/>
        </w:rPr>
      </w:pPr>
    </w:p>
    <w:p>
      <w:pPr>
        <w:jc w:val="both"/>
        <w:ind w:firstLine="893"/>
        <w:spacing w:after="0" w:line="419" w:lineRule="auto"/>
        <w:rPr>
          <w:sz w:val="20"/>
          <w:szCs w:val="20"/>
          <w:color w:val="auto"/>
        </w:rPr>
      </w:pPr>
      <w:r>
        <w:rPr>
          <w:rFonts w:ascii="Verdana" w:cs="Verdana" w:eastAsia="Verdana" w:hAnsi="Verdana"/>
          <w:sz w:val="18"/>
          <w:szCs w:val="18"/>
          <w:color w:val="auto"/>
        </w:rPr>
        <w:t>Any indemnification of Board Members under the Scheme shall be secondary to (but not conditioned on) coverage under the Company's directors’ and officers’ liability insurance (“D&amp;O Insurance”) as applicable from time to time (however with the exception of the retention/deductible under the D&amp;O Insurance) and other forms of reasonably available indemnification. The Scheme may thus also provide coverage for losses, which are not covered wholly or partly under the D&amp;O Insurance, as applicable from time to time. The secondary coverage does not imply</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an obligation on the Company to exhaust any and all opportunities to relieve Board Members from liability. Neither shall it prevent the Company from covering Board Members’ legal defence costs.</w:t>
      </w:r>
    </w:p>
    <w:p>
      <w:pPr>
        <w:spacing w:after="0" w:line="1"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Excluded from indemnification under the Scheme are any losses relating to liability incurred by a Board Member arising out of such Board Member’s fraud, criminal offences, wilful misconduct, or gross negligence.</w:t>
      </w:r>
    </w:p>
    <w:p>
      <w:pPr>
        <w:spacing w:after="0" w:line="1"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Scheme shall apply until and including March 12, 2029, or the annual general meeting in 2029 if this is later, and subject to the terms and conditions of the Scheme, covers claims made against a Board Member arising out of or originating from facts or circumstances prior to the expiry of this term and must be notified to the Company no later than March 12, 2034.</w:t>
      </w:r>
    </w:p>
    <w:p>
      <w:pPr>
        <w:spacing w:after="0" w:line="3"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The Board of Directors shall set out the detailed terms of the Scheme, including the financial limitations as well as the relevant procedural and administrative regulations governing the Scheme. The Board of Directors shall in this connection obtain advice from one or more reputable insurance brokers and/or underwriters in respect of: i) maintaining a D&amp;O Insurance on commercially reasonable terms including in respect of the applicable retention/deductible, and ii) determining an appropriate maximum coverage for the Scheme. With a view to counter potential conflicts of interests, indemnification of a Board Member’s loss under the Scheme shall always be subject to a legal opinion from a leading independent law firm concluding that the claim concerned is covered by the Scheme.</w:t>
      </w:r>
    </w:p>
    <w:p>
      <w:pPr>
        <w:spacing w:after="0" w:line="4" w:lineRule="exact"/>
        <w:rPr>
          <w:sz w:val="20"/>
          <w:szCs w:val="20"/>
          <w:color w:val="auto"/>
        </w:rPr>
      </w:pPr>
    </w:p>
    <w:p>
      <w:pPr>
        <w:jc w:val="both"/>
        <w:ind w:firstLine="893"/>
        <w:spacing w:after="0" w:line="417" w:lineRule="auto"/>
        <w:rPr>
          <w:sz w:val="20"/>
          <w:szCs w:val="20"/>
          <w:color w:val="auto"/>
        </w:rPr>
      </w:pPr>
      <w:r>
        <w:rPr>
          <w:rFonts w:ascii="Verdana" w:cs="Verdana" w:eastAsia="Verdana" w:hAnsi="Verdana"/>
          <w:sz w:val="18"/>
          <w:szCs w:val="18"/>
          <w:color w:val="auto"/>
        </w:rPr>
        <w:t>All claims for indemnification, including if the conduct of a Board Member is covered by the Scheme, shall be processed and determined in accordance with Danish law.</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Authority to Bind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15.</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The Company shall be bound by the joint signatures of a member of the Board of Directors and a member of the Management or by two members of the Board of Directors.</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Electronic Communication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16.</w:t>
      </w:r>
    </w:p>
    <w:p>
      <w:pPr>
        <w:spacing w:after="0" w:line="159" w:lineRule="exact"/>
        <w:rPr>
          <w:sz w:val="20"/>
          <w:szCs w:val="20"/>
          <w:color w:val="auto"/>
        </w:rPr>
      </w:pPr>
    </w:p>
    <w:p>
      <w:pPr>
        <w:jc w:val="both"/>
        <w:ind w:firstLine="893"/>
        <w:spacing w:after="0" w:line="411" w:lineRule="auto"/>
        <w:rPr>
          <w:sz w:val="20"/>
          <w:szCs w:val="20"/>
          <w:color w:val="auto"/>
        </w:rPr>
      </w:pPr>
      <w:r>
        <w:rPr>
          <w:rFonts w:ascii="Verdana" w:cs="Verdana" w:eastAsia="Verdana" w:hAnsi="Verdana"/>
          <w:sz w:val="18"/>
          <w:szCs w:val="18"/>
          <w:color w:val="auto"/>
        </w:rPr>
        <w:t>The Company shall be entitled to use electronic document exchange and electronic mail, as specified below, when communicating with its shareholders in lieu of sending or providing paper based documents pursuant to these Articles of Association and the Companies Act, except when otherwise required by mandatory legislation. The Company may at all times communicate with any of its shareholders using normal letter mail and paper based documents as a supplement or alternative to electronic communication.</w:t>
      </w:r>
    </w:p>
    <w:p>
      <w:pPr>
        <w:spacing w:after="0" w:line="3"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Notice to the shareholders of convening of an Annual or Extraordinary General Meeting, including complete proposals to amend the Articles of Association, the agenda, the Annual Report, interim financial reports, company announcements, minutes of the General Meeting and admittance cards as well as any other general information etc. from the Company to its shareholders may thus be sent by the Company to its shareholders via e-mail.</w:t>
      </w:r>
    </w:p>
    <w:p>
      <w:pPr>
        <w:spacing w:after="0" w:line="3" w:lineRule="exact"/>
        <w:rPr>
          <w:sz w:val="20"/>
          <w:szCs w:val="20"/>
          <w:color w:val="auto"/>
        </w:rPr>
      </w:pPr>
    </w:p>
    <w:p>
      <w:pPr>
        <w:jc w:val="both"/>
        <w:ind w:firstLine="893"/>
        <w:spacing w:after="0" w:line="414" w:lineRule="auto"/>
        <w:rPr>
          <w:sz w:val="20"/>
          <w:szCs w:val="20"/>
          <w:color w:val="auto"/>
        </w:rPr>
      </w:pPr>
      <w:r>
        <w:rPr>
          <w:rFonts w:ascii="Verdana" w:cs="Verdana" w:eastAsia="Verdana" w:hAnsi="Verdana"/>
          <w:sz w:val="18"/>
          <w:szCs w:val="18"/>
          <w:color w:val="auto"/>
        </w:rPr>
        <w:t>The above documents, except admittance cards to the General Meeting, will be published on the Company’s website (www.genmab.com).</w:t>
      </w:r>
    </w:p>
    <w:p>
      <w:pPr>
        <w:spacing w:after="0" w:line="1" w:lineRule="exact"/>
        <w:rPr>
          <w:sz w:val="20"/>
          <w:szCs w:val="20"/>
          <w:color w:val="auto"/>
        </w:rPr>
      </w:pPr>
    </w:p>
    <w:p>
      <w:pPr>
        <w:jc w:val="both"/>
        <w:ind w:firstLine="893"/>
        <w:spacing w:after="0" w:line="415" w:lineRule="auto"/>
        <w:rPr>
          <w:sz w:val="20"/>
          <w:szCs w:val="20"/>
          <w:color w:val="auto"/>
        </w:rPr>
      </w:pPr>
      <w:r>
        <w:rPr>
          <w:rFonts w:ascii="Verdana" w:cs="Verdana" w:eastAsia="Verdana" w:hAnsi="Verdana"/>
          <w:sz w:val="18"/>
          <w:szCs w:val="18"/>
          <w:color w:val="auto"/>
        </w:rPr>
        <w:t>The Company’s registered shareholders may through the Company’s website submit an electronic address to which notices etc. can be sent. It is the responsibility of each shareholder to ensure that the Company is in possession of a proper electronic address. The shareholders can find more information about the procedures for the use of electronic communication as well as system requirements on the Company’s website (www.genmab.com).</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Company Announcements</w:t>
      </w:r>
    </w:p>
    <w:p>
      <w:pPr>
        <w:spacing w:after="0" w:line="267"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17.</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Company announcements may be prepared in English only, if decided by the Board of Directors.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Accounting and Auditing</w:t>
      </w:r>
    </w:p>
    <w:p>
      <w:pPr>
        <w:spacing w:after="0" w:line="200" w:lineRule="exact"/>
        <w:rPr>
          <w:sz w:val="20"/>
          <w:szCs w:val="20"/>
          <w:color w:val="auto"/>
        </w:rPr>
      </w:pPr>
    </w:p>
    <w:p>
      <w:pPr>
        <w:spacing w:after="0" w:line="202"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18.</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accounting year of the Company shall be the calendar year.</w:t>
      </w:r>
    </w:p>
    <w:p>
      <w:pPr>
        <w:spacing w:after="0" w:line="200" w:lineRule="exact"/>
        <w:rPr>
          <w:sz w:val="20"/>
          <w:szCs w:val="20"/>
          <w:color w:val="auto"/>
        </w:rPr>
      </w:pPr>
    </w:p>
    <w:p>
      <w:pPr>
        <w:spacing w:after="0" w:line="202"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19.</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Annual Reports shall be prepared in English and, if decided by the Board of Directors, in Danish.</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 20.</w:t>
      </w:r>
    </w:p>
    <w:p>
      <w:pPr>
        <w:spacing w:after="0" w:line="146"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The Company’s accounts shall be audited by one or more state authorized public accountants elected by the Annual General Meeting.</w:t>
      </w:r>
    </w:p>
    <w:p>
      <w:pPr>
        <w:spacing w:after="0" w:line="211"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 21.</w:t>
      </w:r>
    </w:p>
    <w:p>
      <w:pPr>
        <w:spacing w:after="0" w:line="159" w:lineRule="exact"/>
        <w:rPr>
          <w:sz w:val="20"/>
          <w:szCs w:val="20"/>
          <w:color w:val="auto"/>
        </w:rPr>
      </w:pPr>
    </w:p>
    <w:p>
      <w:pPr>
        <w:jc w:val="both"/>
        <w:ind w:firstLine="893"/>
        <w:spacing w:after="0" w:line="423" w:lineRule="auto"/>
        <w:rPr>
          <w:sz w:val="20"/>
          <w:szCs w:val="20"/>
          <w:color w:val="auto"/>
        </w:rPr>
      </w:pPr>
      <w:r>
        <w:rPr>
          <w:rFonts w:ascii="Verdana" w:cs="Verdana" w:eastAsia="Verdana" w:hAnsi="Verdana"/>
          <w:sz w:val="18"/>
          <w:szCs w:val="18"/>
          <w:color w:val="auto"/>
        </w:rPr>
        <w:t>The Company’s accounts shall give a true and fair view of the Company’s assets and liabilities, of its financial position, and profit and loss, in accordance with Danish financial reporting rules, international financial reporting standards (IFRS) and possibly US GAAP.</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A</w:t>
      </w:r>
    </w:p>
    <w:p>
      <w:pPr>
        <w:spacing w:after="0" w:line="200" w:lineRule="exact"/>
        <w:rPr>
          <w:sz w:val="20"/>
          <w:szCs w:val="20"/>
          <w:color w:val="auto"/>
        </w:rPr>
      </w:pPr>
    </w:p>
    <w:p>
      <w:pPr>
        <w:spacing w:after="0" w:line="202" w:lineRule="exact"/>
        <w:rPr>
          <w:sz w:val="20"/>
          <w:szCs w:val="20"/>
          <w:color w:val="auto"/>
        </w:rPr>
      </w:pPr>
    </w:p>
    <w:p>
      <w:pPr>
        <w:ind w:firstLine="648"/>
        <w:spacing w:after="0" w:line="410" w:lineRule="auto"/>
        <w:rPr>
          <w:sz w:val="20"/>
          <w:szCs w:val="20"/>
          <w:color w:val="auto"/>
        </w:rPr>
      </w:pPr>
      <w:r>
        <w:rPr>
          <w:rFonts w:ascii="Verdana" w:cs="Verdana" w:eastAsia="Verdana" w:hAnsi="Verdana"/>
          <w:sz w:val="18"/>
          <w:szCs w:val="18"/>
          <w:color w:val="auto"/>
        </w:rPr>
        <w:t>Under the authorization of April 9, 2014 to issue 500,000 warrants, the Board of Directors has on October 5, 2017 re-issued 1,145 warrants and issued 17,611 new warrants to subscribe for up to 18,756 of the Company’s shares, each with a nominal value of DKK 1 to employees of the Company and of two of the Company's subsidiaries. The Board of Directors has at the same time resolved the necessary cash issue of shares in the amount of DKK 18,756 related to the issued warrants. All of these warrants have been exercised or have lapsed upon termination of employees’ employment. Of the lapsed warrants 778 have been re-issued on September 21, 2018, and 77 have been re-issued on March 1, 2019 as set out in this Schedule A. The decisions of the Board of Directors are set out in schedule E to these Articles of Association and are an integral part of these articles.</w:t>
      </w:r>
    </w:p>
    <w:p>
      <w:pPr>
        <w:spacing w:after="0" w:line="7" w:lineRule="exact"/>
        <w:rPr>
          <w:sz w:val="20"/>
          <w:szCs w:val="20"/>
          <w:color w:val="auto"/>
        </w:rPr>
      </w:pPr>
    </w:p>
    <w:p>
      <w:pPr>
        <w:ind w:right="60" w:firstLine="648"/>
        <w:spacing w:after="0" w:line="440" w:lineRule="auto"/>
        <w:rPr>
          <w:sz w:val="20"/>
          <w:szCs w:val="20"/>
          <w:color w:val="auto"/>
        </w:rPr>
      </w:pPr>
      <w:r>
        <w:rPr>
          <w:rFonts w:ascii="Verdana" w:cs="Verdana" w:eastAsia="Verdana" w:hAnsi="Verdana"/>
          <w:sz w:val="17"/>
          <w:szCs w:val="17"/>
          <w:color w:val="auto"/>
        </w:rPr>
        <w:t>Under the authorizations of April 9, 2014 to issue 500,000 warrants and of March 28, 2017 to issue 500,000 warrants, the Board of Directors has on December 15, 2017 re-issued 3,748 warrants and issued warrants (respectively 64,099 and 71,750 under the authorizations) to subscribe for up to 139,597 of the Company’s shares, each with a nominal value of DKK 1 to managers and employees of the Company and of two of the Company’s subsidiaries. The Board of Directors has at the same time resolved the necessary cash issue of shares in the amount of DKK 139,597 related to the issued warrants. All of these warrants have been exercised or have lapsed upon termination of employees’ employment. Of the lapsed warrants 314 have been re-issued on April 10, 2018, 3,398 have been re-issued on September 21, 2018, 1,745 have been re-issued on December 10, 2018, 503 have been re-issued on March 1, 2019, and 976 have been re-issued on March 26, 2020 as set out in this Schedule A. The decisions of the Board of Directors are set out in schedule E to these Articles of Association and are an integral part of these articles. Of the lapsed warrants, additionally 15,610 have been re-issued on February 26, 2021 as set out in this Schedule A. The decisions of the Board of Directors are set</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color w:val="auto"/>
        </w:rPr>
        <w:t>out in schedule F to these Articles of Association and are an integral part of these articles.</w:t>
      </w:r>
    </w:p>
    <w:p>
      <w:pPr>
        <w:spacing w:after="0" w:line="159" w:lineRule="exact"/>
        <w:rPr>
          <w:sz w:val="20"/>
          <w:szCs w:val="20"/>
          <w:color w:val="auto"/>
        </w:rPr>
      </w:pPr>
    </w:p>
    <w:p>
      <w:pPr>
        <w:ind w:right="20" w:firstLine="648"/>
        <w:spacing w:after="0" w:line="412"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April 10, 2018 re-issued 6,150 warrants and issued 8,804 warrants to subscribe for up to 14,954 of the Company's shares, each with a nominal value of DKK 1 to employees of the Company and of two of the Company’s subsidiaries. The Board of Directors has at the same time resolved the necessary cash issue of shares in the amount of DKK 14,954 related to the issued warrants. All of these warrants have been exercised or have lapsed upon termination of employees’ employment. The decisions of the Board of Directors are set out in schedule E to these Articles of Association and are an integral part of these articles.</w:t>
      </w:r>
    </w:p>
    <w:p>
      <w:pPr>
        <w:spacing w:after="0" w:line="4" w:lineRule="exact"/>
        <w:rPr>
          <w:sz w:val="20"/>
          <w:szCs w:val="20"/>
          <w:color w:val="auto"/>
        </w:rPr>
      </w:pPr>
    </w:p>
    <w:p>
      <w:pPr>
        <w:ind w:firstLine="648"/>
        <w:spacing w:after="0" w:line="411"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June 7, 2018 re-issued 1,012 warrants and issued 13,702 warrants to subscribe for up to 14,714 of the Company's shares, each with a nominal value of DKK 1 to employees of the Company and of two of the Company’s subsidiaries. The Board of Directors has at the same time resolved the necessary cash issue of shares in the amount of DKK 14,714 related to the issued warrants. All of these warrants have been exercised, have lapsed upon termination of employees’ employment or have lapsed as non-exercised. Of the lapsed warrants 150 have been re-issued on June 6, 2019 as set out in this Schedule A. The decisions of the Board of Directors are set out in schedule E to these Articles of Association and are an integral part of these articles. Of the lapsed warrants, additionally 209 have been re-issued on February 26, 2021 as set out in this Schedule A. The decisions of the Board of Directors are set out in schedule F to these Articles of Association and are an integral part of these articles.</w:t>
      </w:r>
    </w:p>
    <w:p>
      <w:pPr>
        <w:spacing w:after="0" w:line="7" w:lineRule="exact"/>
        <w:rPr>
          <w:sz w:val="20"/>
          <w:szCs w:val="20"/>
          <w:color w:val="auto"/>
        </w:rPr>
      </w:pPr>
    </w:p>
    <w:p>
      <w:pPr>
        <w:ind w:right="540" w:firstLine="648"/>
        <w:spacing w:after="0" w:line="471" w:lineRule="auto"/>
        <w:rPr>
          <w:sz w:val="20"/>
          <w:szCs w:val="20"/>
          <w:color w:val="auto"/>
        </w:rPr>
      </w:pPr>
      <w:r>
        <w:rPr>
          <w:rFonts w:ascii="Verdana" w:cs="Verdana" w:eastAsia="Verdana" w:hAnsi="Verdana"/>
          <w:sz w:val="17"/>
          <w:szCs w:val="17"/>
          <w:color w:val="auto"/>
        </w:rPr>
        <w:t>Under the authorizations of April 9, 2014 to issue 500,000 warrants and of March 28, 2017 to issue 500,000 warrants, the Board of Directors has on September 21, 2018 re-issued 4,473 warrants and issued 28,753 warrants to</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412" w:lineRule="auto"/>
        <w:rPr>
          <w:sz w:val="20"/>
          <w:szCs w:val="20"/>
          <w:color w:val="auto"/>
        </w:rPr>
      </w:pPr>
      <w:r>
        <w:rPr>
          <w:rFonts w:ascii="Verdana" w:cs="Verdana" w:eastAsia="Verdana" w:hAnsi="Verdana"/>
          <w:sz w:val="18"/>
          <w:szCs w:val="18"/>
          <w:color w:val="auto"/>
        </w:rPr>
        <w:t>subscribe for up to 33,226 of the Company's shares, each with a nominal value of DKK 1 to employees of the Company and of two of the Company’s subsidiaries. The Board of Directors has at the same time resolved the necessary cash issue of shares in the amount of DKK 33,226 related to the issued warrants. All of these warrants have been exercised or have lapsed upon termination of employees’ employment. Of the lapsed warrants 2,315 have been re-issued on June 6, 2019, and 3,732 have been re-issued on March 26, 2020 as set out in this Schedule A. The decisions of the Board of Directors are set out in schedule E to these Articles of Association and are an integral part of these articles. Of the lapsed warrants, additionally 682 have been re-issued on February 26, 2021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jc w:val="center"/>
        <w:ind w:right="80"/>
        <w:spacing w:after="0"/>
        <w:rPr>
          <w:sz w:val="20"/>
          <w:szCs w:val="20"/>
          <w:color w:val="auto"/>
        </w:rPr>
      </w:pPr>
      <w:r>
        <w:rPr>
          <w:rFonts w:ascii="Verdana" w:cs="Verdana" w:eastAsia="Verdana" w:hAnsi="Verdana"/>
          <w:sz w:val="18"/>
          <w:szCs w:val="18"/>
          <w:color w:val="auto"/>
        </w:rPr>
        <w:t>Under the authorizations of April 9, 2014 to issue 500,000 warrants and of March 28, 2017 to issue 500,000</w:t>
      </w:r>
    </w:p>
    <w:p>
      <w:pPr>
        <w:spacing w:after="0" w:line="146" w:lineRule="exact"/>
        <w:rPr>
          <w:sz w:val="20"/>
          <w:szCs w:val="20"/>
          <w:color w:val="auto"/>
        </w:rPr>
      </w:pPr>
    </w:p>
    <w:p>
      <w:pPr>
        <w:ind w:right="20"/>
        <w:spacing w:after="0" w:line="415" w:lineRule="auto"/>
        <w:rPr>
          <w:sz w:val="20"/>
          <w:szCs w:val="20"/>
          <w:color w:val="auto"/>
        </w:rPr>
      </w:pPr>
      <w:r>
        <w:rPr>
          <w:rFonts w:ascii="Verdana" w:cs="Verdana" w:eastAsia="Verdana" w:hAnsi="Verdana"/>
          <w:sz w:val="18"/>
          <w:szCs w:val="18"/>
          <w:color w:val="auto"/>
        </w:rPr>
        <w:t>warrants, the Board of Directors has on December 10, 2018 re-issued 3,405 warrants and issued 210,208 new warrants to subscribe for up to 213,613 of the Company’s shares, each with a nominal value of DKK 1 to managers and employees of the Company and of two of the Company’s subsidiaries. The Board of Directors has at the same time resolved the necessary cash issue of shares in the amount of DKK 213,613 related to the issued warrants. All of these warrants have been exercised, have lapsed upon termination of employees' employment or have lapsed as non-exercised. Of the lapsed warrants 3,176 have been re-issued on March 1, 2019, 1,414 have been re-issued on June 6, 2019, and 2,911 have been re-issued on March 26, 2020 as set out in this Schedule A. The decisions of the Board of Directors are set out in schedule E to these Articles of Association and are an integral part of these articles. Of the lapsed warrants, additionally 23,760 have been re-issued on February 26, 2021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March 1, 2019 re-issued 6,862 warrants and issued 13,120 new warrants to subscribe for up to 19,982 of the Company’s shares, each with a nominal value of DKK 1 to employees of the Company and of two of the Company’s subsidiaries. The Board of Directors has at the same time resolved the necessary cash issue of shares in the amount of DKK 19,982 related to the issued warrants. All of these warrants have been exercised, have lapsed upon termination of employees’ employment or have lapsed as non-exercised. Of the lapsed warrants 152 have been re-issued on March 26, 2020, and 188 have been re-issued on October 7, 2021 as set out in this Schedule A. The decisions of the Board of Directors are set out in schedule E to these Articles of Association and are an integral part of these articles. Of the lapsed warrants, additionally 302 have been re-issued on February 26, 2021 and 312 have been re-issued on June 22, 2021 as set out in this Schedule A. The decisions of the Board of Directors are set out in schedule F to these Articles of Association and are an integral part of these articles.</w:t>
      </w:r>
    </w:p>
    <w:p>
      <w:pPr>
        <w:ind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March 29, 2019 issued 8,035 new warrants to subscribe for up to 8,035 of the Company’s shares, each with a nominal value of DKK 1 to employees of the Company and of two of the Company’s subsidiaries. The Board of Directors has at the same time resolved the necessary cash issue of shares in the amount of DKK 8,035 related to the issued warrants. All of these warrants have been exercised or have lapsed upon termination of employees’ employment. Of the lapsed warrants, 76 have been re-issued on October 11, 2019 as set out in this Schedule A. The decisions of the Board of Directors are set out in schedule E to these Articles of Association and are an integral part of these articles. Of the lapsed warrants, additionally 297 have been re-issued on February 25, 2022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authorizations of March 28, 2017 to issue 500,000 warrants and March 29, 2019 to issue 500,000 warrants, the Board of Directors has on June 6, 2019 re-issued 3,879 warrants and issued 17,464 new warrants to subscribe for up to 21,343 of the Company’s shares, each with a nominal value of DKK 1 to employees of the Company and of three of the Company’s subsidiaries. The Board of Directors has at the same time resolved the necessary cash issue of shares in the amount of DKK 21,343 related to the issued warrants. 17,209 of these warrants had on May 12, 2026 been exercised and 4,134 had on March 31, 2026 lapsed upon termination of employees' employment. Of the lapsed warrants, 998 have been re-issued on October 7, 2020 as set out in this Schedule A. The decisions of the Board of Directors are set out in schedule E to these Articles of Association and are an integral part of these articles. Of the lapsed warrants, additionally 1,055 have been re-issued on February 26, 2021, 243 have been re-issued on June 22, 2021, and 1,838 have been re-issued on February 25, 2022 as set out in this Schedule A. The decisions of the Board of Directors are set out in schedule F to these Articles of Association and are an integral part of these articles.</w:t>
      </w:r>
    </w:p>
    <w:p>
      <w:pPr>
        <w:ind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October 11, 2019 re-issued 76 warrants and issued 62,772 new warrants to subscribe for up to 62,848 of the Company’s shares, each with a nominal value of DKK 1 to employees of the Company and of two of the Company’s subsidiaries. The Board of Directors has at the same time resolved the necessary cash issue of shares in the amount of DKK 62,848 related to the issued warrants. 40,424 of these warrants had on May 12, 2026 been exercised, and 12,428 had on March 31, 2026 lapsed upon termination of employees' employment. Of the lapsed warrants, 3,725 have been re-issued on October 7, 2020, and 105 have been re-issued on December 15, 2020 as set out in this Schedule A. The decisions of the Board of Directors are set out in schedule E to these Articles of Association and are an integral part of these articles. Of the lapsed warrants, additionally 4,922 have been re-issued on February 26, 2021, 1,873 have been re-</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09" w:lineRule="auto"/>
        <w:rPr>
          <w:sz w:val="20"/>
          <w:szCs w:val="20"/>
          <w:color w:val="auto"/>
        </w:rPr>
      </w:pPr>
      <w:r>
        <w:rPr>
          <w:rFonts w:ascii="Verdana" w:cs="Verdana" w:eastAsia="Verdana" w:hAnsi="Verdana"/>
          <w:sz w:val="18"/>
          <w:szCs w:val="18"/>
          <w:color w:val="auto"/>
        </w:rPr>
        <w:t>issued on February 25, 2022, 126 have been re-issued on June 9, 2022, 384 have been re-issued on September 20, 2022, and 1,293 have been re-issued on February 24, 2023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December 5, 2019 issued 195,011 new warrants to subscribe for up to 195,011 of the Company’s shares, each with a nominal value of DKK 1 to employees of the Company and the Company’s subsidiaries. The Board of Directors has at the same time resolved the necessary cash issue of shares in the amount of DKK 195,011 related to the issued warrants. 98,194 of these warrants had on February 24, 2026 been exercised, and 23,758 had on March 31, 2026 lapsed upon termination of employees' employment. Of the lapsed warrants, 1,873 have been re-issued on October 7, 2020, and 2,789 have been re-issued on December 15, 2020 as set out in this Schedule A. The decisions of the Board of Directors are set out in schedule E to these Articles of Association and are an integral part of these articles. Of the lapsed warrants, additionally 4,946 have been re-issued on February 26, 2021, 2,163 have been re-issued on February 25, 2022, 3,309 have been re-issued on June 9, 2022, 2,201 have been re-issued on September 20, 2022, 833 have been re-issued on November 21, 2022, and 5,644 have been re-issued on February 24, 2023 as set out in this Schedule A. The decisions of the Board of Directors are set out in schedule F to these Articles of Association and are an integral part of these articles.</w:t>
      </w:r>
    </w:p>
    <w:p>
      <w:pPr>
        <w:spacing w:after="0" w:line="5" w:lineRule="exact"/>
        <w:rPr>
          <w:sz w:val="20"/>
          <w:szCs w:val="20"/>
          <w:color w:val="auto"/>
        </w:rPr>
      </w:pPr>
    </w:p>
    <w:p>
      <w:pPr>
        <w:ind w:right="160" w:firstLine="648"/>
        <w:spacing w:after="0" w:line="415" w:lineRule="auto"/>
        <w:rPr>
          <w:sz w:val="20"/>
          <w:szCs w:val="20"/>
          <w:color w:val="auto"/>
        </w:rPr>
      </w:pPr>
      <w:r>
        <w:rPr>
          <w:rFonts w:ascii="Verdana" w:cs="Verdana" w:eastAsia="Verdana" w:hAnsi="Verdana"/>
          <w:sz w:val="18"/>
          <w:szCs w:val="18"/>
          <w:color w:val="auto"/>
        </w:rPr>
        <w:t>Under the authorizations of March 28, 2017 to issue 500,000 warrants and March 29, 2019 to issue 500,000 warrants, the Board of Directors has on March 26, 2020 re-issued 7,771 warrants and issued 25,907 new warrants to subscribe for up to 33,678 of the Company’s shares, each with a nominal value of DKK 1 to a manager and employees of the Company and of three of the Company’s subsidiaries. The Board of Directors has at the same time resolved the necessary</w:t>
      </w:r>
    </w:p>
    <w:p>
      <w:pPr>
        <w:sectPr>
          <w:pgSz w:w="11900" w:h="16838" w:orient="portrait"/>
          <w:cols w:equalWidth="0" w:num="1">
            <w:col w:w="11160"/>
          </w:cols>
          <w:pgMar w:left="320" w:top="1440" w:right="41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412" w:lineRule="auto"/>
        <w:rPr>
          <w:sz w:val="20"/>
          <w:szCs w:val="20"/>
          <w:color w:val="auto"/>
        </w:rPr>
      </w:pPr>
      <w:r>
        <w:rPr>
          <w:rFonts w:ascii="Verdana" w:cs="Verdana" w:eastAsia="Verdana" w:hAnsi="Verdana"/>
          <w:sz w:val="18"/>
          <w:szCs w:val="18"/>
          <w:color w:val="auto"/>
        </w:rPr>
        <w:t>cash issue of shares in the amount of DKK 33,678 related to the issued warrants. 14,904 of these warrants had on May 12, 2026 been exercised, and 4,959 had on March 31, 2026 lapsed upon termination of employees' employment. Of the lapsed warrants, 105 have been re-issued on December 15, 2020 as set out in this Schedule A. The decisions of the Board of Directors are set out in schedule E to these Articles of Association and are an integral part of these articles. Of the lapsed warrants, additionally 1,519 have been re-issued on February 25, 2022, 408 have been re-issued on June 9, 2022, 708 have been re-issued on September 20, 2022, and 2,219 have been re-issued on June 8, 2023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80"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3, 2020 re-issued 3,909 warrants and issued 11,736 new warrants to subscribe for up to 15,645 of the Company’s shares, each with a nominal value of DKK 1 to employees of the Company and three of the Company’s subsidiaries. The Board of Directors has at the same time resolved the necessary cash issue of shares in the amount of DKK 15,645 related to the issued warrants. 6,089 of these warrants had on September 12, 2023 been exercised, and 3,730 had on March 31, 2026 lapsed upon termination of employees' employment. Of the lapsed warrants, 63 have been re-issued on December 15, 2020 as set out in this Schedule A. The decisions of the Board of Directors are set out in schedule E to these Articles of Association and are an integral part of these articles. Of the lapsed warrants, additionally 684 have been re-issued on February 25, 2022, 845 have been re-issued on June 9, 2022, 805 have been re-issued on September 20, 2022, 287 have been re-issued on November 21, 2022, and 1,046 have been re-issued on June 8, 2023 as set out in this Schedule A. The decisions of the Board of Directors are set out in schedule F to these Articles of Association and are an integral part of these articles.</w:t>
      </w:r>
    </w:p>
    <w:p>
      <w:pPr>
        <w:sectPr>
          <w:pgSz w:w="11900" w:h="16838" w:orient="portrait"/>
          <w:cols w:equalWidth="0" w:num="1">
            <w:col w:w="11220"/>
          </w:cols>
          <w:pgMar w:left="320" w:top="1440" w:right="35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October 7, 2020 re-issued 2,687 warrants and issued 41,254 new warrants to subscribe for up to 43,941 of the Company’s shares, each with a nominal value of DKK 1 to employees of the Company and three of the Company’s subsidiaries. The Board of Directors has at the same time resolved the necessary cash issue of shares in the amount of DKK 43,941 related to the issued warrants. None of these warrants to subscribe for shares have been exercised, but 10,312 had on March 31, 2026 lapsed upon termination of employees' employment. Of the lapsed warrants, 300 have been re-issued on February 26, 2021, 6,692 have been re-issued on February 25, 2022, 1,949 have been re-issued on June 9, 2022, 112 have been re-issued on September 20, 2022, 50 have been re-issued on November 21, 2022, 729 have been re-issued on February 24, 2023, 300 have been re-issued on June 8, 2023, and 180 have been re-issued on September 28, 2023 as set out in this Schedule A. The decisions of the Board of Directors are set out in schedule F to these Articles of Association and are an integral part of these articles.</w:t>
      </w:r>
    </w:p>
    <w:p>
      <w:pPr>
        <w:ind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December 15, 2020 re-issued 3,062 warrants and issued 21,902 new warrants to subscribe for up to 24,964 of the Company’s shares, each with a nominal value of DKK 1 to employees of the Company and three of the Company’s subsidiaries. The Board of Directors has at the same time resolved the necessary cash issue of shares in the amount of DKK 24,964 related to the issued warrants. None of these warrants to subscribe for shares have been exercised, but 2,591 had on March 31, 2026 lapsed upon termination of employees' employment. Of the lapsed warrants, 1,203 have been re-issued on February 25, 2022, 579 have been re-issued on June 9, 2022, 199 have been re-issued on September 20, 2022, and 610 have been re-issued on February 23, 2024 as set out in this Schedule A. The decisions of the Board of Directors are set out in schedule F to these Articles of Association and are an integral part of these articles.</w:t>
      </w:r>
    </w:p>
    <w:p>
      <w:pPr>
        <w:sectPr>
          <w:pgSz w:w="11900" w:h="16838" w:orient="portrait"/>
          <w:cols w:equalWidth="0" w:num="1">
            <w:col w:w="11200"/>
          </w:cols>
          <w:pgMar w:left="320" w:top="1440" w:right="37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January 28, 2021 issued 14,220 new warrants to subscribe for up to 14,220 of the Company’s shares, each with a nominal value of DKK 1 to employees of the Company and three of the Company’s subsidiaries. The Board of Directors has at the same time resolved the necessary cash issue of shares in the amount of DKK 14,220 related to the issued warrants. None of these warrants to subscribe for shares have been exercised, but 4,167 had on March 31, 2026 lapsed upon termination of employees' employment. Of the lapsed warrants, 1,891 have been re-issued on February 25, 2022, 2,046 have been re-issued on June 9, 2022, and 230 have been re-issued on September 20, 2022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February 26, 2021 re-issued 41,081 warrants and issued 48,152 new warrants, and under the authorization of March 29, 2019 to issue 500,000 warrants, the Board of Directors has furthermore on February 26, 2021 re-issued 10,705 warrants to subscribe for up to 99,938 of the Company’s shares, each with a nominal value of DKK 1 to employees of the Company and the Company’s subsidiaries. The Board of Directors has at the same time resolved the necessary cash issue of shares in the amount of DKK 99,938 related to the issued warrants. None of these warrants to subscribe for shares have been exercised, but 17,252 had on March 31, 2026 lapsed upon termination of employees' employment. Of the lapsed warrants, 167 have been re-issued on October 7, 2021, 544 have been re-issued on November 22, 2021, 2,387 have been re-issued on February 25, 2022, 212 have been re-issued on September 20, 2022, 298 have been re-issued on June 8, 2023, 143 have been re-issued on September 28, 2023, 72 have been re-issued on November 21, 2023, and 141 have been re-issued on February 23, 2024 as set out in this Schedule A. The decisions of the Board of Directors are set</w:t>
      </w:r>
    </w:p>
    <w:p>
      <w:pPr>
        <w:sectPr>
          <w:pgSz w:w="11900" w:h="16838" w:orient="portrait"/>
          <w:cols w:equalWidth="0" w:num="1">
            <w:col w:w="11220"/>
          </w:cols>
          <w:pgMar w:left="320" w:top="1440" w:right="35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color w:val="auto"/>
        </w:rPr>
        <w:t>out in schedule F to these Articles of Association and are an integral part of these articles.</w:t>
      </w:r>
    </w:p>
    <w:p>
      <w:pPr>
        <w:spacing w:after="0" w:line="159"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April 13, 2021 issued 1,287 new warrants to a manager of the Company. Furthermore, under the authorization March 29, 2019 to issue 500,000 warrants, the Board of Directors has on April 13, 2021 issued 15,788 new warrants to employees of the Company and the Company's subsidiaries. The Board of Directors has at the same time resolved the necessary cash issue of shares in the amount of DKK 17,075 of the Company's shares, each with a nominal value of DKK 1. None of these warrants to subscribe for shares have been exercised, but 2,511 had on March 31, 2026 lapsed upon termination of employees' employment. Of the lapsed warrants, 195 have been re-issued on February 25, 2022, 1,313 have been re-issued on June 9, 2022, 108 have been re-issued on September 20, 2022, 286 have been re-issued on November 21, 2022, 76 have been re-issued on February 24, 2023, 294 have been re-issued on June 8, 2023, 46 have been re-issued on September 28, 2023, 119 have been re-issued on November 21, 2023, and 74 have been re-issued on February 23, 2024 as set out in this Schedule A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40" w:firstLine="648"/>
        <w:spacing w:after="0" w:line="415"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June 22, 2021 re-issued 555 warrants and issued 15,780 new warrants to subscribe for up to 16,335 of the Company’s shares, each with a nominal value of DKK 1 to employees of the Company and the Company’s subsidiaries. The Board of Directors has at the same time resolved the necessary cash issue of shares in the amount of DKK 16,335 related to the issued warrants. None of these warrants to subscribe for shares have been exercised, but 3,810 had on March 31, 2026 lapsed upon termination of employees' employment. Of the lapsed warrants, 100 have been re-issued on November 22, 2021, and 974 have been re-issued on February 25, 2022 as set out in this Schedule A. The decisions of</w:t>
      </w:r>
    </w:p>
    <w:p>
      <w:pPr>
        <w:sectPr>
          <w:pgSz w:w="11900" w:h="16838" w:orient="portrait"/>
          <w:cols w:equalWidth="0" w:num="1">
            <w:col w:w="11180"/>
          </w:cols>
          <w:pgMar w:left="320" w:top="1440" w:right="39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320" w:hanging="647"/>
        <w:spacing w:after="0" w:line="431" w:lineRule="auto"/>
        <w:rPr>
          <w:sz w:val="20"/>
          <w:szCs w:val="20"/>
          <w:color w:val="auto"/>
        </w:rPr>
      </w:pPr>
      <w:r>
        <w:rPr>
          <w:rFonts w:ascii="Verdana" w:cs="Verdana" w:eastAsia="Verdana" w:hAnsi="Verdana"/>
          <w:sz w:val="17"/>
          <w:szCs w:val="17"/>
          <w:color w:val="auto"/>
        </w:rPr>
        <w:t>the Board of Directors are set out in schedule F to these Articles of Association and are an integral part of these articles. Under the authorization of March 28, 2017 to issue 500,000 warrants, the Board of Directors has on October 7,</w:t>
      </w:r>
    </w:p>
    <w:p>
      <w:pPr>
        <w:jc w:val="both"/>
        <w:spacing w:after="0" w:line="414" w:lineRule="auto"/>
        <w:rPr>
          <w:sz w:val="20"/>
          <w:szCs w:val="20"/>
          <w:color w:val="auto"/>
        </w:rPr>
      </w:pPr>
      <w:r>
        <w:rPr>
          <w:rFonts w:ascii="Verdana" w:cs="Verdana" w:eastAsia="Verdana" w:hAnsi="Verdana"/>
          <w:sz w:val="18"/>
          <w:szCs w:val="18"/>
          <w:color w:val="auto"/>
        </w:rPr>
        <w:t>2021 re-issued 355 warrants and issued 21,182 new warrants to subscribe for up to 21,537 of the Company’s shares, each with a nominal value of DKK 1 to employees of the Company and the Company’s subsidiaries. The Board of Directors has at the same time resolved the necessary cash issue of shares in the amount of DKK 21,537 related to the issued warrants.</w:t>
      </w:r>
    </w:p>
    <w:p>
      <w:pPr>
        <w:spacing w:after="0" w:line="2" w:lineRule="exact"/>
        <w:rPr>
          <w:sz w:val="20"/>
          <w:szCs w:val="20"/>
          <w:color w:val="auto"/>
        </w:rPr>
      </w:pPr>
    </w:p>
    <w:p>
      <w:pPr>
        <w:ind w:right="20"/>
        <w:spacing w:after="0" w:line="410" w:lineRule="auto"/>
        <w:rPr>
          <w:sz w:val="20"/>
          <w:szCs w:val="20"/>
          <w:color w:val="auto"/>
        </w:rPr>
      </w:pPr>
      <w:r>
        <w:rPr>
          <w:rFonts w:ascii="Verdana" w:cs="Verdana" w:eastAsia="Verdana" w:hAnsi="Verdana"/>
          <w:sz w:val="18"/>
          <w:szCs w:val="18"/>
          <w:color w:val="auto"/>
        </w:rPr>
        <w:t>None of these warrants to subscribe for shares have been exercised, but 4,578 had on March 31, 2026 lapsed upon termination of employees' employment. Of the lapsed warrants, 23 have been re-issued on February 25, 2022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November 22, 2021 re-issued 644 warrants and issued 6,235 new warrants to subscribe for up to 6,879 of the Company’s shares, each with a nominal value of DKK 1 to employees of the Company and the Company’s subsidiaries. The Board of Directors has at the same time resolved the necessary cash issue of shares in the amount of DKK 6,879 related to the issued warrants. None of these warrants to subscribe for shares have been exercised, but 853 had on March 31, 2026 lapsed upon termination of employees' employment. The decisions of the Board of Directors are set out in schedule F to these Articles of Association and are an integral part of these articles.</w:t>
      </w:r>
    </w:p>
    <w:p>
      <w:pPr>
        <w:spacing w:after="0" w:line="4" w:lineRule="exact"/>
        <w:rPr>
          <w:sz w:val="20"/>
          <w:szCs w:val="20"/>
          <w:color w:val="auto"/>
        </w:rPr>
      </w:pPr>
    </w:p>
    <w:p>
      <w:pPr>
        <w:ind w:right="180" w:firstLine="648"/>
        <w:spacing w:after="0" w:line="450" w:lineRule="auto"/>
        <w:rPr>
          <w:sz w:val="20"/>
          <w:szCs w:val="20"/>
          <w:color w:val="auto"/>
        </w:rPr>
      </w:pPr>
      <w:r>
        <w:rPr>
          <w:rFonts w:ascii="Verdana" w:cs="Verdana" w:eastAsia="Verdana" w:hAnsi="Verdana"/>
          <w:sz w:val="17"/>
          <w:szCs w:val="17"/>
          <w:color w:val="auto"/>
        </w:rPr>
        <w:t>Under the authorization of March 28, 2017 to issue 500,000 warrants, the Board of Directors has on January 25, 2022 issued 11,027 new warrants to employees of the Company and the Company's subsidiaries. Furthermore, under the authorization of March 29, 2019 to issue 500,000 warrants, the Board of Directors has on January 25, 2022 issued 6,814 new warrants to employees of the Company and the Company's subsidiaries. The Board of Directors has at the same</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412" w:lineRule="auto"/>
        <w:rPr>
          <w:sz w:val="20"/>
          <w:szCs w:val="20"/>
          <w:color w:val="auto"/>
        </w:rPr>
      </w:pPr>
      <w:r>
        <w:rPr>
          <w:rFonts w:ascii="Verdana" w:cs="Verdana" w:eastAsia="Verdana" w:hAnsi="Verdana"/>
          <w:sz w:val="18"/>
          <w:szCs w:val="18"/>
          <w:color w:val="auto"/>
        </w:rPr>
        <w:t>time resolved the necessary cash issue of shares in the amount of DKK 17,841 of the Company’s shares, each with a nominal value of DKK 1, related to the issued warrants. None of these warrants to subscribe for shares have been exercised, but 3,152 had on March 31, 2026 lapsed upon termination of employees' employment. Of the lapsed warrants, 793 have been re-issued on September 20, 2022, and 206 have been re-issued on November 21, 2022 as set out in this Schedule A. The decisions of the Board of Directors are set out in schedule F to these Articles of Association and are an integral part of these articles.</w:t>
      </w:r>
    </w:p>
    <w:p>
      <w:pPr>
        <w:spacing w:after="0" w:line="1"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February 25, 2022 issued 50,000 new warrants and re-issued 3,164 warrants to employees of the Company and the Company's subsidiaries. Furthermore, under the authorization of March 29, 2019 to issue 500,000 warrants, the Board of Directors has on February 25, 2022 issued 79,097 new warrants and re-issued 18,575 warrants to employees of the Company and the Company's subsidiaries. Moreover, under the authorization of April 13, 2021 to issue 750,000 warrants, the Board of Directors has on February 25, 2022 issued 24,759 new warrants to employees of the Company and the Company's subsidiaries The Board of Directors has at the same time resolved the necessary cash issue of shares in the amount of DKK 175,595 of the Company’s shares, each with a nominal value of DKK 1, related to the issued warrants. None of these warrants to subscribe for shares have been exercised, but 30,710 had on March 31, 2026 lapsed upon termination of employees' employment. Of the lapsed warrants, 1,951 have been re-issued on June 9, 2022, 1,096 have been re-issued on September 20, 2022, 825 have been re-issued on November 21, 2022, 3,040 have been re-issued on February 24, 2023, 2,738 have been re-issued on June 8, 2023, 3,142 have been re-issued on September 28, 2023, 1,681 have been re-issued on November 21, 2023, 967 have been re-issued on February 23, 2024, 78 have been re-issued on June 12, 2024, 208 have been re-issued on September 26, 2024, and 435 have been re-issued on November 21, 2024 as set out in this Schedule A. The decisions</w:t>
      </w:r>
    </w:p>
    <w:p>
      <w:pPr>
        <w:sectPr>
          <w:pgSz w:w="11900" w:h="16838" w:orient="portrait"/>
          <w:cols w:equalWidth="0" w:num="1">
            <w:col w:w="11220"/>
          </w:cols>
          <w:pgMar w:left="320" w:top="1440" w:right="35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0"/>
        <w:spacing w:after="0" w:line="433" w:lineRule="auto"/>
        <w:rPr>
          <w:sz w:val="20"/>
          <w:szCs w:val="20"/>
          <w:color w:val="auto"/>
        </w:rPr>
      </w:pPr>
      <w:r>
        <w:rPr>
          <w:rFonts w:ascii="Verdana" w:cs="Verdana" w:eastAsia="Verdana" w:hAnsi="Verdana"/>
          <w:sz w:val="17"/>
          <w:szCs w:val="17"/>
          <w:color w:val="auto"/>
        </w:rPr>
        <w:t>of the Board of Directors are set out in schedule F to these Articles of Association and are an integral part of these articles. Under the authorization of April 13, 2021 to issue 750,000 warrants, the Board of Directors has on March 29, 2022 issued 13,912 new warrants to employees of the Company and the Company's subsidiaries. The Board of Directors has at</w:t>
      </w:r>
    </w:p>
    <w:p>
      <w:pPr>
        <w:spacing w:after="0" w:line="2" w:lineRule="exact"/>
        <w:rPr>
          <w:sz w:val="20"/>
          <w:szCs w:val="20"/>
          <w:color w:val="auto"/>
        </w:rPr>
      </w:pPr>
    </w:p>
    <w:p>
      <w:pPr>
        <w:ind w:right="140"/>
        <w:spacing w:after="0" w:line="412" w:lineRule="auto"/>
        <w:rPr>
          <w:sz w:val="20"/>
          <w:szCs w:val="20"/>
          <w:color w:val="auto"/>
        </w:rPr>
      </w:pPr>
      <w:r>
        <w:rPr>
          <w:rFonts w:ascii="Verdana" w:cs="Verdana" w:eastAsia="Verdana" w:hAnsi="Verdana"/>
          <w:sz w:val="18"/>
          <w:szCs w:val="18"/>
          <w:color w:val="auto"/>
        </w:rPr>
        <w:t>the same time resolved the necessary cash issue of shares in the amount of DKK 13,912 of the Company’s shares, each with a nominal value of DKK 1, related to the issued warrants. None of these warrants to subscribe for shares have been exercised, but 817 had on March 31, 2026 lapsed upon termination of employees' employment. Of the lapsed warrants, 453 have been re-issued on February 24, 2023, 85 have been re-issued on June 8, 2023, 189 have been re-issued on September 28, 2023, 23 have been re-issued on November 21, 2023, 63 have been re-issued on June 12, 2024, and 4 have been re-issued on June 12, 2025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9, 2022 re-issued 11,193 warrants to employees of the Company and the Company's subsidiaries. Furthermore, under the authorization of April 13, 2021 to issue 750,000 warrants, the Board of Directors has on June 9, 2022 re-issued 1,333 warrants and issued 10,238 new warrants to employees of the Company and the Company's subsidiaries. The Board of Directors has at the same time resolved the necessary cash issue of shares in the amount of DKK 22,764 of the Company’s shares, each with a nominal value of DKK 1, related to the issued warrants. None of these warrants to subscribe for shares have been exercised, but 4,227 had on March 31, 2026 lapsed upon termination of employees' employment. Of the lapsed warrants, 129 have been re-issued on November 21, 2022, 414 have been re-issued on February 24, 2023, 468 have been re-issued on June 8, 2023, 530 have been re-issued on September 28, 2023, 737 have been re-issued on November 21, 2023, 223 have been re-issued on February 23, 2024, 55</w:t>
      </w:r>
    </w:p>
    <w:p>
      <w:pPr>
        <w:sectPr>
          <w:pgSz w:w="11900" w:h="16838" w:orient="portrait"/>
          <w:cols w:equalWidth="0" w:num="1">
            <w:col w:w="11200"/>
          </w:cols>
          <w:pgMar w:left="320" w:top="1440" w:right="37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spacing w:after="0" w:line="409" w:lineRule="auto"/>
        <w:rPr>
          <w:sz w:val="20"/>
          <w:szCs w:val="20"/>
          <w:color w:val="auto"/>
        </w:rPr>
      </w:pPr>
      <w:r>
        <w:rPr>
          <w:rFonts w:ascii="Verdana" w:cs="Verdana" w:eastAsia="Verdana" w:hAnsi="Verdana"/>
          <w:sz w:val="18"/>
          <w:szCs w:val="18"/>
          <w:color w:val="auto"/>
        </w:rPr>
        <w:t>have been re-issued on June 12, 2024, 107 have been re-issued on February 28, 2025, and 393 have been re-issued on June 12, 2025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September 20, 2022 re-issued 6,848 warrants to employees of the Company and the Company's subsidiaries. Furthermore, under the authorization of April 13, 2021 to issue 750,000 warrants, the Board of Directors has on September 20, 2022 issued 12,941 new warrants to employees of the Company and the Company's subsidiaries. The Board of Directors has at the same time resolved the necessary cash issue of shares in the amount of DKK 19,789 of the Company’s shares, each with a nominal value of DKK 1, related to the issued warrants. None of these warrants to subscribe for shares have been exercised but 2,229 had on March 31, 2026 lapsed upon termination of employees' employment. Of the lapsed warrants, 145 have been re-issued on February 24, 2023, 72 have been re-issued on June 8, 2023, 261 have been re-issued on September 28, 2023, 659 have been re-issued on November 21, 2023, 20 have been re-issued on February 23, 2024, 252 have been re-issued on September 26, 2024, 29 have been re-issued on June 12, 2025, and 49 have been re-issued on November 20, 2025 as set out in this Schedule A. The decisions of the Board of Directors are set out in schedule F to these Articles of Association and are an integral part of these articles.</w:t>
      </w:r>
    </w:p>
    <w:p>
      <w:pPr>
        <w:spacing w:after="0" w:line="5" w:lineRule="exact"/>
        <w:rPr>
          <w:sz w:val="20"/>
          <w:szCs w:val="20"/>
          <w:color w:val="auto"/>
        </w:rPr>
      </w:pPr>
    </w:p>
    <w:p>
      <w:pPr>
        <w:ind w:right="10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November 21, 2022 re-issued 2,616 warrants to employees of the Company and the Company's subsidiaries. Furthermore, under the authorization of April 13, 2021 to issue 750,000 warrants, the Board of Directors has on November 21, 2022 issued 6,441 new warrants to employees of the Company and the Company's subsidiaries. The Board of Directors has at the same time resolved the necessary cash issue of shares in the amount of DKK 9,057</w:t>
      </w:r>
    </w:p>
    <w:p>
      <w:pPr>
        <w:sectPr>
          <w:pgSz w:w="11900" w:h="16838" w:orient="portrait"/>
          <w:cols w:equalWidth="0" w:num="1">
            <w:col w:w="11200"/>
          </w:cols>
          <w:pgMar w:left="320" w:top="1440" w:right="37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412" w:lineRule="auto"/>
        <w:rPr>
          <w:sz w:val="20"/>
          <w:szCs w:val="20"/>
          <w:color w:val="auto"/>
        </w:rPr>
      </w:pPr>
      <w:r>
        <w:rPr>
          <w:rFonts w:ascii="Verdana" w:cs="Verdana" w:eastAsia="Verdana" w:hAnsi="Verdana"/>
          <w:sz w:val="18"/>
          <w:szCs w:val="18"/>
          <w:color w:val="auto"/>
        </w:rPr>
        <w:t>of the Company’s shares, each with a nominal value of DKK 1, related to the issued warrants. None of these warrants to subscribe for shares have been exercised, but 1,770 had on March 31, 2026 lapsed upon termination of employees' employment. Of the lapsed warrants, 121 have been re-issued on February 24, 2023, 51 have been re-issued on September 28, 2023, 442 have been re-issued on November 21, 2023, 14 have been re-issued on February 23, 2024, 179 have been re-issued on June 12, 2024, 42 have been re-issued on November 20, 2025, and 499 have been re-issued on February 27, 2026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right="20" w:firstLine="648"/>
        <w:spacing w:after="0" w:line="411"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24, 2023 issued 5,138 new warrants to employees of the Company and the Company's subsidiaries. The Board of Directors has at the same time resolved the necessary cash issue of shares in the amount of DKK 5,138 of the Company’s shares, each with a nominal value of DKK 1, related to the issued warrants. None of these warrants to subscribe for shares have been exercised, but 843 had on March 31, 2026 lapsed upon termination of employees' employment. Of the lapsed warrants, 77 have been re-issued on September 28, 2023, 31 have been re-issued on February 23, 2024, 33 have been re-issued on June 12, 2024, 447 have been re-issued on September 26, 2024, 64 have been re-issued on November 21, 2024, and 191 have been re-issued on November 20, 2025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firstLine="648"/>
        <w:spacing w:after="0" w:line="420"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February 24, 2023 re-issued 10,661 warrants to employees of the Company and the Company's subsidiaries. Furthermore, under the authorization of April 13, 2021 to issue 750,000 warrants, the Board of Directors has on February 24, 2023 re-issued 1,254 warrants and issued 152,418 new warrants to employees of the Company and the Company's subsidiaries. The</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435" w:lineRule="auto"/>
        <w:rPr>
          <w:sz w:val="20"/>
          <w:szCs w:val="20"/>
          <w:color w:val="auto"/>
        </w:rPr>
      </w:pPr>
      <w:r>
        <w:rPr>
          <w:rFonts w:ascii="Verdana" w:cs="Verdana" w:eastAsia="Verdana" w:hAnsi="Verdana"/>
          <w:sz w:val="17"/>
          <w:szCs w:val="17"/>
          <w:color w:val="auto"/>
        </w:rPr>
        <w:t>Board of Directors has at the same time resolved the necessary cash issue of shares in the amount of DKK 164,333 of the Company’s shares, each with a nominal value of DKK 1, related to the issued warrants. None of these warrants to subscribe for shares have been exercised, but 29,577 had on March 31, 2026 lapsed upon termination of employees' employment. Of the lapsed warrants, 586 have been re-issued on June 8, 2023, 3,254 have been re-issued on September 28, 2023, 3,518 have been re-issued on November 21, 2023, 558 have been re-issued on January 25, 2024, 1,671 have been re-issued on February 23, 2024, 1,515 have been re-issued on June 12, 2024, 1,640 have been re-issued on September 26, 2024, 2,272 have been re-issued on November 21, 2024, 822 have been re-issued on February 28, 2025, 3,210 have been re-issued on June 12, 2025, 678 have been re-issued on September 25, 2025, 4,157 have been re-issued on November 20, 2025, and 2,100 have been re-issued on February 27, 2026 as set out in this Schedule A. The decisions of the Board of Directors are set out in schedule F to these Articles of Association and are an integral part of these articles.</w:t>
      </w:r>
    </w:p>
    <w:p>
      <w:pPr>
        <w:spacing w:after="0" w:line="8" w:lineRule="exact"/>
        <w:rPr>
          <w:sz w:val="20"/>
          <w:szCs w:val="20"/>
          <w:color w:val="auto"/>
        </w:rPr>
      </w:pPr>
    </w:p>
    <w:p>
      <w:pPr>
        <w:ind w:right="100" w:firstLine="648"/>
        <w:spacing w:after="0" w:line="415"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29, 2023 issued 16,276 new warrants to employees of the Company and the Company's subsidiaries. The Board of Directors has at the same time resolved the necessary cash issue of shares in the amount of DKK 16,276 of the Company’s shares, each with a nominal value of DKK 1, related to the issued warrants. None of these warrants to subscribe for shares have been exercised, but 3,432 had on March 31, 2026 lapsed upon termination of employees' employment. Of the lapsed warrants, 294 have been re-issued on November 21, 2023, 27 have been re-issued on January 25, 2024, 144 have been re-issued on February 23, 2024, 313 have been re-issued on June 12, 2024, 830 have been re-issued on September 26, 2024, 157 have been re-issued on February 28, 2025, 407 have been re-issued on September 25, 2025, 930 have been re-issued on November 20, 2025, and 127 have been re-issued on February 27, 2026 as set out</w:t>
      </w:r>
    </w:p>
    <w:p>
      <w:pPr>
        <w:sectPr>
          <w:pgSz w:w="11900" w:h="16838" w:orient="portrait"/>
          <w:cols w:equalWidth="0" w:num="1">
            <w:col w:w="11220"/>
          </w:cols>
          <w:pgMar w:left="320" w:top="1440" w:right="35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407" w:lineRule="auto"/>
        <w:rPr>
          <w:sz w:val="20"/>
          <w:szCs w:val="20"/>
          <w:color w:val="auto"/>
        </w:rPr>
      </w:pPr>
      <w:r>
        <w:rPr>
          <w:rFonts w:ascii="Verdana" w:cs="Verdana" w:eastAsia="Verdana" w:hAnsi="Verdana"/>
          <w:sz w:val="18"/>
          <w:szCs w:val="18"/>
          <w:color w:val="auto"/>
        </w:rPr>
        <w:t>in this Schedule A. The decisions of the Board of Directors are set out in schedule F to these Articles of Association and are an integral part of these articles.</w:t>
      </w:r>
    </w:p>
    <w:p>
      <w:pPr>
        <w:spacing w:after="0" w:line="1"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8, 2023 re-issued 5,047 warrants to employees of the Company and the Company's subsidiaries. Furthermore, under the authorization of April 13, 2021 to issue 750,000 warrants, the Board of Directors has on June 8, 2023 re-issued 3,059 warrants to employees of the Company and the Company's subsidiaries. The Board of Directors has at the same time resolved the necessary cash issue of shares in the amount of DKK 8,106 of the Company’s shares, each with a nominal value of DKK 1, related to the issued warrants. None of these warrants to subscribe for shares have been exercised, but 1,576 had on March 31, 2026 lapsed upon termination of employees' employment. Of the lapsed warrants, 106 have been re-issued on November 21, 2023, 42 have been re-issued on February 23, 2024, 47 have been re-issued on June 12, 2024, 13 have been re-issued on September 26, 2024, 86 have been re-issued on September 25, 2025, 303 have been re-issued on November 20, 2025, and 23 have been re-issued on February 27, 2026 as set out in this Schedule A. The decisions of the Board of Directors are set out in schedule F to these Articles of Association and are an integral part of these articles.</w:t>
      </w:r>
    </w:p>
    <w:p>
      <w:pPr>
        <w:spacing w:after="0" w:line="5" w:lineRule="exact"/>
        <w:rPr>
          <w:sz w:val="20"/>
          <w:szCs w:val="20"/>
          <w:color w:val="auto"/>
        </w:rPr>
      </w:pPr>
    </w:p>
    <w:p>
      <w:pPr>
        <w:ind w:right="6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September 28, 2023 re-issued 1,848 warrants to employees of the Company and the Company's subsidiaries. Furthermore, under the authorization of April 13, 2021 to issue 750,000 warrants, the Board of Directors has on September 28, 2023 re-issued 6,025 warrants to employees of the Company and the Company's subsidiaries. The Board of Directors has at the same time resolved the necessary cash issue of shares in the amount of DKK 7,873 of the Company’s shares, each with a nominal value of DKK 1, related to the issued warrants. None of these warrants to subscribe for shares have been exercised, but 1,380 had on March 31, 2026 lapsed upon termination of employees' employment.</w:t>
      </w:r>
    </w:p>
    <w:p>
      <w:pPr>
        <w:sectPr>
          <w:pgSz w:w="11900" w:h="16838" w:orient="portrait"/>
          <w:cols w:equalWidth="0" w:num="1">
            <w:col w:w="11220"/>
          </w:cols>
          <w:pgMar w:left="320" w:top="1440" w:right="35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411" w:lineRule="auto"/>
        <w:rPr>
          <w:sz w:val="20"/>
          <w:szCs w:val="20"/>
          <w:color w:val="auto"/>
        </w:rPr>
      </w:pPr>
      <w:r>
        <w:rPr>
          <w:rFonts w:ascii="Verdana" w:cs="Verdana" w:eastAsia="Verdana" w:hAnsi="Verdana"/>
          <w:sz w:val="18"/>
          <w:szCs w:val="18"/>
          <w:color w:val="auto"/>
        </w:rPr>
        <w:t>Of the lapsed warrants, 7 have been re-issued on February 23, 2024, 298 have been re-issued on June 12, 2024, 51 have been re-issued on September 26, 2024, 231 have been re-issued on February 28, 2025, 27 have been re-issued on September 25, 2025, 239 have been re-issued on November 20, 2025, and 24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November 21, 2023 re-issued 2,039 warrants to employees of the Company and the Company's subsidiaries. Furthermore, under the authorization of April 13, 2021 to issue 750,000 warrants, the Board of Directors has on November 21, 2023 re-issued 5,612 warrants to employees of the Company and the Company's subsidiaries. The Board of Directors has at the same time resolved the necessary cash issue of shares in the amount of DKK 7,651 of the Company’s shares, each with a nominal value of DKK 1, related to the issued warrants. None of these warrants to subscribe for shares have been exercised, but 1,363 had on March 31, 2026 lapsed upon termination of employees' employment. Of the lapsed warrants, 25 have been re-issued on February 23, 2024, 59 have been re-issued on September 26, 2024, 64 have been re-issued on September 25, 2025, 619 have been re-issued on November 20, 2025, and 15 have been re-issued on February 27, 2026 as set out in this Schedule A. The decisions of the Board of Directors are set out in schedule F to these Articles of Association and are an integral part of these articles.</w:t>
      </w:r>
    </w:p>
    <w:p>
      <w:pPr>
        <w:ind w:right="320" w:firstLine="648"/>
        <w:spacing w:after="0" w:line="419"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25, 2024 re-issued 585 warrants and issued 4,883 new warrants to employees of the Company and the Company's subsidiaries. The Board of Directors has at the same time resolved the necessary cash issue of shares in the amount of DKK 5,468 of the Company’s shares, each with a nominal value of DKK 1, related to the issued warrants. None of these warrants to subscribe</w:t>
      </w:r>
    </w:p>
    <w:p>
      <w:pPr>
        <w:sectPr>
          <w:pgSz w:w="11900" w:h="16838" w:orient="portrait"/>
          <w:cols w:equalWidth="0" w:num="1">
            <w:col w:w="11180"/>
          </w:cols>
          <w:pgMar w:left="320" w:top="1440" w:right="39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411" w:lineRule="auto"/>
        <w:rPr>
          <w:sz w:val="20"/>
          <w:szCs w:val="20"/>
          <w:color w:val="auto"/>
        </w:rPr>
      </w:pPr>
      <w:r>
        <w:rPr>
          <w:rFonts w:ascii="Verdana" w:cs="Verdana" w:eastAsia="Verdana" w:hAnsi="Verdana"/>
          <w:sz w:val="18"/>
          <w:szCs w:val="18"/>
          <w:color w:val="auto"/>
        </w:rPr>
        <w:t>for shares have been exercised, but 414 had on March 31, 2026 lapsed upon termination of employees' employment. Of the lapsed warrants, 53 have been re-issued on November 21, 2024, 67 have been re-issued on February 28, 2025, 165 have been re-issued on September 25, 2025, 117 have been re-issued on November 20, 2025, and 12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40"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February 23, 2024 re-issued 2,418 warrants. Furthermore, under the authorization of April 13, 2021 to issue 750,000 warrants, the Board of Directors has on February 23, 2024, re-issued 1,551 warrants and issued 312,930 new warrants to employees of the Company and the Company's subsidiaries. The Board of Directors has at the same time resolved the necessary cash issue of shares in the amount of DKK 316,899 of the Company’s shares, each with a nominal value of DKK 1, related to the issued warrants. None of these warrants to subscribe for shares have been exercised, but 46,611 had on March 31, 2026 lapsed upon termination of employees' employment. Of the lapsed warrants, 1,791 have been re-issued on June 12, 2024, 5,656 have been re-issued on September 26, 2024, 2,895 have been re-issued on November 21, 2024, 2,913 have been re-issued on February 28, 2025, 8,254 have been re-issued on September 25, 2025, 730 have been re-issued on November 20, 2025, 14,933 have been re-issued on January 29, 2026, and 5,587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140" w:firstLine="648"/>
        <w:spacing w:after="0" w:line="42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13, 2024 issued 6,660 new warrants to employees of the Company and the Company's subsidiaries. The Board of Directors has at the same time resolved the necessary cash issue of shares in the amount of DKK 6,660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411" w:lineRule="auto"/>
        <w:rPr>
          <w:sz w:val="20"/>
          <w:szCs w:val="20"/>
          <w:color w:val="auto"/>
        </w:rPr>
      </w:pPr>
      <w:r>
        <w:rPr>
          <w:rFonts w:ascii="Verdana" w:cs="Verdana" w:eastAsia="Verdana" w:hAnsi="Verdana"/>
          <w:sz w:val="18"/>
          <w:szCs w:val="18"/>
          <w:color w:val="auto"/>
        </w:rPr>
        <w:t>of the Company’s shares, each with a nominal value of DKK 1, related to the issued warrants. None of these warrants to subscribe for shares have been exercised, but 1,755 had on March 31, 2026 lapsed upon termination of employees' employment. Of the lapsed warrants, 102 have been re-issued on June 12, 2024, 143 have been re-issued on November 21, 2024, and 1,510 have been re-issued on January 29,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June 12, 2024 re-issued 4,474 warrants and issued 11,578 new warrants to employees of the Company and the Company's subsidiaries. The Board of Directors has at the same time resolved the necessary cash issue of shares in the amount of DKK 16,052 of the Company’s shares, each with a nominal value of DKK 1, related to the issued warrants. None of these warrants to subscribe for shares have been exercised, but 2,396 had on March 31, 2026 lapsed upon termination of employees' employment. Of the lapsed warrants, 4 have been re-issued on September 26, 2024, 33 have been re-issued on November 21, 2024, 52 have been re-issued on February 28, 2025, 1,964 have been re-issued on January 29, 2026, and 300 have been re-issued on February 27, 2026 as set out in this Schedule A. The decisions of the Board of Directors are set out in schedule F to these Articles of Association and are an integral part of these articles.</w:t>
      </w:r>
    </w:p>
    <w:p>
      <w:pPr>
        <w:ind w:right="180" w:firstLine="648"/>
        <w:spacing w:after="0" w:line="415"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September 26, 2024 re-issued 11,355 warrants and issued 2,560 new warrants to employees of the Company and the Company's subsidiaries. The Board of Directors has at the same time resolved the necessary cash issue of shares in the amount of DKK 13,915 of the Company’s shares, each with a nominal value of DKK 1, related to the issued warrants. None of these warrants to subscribe for shares have been exercised, but 1,560 had on March 31, 2026 lapsed upon termination of employees' employment. Of the lapsed warrants,</w:t>
      </w:r>
    </w:p>
    <w:p>
      <w:pPr>
        <w:sectPr>
          <w:pgSz w:w="11900" w:h="16838" w:orient="portrait"/>
          <w:cols w:equalWidth="0" w:num="1">
            <w:col w:w="11220"/>
          </w:cols>
          <w:pgMar w:left="320" w:top="1440" w:right="35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409" w:lineRule="auto"/>
        <w:rPr>
          <w:sz w:val="20"/>
          <w:szCs w:val="20"/>
          <w:color w:val="auto"/>
        </w:rPr>
      </w:pPr>
      <w:r>
        <w:rPr>
          <w:rFonts w:ascii="Verdana" w:cs="Verdana" w:eastAsia="Verdana" w:hAnsi="Verdana"/>
          <w:sz w:val="18"/>
          <w:szCs w:val="18"/>
          <w:color w:val="auto"/>
        </w:rPr>
        <w:t>201 have been re-issued on February 28, 2025, 869 have been re-issued on January 29, 2026, and 279 have been re-issued on February 27, 2026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right="10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November 21, 2024 re-issued 5,895 warrants and issued 4,958 new warrants to employees of the Company and the Company's subsidiaries. The Board of Directors has at the same time resolved the necessary cash issue of shares in the amount of DKK 10,853 of the Company’s shares, each with a nominal value of DKK 1, related to the issued warrants. None of these warrants to subscribe for shares have been exercised, but 369 had on March, 2026 lapsed upon termination of employees' employment. Of the lapsed warrants, 91 have been re-issued on January 29, 2026, and 84 have been re-issued on February 27,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23, 2025 issued 5,289 new warrants to employees of the Company and the Company's subsidiaries. The Board of Directors has at the same time resolved the necessary cash issue of shares in the amount of DKK 5,289 of the Company’s shares, each with a nominal value of DKK 1, related to the issued warrants. None of these warrants to subscribe for shares have been exercised, but 128 had on March 31, 2026 lapsed upon termination of employees' employment. Of the lapsed warrants, 128 have been re-issued on January 29, 2026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right="380" w:firstLine="648"/>
        <w:spacing w:after="0" w:line="42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February 28, 2025 re-issued 4,550 warrants and issued 159,019 new warrants to employees of the Company and the Company's subsidiaries. Additionally, under the authorization of March 13, 2024 to issue</w:t>
      </w:r>
    </w:p>
    <w:p>
      <w:pPr>
        <w:sectPr>
          <w:pgSz w:w="11900" w:h="16838" w:orient="portrait"/>
          <w:cols w:equalWidth="0" w:num="1">
            <w:col w:w="11220"/>
          </w:cols>
          <w:pgMar w:left="320" w:top="1440" w:right="35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412" w:lineRule="auto"/>
        <w:rPr>
          <w:sz w:val="20"/>
          <w:szCs w:val="20"/>
          <w:color w:val="auto"/>
        </w:rPr>
      </w:pPr>
      <w:r>
        <w:rPr>
          <w:rFonts w:ascii="Verdana" w:cs="Verdana" w:eastAsia="Verdana" w:hAnsi="Verdana"/>
          <w:sz w:val="18"/>
          <w:szCs w:val="18"/>
          <w:color w:val="auto"/>
        </w:rPr>
        <w:t>750,000 warrants, the Board of Directors has on February 28, 2025 issued 353,622 new warrants to employees of the Company and the Company's subsidiaries. The Board of Directors has at the same time resolved the necessary cash issue of shares in the amount of DKK 517,191 of the Company’s shares, each with a nominal value of DKK 1, related to the issued warrants. None of these warrants to subscribe for shares have been exercised, but 47,025 had on March 31, 2026 lapsed upon termination of employees' employment. Of the lapsed warrants, 14,778 have been re-issued on January 29, 2026, and 25,593 have been re-issued on February 27, 2026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13, 2024 to issue 750,000 warrants, the Board of Directors has on March 12, 2025 issued 4,214 new warrants to employees of the Company and the Company's subsidiaries. The Board of Directors has at the same time resolved the necessary cash issue of shares in the amount of DKK 4,214 of the Company’s shares, each with a nominal value of DKK 1, related to the issued warrants. None of these warrants to subscribe for shares have been exercised, but 264 had on March 31, 2026 lapsed upon termination of employees' employment. Of the lapsed warrants, 27 have been re-issued on February 27, 2026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right="100" w:firstLine="648"/>
        <w:spacing w:after="0" w:line="415"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June 12, 2025 re-issued 3,636 warrants to employees of the Company and the Company's subsidiaries. The Board of Directors has at the same time resolved the necessary cash issue of shares in the amount of DKK 3,636 of the Company’s shares, each with a nominal value of DKK 1, related to the issued warrants. None of these warrants to subscribe for shares have been exercised, but 98 had on March 31, 2026 lapsed upon termination of employees' employment. Of the lapsed warrants, 34 have been re-issued on January 29, 2026, and 64 have</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0"/>
        <w:spacing w:after="0" w:line="407" w:lineRule="auto"/>
        <w:rPr>
          <w:sz w:val="20"/>
          <w:szCs w:val="20"/>
          <w:color w:val="auto"/>
        </w:rPr>
      </w:pPr>
      <w:r>
        <w:rPr>
          <w:rFonts w:ascii="Verdana" w:cs="Verdana" w:eastAsia="Verdana" w:hAnsi="Verdana"/>
          <w:sz w:val="18"/>
          <w:szCs w:val="18"/>
          <w:color w:val="auto"/>
        </w:rPr>
        <w:t>been re-issued on February 27, 2026 as set out in this Schedule A. The decisions of the Board of Directors are set out in schedule F to these Articles of Association and are an integral part of these articles.</w:t>
      </w:r>
    </w:p>
    <w:p>
      <w:pPr>
        <w:spacing w:after="0" w:line="1" w:lineRule="exact"/>
        <w:rPr>
          <w:sz w:val="20"/>
          <w:szCs w:val="20"/>
          <w:color w:val="auto"/>
        </w:rPr>
      </w:pPr>
    </w:p>
    <w:p>
      <w:pPr>
        <w:jc w:val="both"/>
        <w:ind w:right="80" w:firstLine="648"/>
        <w:spacing w:after="0" w:line="414"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September 25, 2025 re-issued 9,681 warrants to employees of the Company and the Company's subsidiaries. The Board of Directors has at the same time resolved the necessary cash issue of shares in the amount of DKK 9,681 of the Company’s shares, each with a nominal value of DKK 1, related to the issued warrants. None of these warrants to subscribe for shares have been exercised, but 93 had on March 31, 2026 lapsed upon termination of employees' employment. The decisions of the Board of Directors are set out in schedule F to these Articles of Association and are an integral part of these articles.</w:t>
      </w:r>
    </w:p>
    <w:p>
      <w:pPr>
        <w:spacing w:after="0" w:line="4" w:lineRule="exact"/>
        <w:rPr>
          <w:sz w:val="20"/>
          <w:szCs w:val="20"/>
          <w:color w:val="auto"/>
        </w:rPr>
      </w:pPr>
    </w:p>
    <w:p>
      <w:pPr>
        <w:ind w:right="8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November 20, 2025 re-issued 7,377 warrants to employees of the Company and the Company's subsidiaries. The Board of Directors has at the same time resolved the necessary cash issue of shares in the amount of DKK 7,377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pacing w:after="0" w:line="1" w:lineRule="exact"/>
        <w:rPr>
          <w:sz w:val="20"/>
          <w:szCs w:val="20"/>
          <w:color w:val="auto"/>
        </w:rPr>
      </w:pPr>
    </w:p>
    <w:p>
      <w:pPr>
        <w:ind w:firstLine="648"/>
        <w:spacing w:after="0" w:line="415"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29, 2026 re-issued 28,718 warrants to employees of the Company and the Company's subsidiaries. Furthermore, under the authorization of March 13, 2024 to issue 750,000 warrants, the Board of Directors has on January 29, 2026 re-issued 5,589 warrants to the employees of the Company and the Company's subsidiaries. The Board of Directors has at the same time resolved the necessary cash issue of shares in the amount of DKK 34,307 of the Company’s shares, each with a nominal value of DKK 1, related to the issued warrants. None of these warrants to subscribe for shares have been</w:t>
      </w:r>
    </w:p>
    <w:p>
      <w:pPr>
        <w:sectPr>
          <w:pgSz w:w="11900" w:h="16838" w:orient="portrait"/>
          <w:cols w:equalWidth="0" w:num="1">
            <w:col w:w="11140"/>
          </w:cols>
          <w:pgMar w:left="320" w:top="1440" w:right="4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60"/>
        <w:spacing w:after="0" w:line="407" w:lineRule="auto"/>
        <w:rPr>
          <w:sz w:val="20"/>
          <w:szCs w:val="20"/>
          <w:color w:val="auto"/>
        </w:rPr>
      </w:pPr>
      <w:r>
        <w:rPr>
          <w:rFonts w:ascii="Verdana" w:cs="Verdana" w:eastAsia="Verdana" w:hAnsi="Verdana"/>
          <w:sz w:val="18"/>
          <w:szCs w:val="18"/>
          <w:color w:val="auto"/>
        </w:rPr>
        <w:t>exercised. The decisions of the Board of Directors are set out in schedule F to these Articles of Association and are an integral part of these articles.</w:t>
      </w:r>
    </w:p>
    <w:p>
      <w:pPr>
        <w:spacing w:after="0" w:line="1" w:lineRule="exact"/>
        <w:rPr>
          <w:sz w:val="20"/>
          <w:szCs w:val="20"/>
          <w:color w:val="auto"/>
        </w:rPr>
      </w:pPr>
    </w:p>
    <w:p>
      <w:pPr>
        <w:jc w:val="both"/>
        <w:ind w:right="360" w:firstLine="648"/>
        <w:spacing w:after="0" w:line="439" w:lineRule="auto"/>
        <w:rPr>
          <w:sz w:val="20"/>
          <w:szCs w:val="20"/>
          <w:color w:val="auto"/>
        </w:rPr>
      </w:pPr>
      <w:r>
        <w:rPr>
          <w:rFonts w:ascii="Verdana" w:cs="Verdana" w:eastAsia="Verdana" w:hAnsi="Verdana"/>
          <w:sz w:val="17"/>
          <w:szCs w:val="17"/>
          <w:color w:val="auto"/>
        </w:rPr>
        <w:t>Under the authorization of April 13, 2021 to issue 750,000 warrants, the Board of Directors has on February 27, 2026 re-issued 10,013 warrants to employees of the Company and the Company's subsidiaries. Furthermore, under the authorization of March 13, 2024 to issue 750,000 warrants, the Board of Directors has on February 27, 2026 re-issued 24,721 warrants and issued 391,240 new warrants to the employees of the Company and the Company's subsidiaries.</w:t>
      </w:r>
    </w:p>
    <w:p>
      <w:pPr>
        <w:ind w:right="120"/>
        <w:spacing w:after="0" w:line="412" w:lineRule="auto"/>
        <w:rPr>
          <w:sz w:val="20"/>
          <w:szCs w:val="20"/>
          <w:color w:val="auto"/>
        </w:rPr>
      </w:pPr>
      <w:r>
        <w:rPr>
          <w:rFonts w:ascii="Verdana" w:cs="Verdana" w:eastAsia="Verdana" w:hAnsi="Verdana"/>
          <w:sz w:val="18"/>
          <w:szCs w:val="18"/>
          <w:color w:val="auto"/>
        </w:rPr>
        <w:t>Additionally, under the authorization of March 12, 2025 to issue 750,000 warrants, the Board of Directors has on February 27, 2026 issued 29,030 new shares to the employees of the company and the Company's subsidiaries. The Board of Directors has at the same time resolved the necessary cash issue of shares in the amount of DKK 455,004 of the Company’s shares, each with a nominal value of DKK 1, related to the issued warrants. None of these warrants to subscribe for shares have been exercised, but 1,233 had on March 31, 2026 lapsed upon termination of employees' employment. The decisions of the Board of Directors are set out in schedule F to these Articles of Association and are an integral part of these articles.</w:t>
      </w:r>
    </w:p>
    <w:p>
      <w:pPr>
        <w:spacing w:after="0" w:line="4" w:lineRule="exact"/>
        <w:rPr>
          <w:sz w:val="20"/>
          <w:szCs w:val="20"/>
          <w:color w:val="auto"/>
        </w:rPr>
      </w:pPr>
    </w:p>
    <w:p>
      <w:pPr>
        <w:ind w:firstLine="648"/>
        <w:spacing w:after="0" w:line="415" w:lineRule="auto"/>
        <w:rPr>
          <w:sz w:val="20"/>
          <w:szCs w:val="20"/>
          <w:color w:val="auto"/>
        </w:rPr>
      </w:pPr>
      <w:r>
        <w:rPr>
          <w:rFonts w:ascii="Verdana" w:cs="Verdana" w:eastAsia="Verdana" w:hAnsi="Verdana"/>
          <w:sz w:val="18"/>
          <w:szCs w:val="18"/>
          <w:color w:val="auto"/>
        </w:rPr>
        <w:t>Under the authorization of March 12, 2025 to issue 750,000 warrants, the Board of Directors has on March 19, 2026 issued 4,485 new shares to the employees of the company and the Company's subsidiaries. The Board of Directors has at the same time resolved the necessary cash issue of shares in the amount of DKK 4,485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B</w:t>
      </w:r>
    </w:p>
    <w:p>
      <w:pPr>
        <w:spacing w:after="0" w:line="159" w:lineRule="exact"/>
        <w:rPr>
          <w:sz w:val="20"/>
          <w:szCs w:val="20"/>
          <w:color w:val="auto"/>
        </w:rPr>
      </w:pPr>
    </w:p>
    <w:p>
      <w:pPr>
        <w:jc w:val="right"/>
        <w:ind w:right="759"/>
        <w:spacing w:after="0"/>
        <w:rPr>
          <w:sz w:val="20"/>
          <w:szCs w:val="20"/>
          <w:color w:val="auto"/>
        </w:rPr>
      </w:pPr>
      <w:r>
        <w:rPr>
          <w:rFonts w:ascii="Verdana" w:cs="Verdana" w:eastAsia="Verdana" w:hAnsi="Verdana"/>
          <w:sz w:val="18"/>
          <w:szCs w:val="18"/>
          <w:color w:val="auto"/>
        </w:rPr>
        <w:t>[DELETED BY DECISION BY THE GENERAL MEETING ON APRIL 15, 2009]</w:t>
      </w:r>
    </w:p>
    <w:p>
      <w:pPr>
        <w:sectPr>
          <w:pgSz w:w="11900" w:h="16838" w:orient="portrait"/>
          <w:cols w:equalWidth="0" w:num="1">
            <w:col w:w="10139"/>
          </w:cols>
          <w:pgMar w:left="320" w:top="1440" w:right="1440"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C</w:t>
      </w:r>
    </w:p>
    <w:p>
      <w:pPr>
        <w:spacing w:after="0" w:line="200" w:lineRule="exact"/>
        <w:rPr>
          <w:sz w:val="20"/>
          <w:szCs w:val="20"/>
          <w:color w:val="auto"/>
        </w:rPr>
      </w:pPr>
    </w:p>
    <w:p>
      <w:pPr>
        <w:spacing w:after="0" w:line="202" w:lineRule="exact"/>
        <w:rPr>
          <w:sz w:val="20"/>
          <w:szCs w:val="20"/>
          <w:color w:val="auto"/>
        </w:rPr>
      </w:pPr>
    </w:p>
    <w:p>
      <w:pPr>
        <w:jc w:val="right"/>
        <w:ind w:right="719"/>
        <w:spacing w:after="0"/>
        <w:rPr>
          <w:sz w:val="20"/>
          <w:szCs w:val="20"/>
          <w:color w:val="auto"/>
        </w:rPr>
      </w:pPr>
      <w:r>
        <w:rPr>
          <w:rFonts w:ascii="Verdana" w:cs="Verdana" w:eastAsia="Verdana" w:hAnsi="Verdana"/>
          <w:sz w:val="18"/>
          <w:szCs w:val="18"/>
          <w:color w:val="auto"/>
        </w:rPr>
        <w:t>[DELETED BY DECISION BY THE BOARD OF DIRECTORS ON MAY 7, 2024]</w:t>
      </w:r>
    </w:p>
    <w:p>
      <w:pPr>
        <w:sectPr>
          <w:pgSz w:w="11900" w:h="16838" w:orient="portrait"/>
          <w:cols w:equalWidth="0" w:num="1">
            <w:col w:w="10139"/>
          </w:cols>
          <w:pgMar w:left="320" w:top="1440" w:right="1440"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D</w:t>
      </w:r>
    </w:p>
    <w:p>
      <w:pPr>
        <w:spacing w:after="0" w:line="200" w:lineRule="exact"/>
        <w:rPr>
          <w:sz w:val="20"/>
          <w:szCs w:val="20"/>
          <w:color w:val="auto"/>
        </w:rPr>
      </w:pPr>
    </w:p>
    <w:p>
      <w:pPr>
        <w:spacing w:after="0" w:line="202" w:lineRule="exact"/>
        <w:rPr>
          <w:sz w:val="20"/>
          <w:szCs w:val="20"/>
          <w:color w:val="auto"/>
        </w:rPr>
      </w:pPr>
    </w:p>
    <w:p>
      <w:pPr>
        <w:jc w:val="right"/>
        <w:ind w:right="719"/>
        <w:spacing w:after="0"/>
        <w:rPr>
          <w:sz w:val="20"/>
          <w:szCs w:val="20"/>
          <w:color w:val="auto"/>
        </w:rPr>
      </w:pPr>
      <w:r>
        <w:rPr>
          <w:rFonts w:ascii="Verdana" w:cs="Verdana" w:eastAsia="Verdana" w:hAnsi="Verdana"/>
          <w:sz w:val="18"/>
          <w:szCs w:val="18"/>
          <w:color w:val="auto"/>
        </w:rPr>
        <w:t>[DELETED BY DECISION BY THE BOARD OF DIRECTORS ON MAY 7, 2024]</w:t>
      </w:r>
    </w:p>
    <w:p>
      <w:pPr>
        <w:sectPr>
          <w:pgSz w:w="11900" w:h="16838" w:orient="portrait"/>
          <w:cols w:equalWidth="0" w:num="1">
            <w:col w:w="10139"/>
          </w:cols>
          <w:pgMar w:left="320" w:top="1440" w:right="1440"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E</w:t>
      </w:r>
    </w:p>
    <w:p>
      <w:pPr>
        <w:spacing w:after="0" w:line="200" w:lineRule="exact"/>
        <w:rPr>
          <w:sz w:val="20"/>
          <w:szCs w:val="20"/>
          <w:color w:val="auto"/>
        </w:rPr>
      </w:pPr>
    </w:p>
    <w:p>
      <w:pPr>
        <w:spacing w:after="0" w:line="202" w:lineRule="exact"/>
        <w:rPr>
          <w:sz w:val="20"/>
          <w:szCs w:val="20"/>
          <w:color w:val="auto"/>
        </w:rPr>
      </w:pPr>
    </w:p>
    <w:p>
      <w:pPr>
        <w:jc w:val="both"/>
        <w:ind w:firstLine="894"/>
        <w:spacing w:after="0" w:line="416" w:lineRule="auto"/>
        <w:rPr>
          <w:sz w:val="20"/>
          <w:szCs w:val="20"/>
          <w:color w:val="auto"/>
        </w:rPr>
      </w:pPr>
      <w:r>
        <w:rPr>
          <w:rFonts w:ascii="Verdana" w:cs="Verdana" w:eastAsia="Verdana" w:hAnsi="Verdana"/>
          <w:sz w:val="18"/>
          <w:szCs w:val="18"/>
          <w:color w:val="auto"/>
        </w:rPr>
        <w:t>Under the authorizations by the General Meeting of April 17, 2013, April 9, 2014, March 28, 2017 and March 29, 2019, the Board of Directors has as of January 28, 2021 granted warrants to subscribe for shares in the Company as follows:</w:t>
      </w:r>
    </w:p>
    <w:p>
      <w:pPr>
        <w:spacing w:after="0" w:line="226" w:lineRule="exact"/>
        <w:rPr>
          <w:sz w:val="20"/>
          <w:szCs w:val="20"/>
          <w:color w:val="auto"/>
        </w:rPr>
      </w:pPr>
    </w:p>
    <w:p>
      <w:pPr>
        <w:ind w:left="900"/>
        <w:spacing w:after="0"/>
        <w:rPr>
          <w:sz w:val="20"/>
          <w:szCs w:val="20"/>
          <w:color w:val="auto"/>
        </w:rPr>
      </w:pPr>
      <w:r>
        <w:rPr>
          <w:rFonts w:ascii="Verdana" w:cs="Verdana" w:eastAsia="Verdana" w:hAnsi="Verdana"/>
          <w:sz w:val="18"/>
          <w:szCs w:val="18"/>
          <w:b w:val="1"/>
          <w:bCs w:val="1"/>
          <w:color w:val="auto"/>
        </w:rPr>
        <w:t>Employees, including managers</w:t>
      </w:r>
    </w:p>
    <w:p>
      <w:pPr>
        <w:spacing w:after="0" w:line="159"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March 28, 2017 warrants with the right to subscribe 8,736 ordinary shares each with a nominal value of DKK 1 at a price of DKK 1,402 to employees of the Company and its subsidiaries.</w:t>
      </w:r>
    </w:p>
    <w:p>
      <w:pPr>
        <w:spacing w:after="0" w:line="1" w:lineRule="exact"/>
        <w:rPr>
          <w:sz w:val="20"/>
          <w:szCs w:val="20"/>
          <w:color w:val="auto"/>
        </w:rPr>
      </w:pPr>
    </w:p>
    <w:p>
      <w:pPr>
        <w:jc w:val="both"/>
        <w:ind w:firstLine="894"/>
        <w:spacing w:after="0" w:line="407" w:lineRule="auto"/>
        <w:rPr>
          <w:sz w:val="20"/>
          <w:szCs w:val="20"/>
          <w:color w:val="auto"/>
        </w:rPr>
      </w:pPr>
      <w:r>
        <w:rPr>
          <w:rFonts w:ascii="Verdana" w:cs="Verdana" w:eastAsia="Verdana" w:hAnsi="Verdana"/>
          <w:sz w:val="18"/>
          <w:szCs w:val="18"/>
          <w:color w:val="auto"/>
        </w:rPr>
        <w:t>The Board of Directors issued on March 29, 2017 warrants with the right to subscribe 8,400 ordinary shares each with a nominal value of DKK 1 at a price of DKK 1,427 to a manager of the Company.</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June 8, 2017 warrants with the right to subscribe 5,224 ordinary shares each with a nominal value of DKK 1 at a price of DKK 1,408 to employees of the Company and two of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October 5, 2017 warrants with the right to subscribe 18,756 ordinary shares each with a nominal value of DKK 1 at a price of DKK 1,432 to employees of the Company and two of its subsidiaries.</w:t>
      </w:r>
    </w:p>
    <w:p>
      <w:pPr>
        <w:spacing w:after="0" w:line="1" w:lineRule="exact"/>
        <w:rPr>
          <w:sz w:val="20"/>
          <w:szCs w:val="20"/>
          <w:color w:val="auto"/>
        </w:rPr>
      </w:pPr>
    </w:p>
    <w:p>
      <w:pPr>
        <w:jc w:val="both"/>
        <w:ind w:firstLine="894"/>
        <w:spacing w:after="0" w:line="409" w:lineRule="auto"/>
        <w:rPr>
          <w:sz w:val="20"/>
          <w:szCs w:val="20"/>
          <w:color w:val="auto"/>
        </w:rPr>
      </w:pPr>
      <w:r>
        <w:rPr>
          <w:rFonts w:ascii="Verdana" w:cs="Verdana" w:eastAsia="Verdana" w:hAnsi="Verdana"/>
          <w:sz w:val="18"/>
          <w:szCs w:val="18"/>
          <w:color w:val="auto"/>
        </w:rPr>
        <w:t>The Board of Directors issued on December 15, 2017 warrants with the right to subscribe 139,597 ordinary shares each with a nominal value of DKK 1 at the price of DKK 1,032 to managers and employees of the Company and two of its subsidiaries.</w:t>
      </w:r>
    </w:p>
    <w:p>
      <w:pPr>
        <w:spacing w:after="0" w:line="2"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April 10, 2018 warrants with the right to subscribe 14,954 ordinary shares each with a nominal value of DKK 1 at the price of DKK 1,210 to employees of the Company and two of its subsidiaries.</w:t>
      </w:r>
    </w:p>
    <w:p>
      <w:pPr>
        <w:spacing w:after="0" w:line="1" w:lineRule="exact"/>
        <w:rPr>
          <w:sz w:val="20"/>
          <w:szCs w:val="20"/>
          <w:color w:val="auto"/>
        </w:rPr>
      </w:pPr>
    </w:p>
    <w:p>
      <w:pPr>
        <w:jc w:val="both"/>
        <w:ind w:firstLine="894"/>
        <w:spacing w:after="0" w:line="432" w:lineRule="auto"/>
        <w:rPr>
          <w:sz w:val="20"/>
          <w:szCs w:val="20"/>
          <w:color w:val="auto"/>
        </w:rPr>
      </w:pPr>
      <w:r>
        <w:rPr>
          <w:rFonts w:ascii="Verdana" w:cs="Verdana" w:eastAsia="Verdana" w:hAnsi="Verdana"/>
          <w:sz w:val="18"/>
          <w:szCs w:val="18"/>
          <w:color w:val="auto"/>
        </w:rPr>
        <w:t>The Board of Directors issued on June 7, 2018 warrants with the right to subscribe 14,714 ordinary shares each with a nominal value of DKK 1 at the price of DKK 962 to employees of the Company and two of its subsidiaries.</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894"/>
        <w:spacing w:after="0" w:line="409" w:lineRule="auto"/>
        <w:rPr>
          <w:sz w:val="20"/>
          <w:szCs w:val="20"/>
          <w:color w:val="auto"/>
        </w:rPr>
      </w:pPr>
      <w:r>
        <w:rPr>
          <w:rFonts w:ascii="Verdana" w:cs="Verdana" w:eastAsia="Verdana" w:hAnsi="Verdana"/>
          <w:sz w:val="18"/>
          <w:szCs w:val="18"/>
          <w:color w:val="auto"/>
        </w:rPr>
        <w:t>The Board of Directors issued on September 21, 2018 warrants with the right to subscribe 33,226 ordinary shares each with a nominal value of DKK 1 at the price of DKK 1,050 to employees of the Company and two of its subsidiaries.</w:t>
      </w:r>
    </w:p>
    <w:p>
      <w:pPr>
        <w:spacing w:after="0" w:line="2"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December 10, 2018 warrants with the right to subscribe 213,613 ordinary shares each with a nominal value of DKK 1 at the price of DKK 1,025 to managers and employees of the Company and two of its subsidiaries.</w:t>
      </w:r>
    </w:p>
    <w:p>
      <w:pPr>
        <w:spacing w:after="0" w:line="2"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March 1, 2019 warrants with the right to subscribe 19,982 ordinary shares each with a nominal value of DKK 1 at the price of DKK 1,161 to employees of the Company and two of its subsidiaries.</w:t>
      </w:r>
    </w:p>
    <w:p>
      <w:pPr>
        <w:spacing w:after="0" w:line="1" w:lineRule="exact"/>
        <w:rPr>
          <w:sz w:val="20"/>
          <w:szCs w:val="20"/>
          <w:color w:val="auto"/>
        </w:rPr>
      </w:pPr>
    </w:p>
    <w:p>
      <w:pPr>
        <w:jc w:val="both"/>
        <w:ind w:firstLine="894"/>
        <w:spacing w:after="0" w:line="407" w:lineRule="auto"/>
        <w:rPr>
          <w:sz w:val="20"/>
          <w:szCs w:val="20"/>
          <w:color w:val="auto"/>
        </w:rPr>
      </w:pPr>
      <w:r>
        <w:rPr>
          <w:rFonts w:ascii="Verdana" w:cs="Verdana" w:eastAsia="Verdana" w:hAnsi="Verdana"/>
          <w:sz w:val="18"/>
          <w:szCs w:val="18"/>
          <w:color w:val="auto"/>
        </w:rPr>
        <w:t>The Board of Directors issued on March 29, 2019 warrants with the right to subscribe 8,035 ordinary shares each with a nominal value of DKK 1 at the price of DKK 1,155 to employees of the Company and two of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June 6, 2019 warrants with the right to subscribe 21,343 ordinary shares each with a nominal value of DKK 1 at the price of DKK 1,147.50 to employees of the Company and three of its subsidiaries.</w:t>
      </w:r>
    </w:p>
    <w:p>
      <w:pPr>
        <w:spacing w:after="0" w:line="1" w:lineRule="exact"/>
        <w:rPr>
          <w:sz w:val="20"/>
          <w:szCs w:val="20"/>
          <w:color w:val="auto"/>
        </w:rPr>
      </w:pPr>
    </w:p>
    <w:p>
      <w:pPr>
        <w:jc w:val="both"/>
        <w:ind w:right="20" w:firstLine="894"/>
        <w:spacing w:after="0" w:line="414" w:lineRule="auto"/>
        <w:rPr>
          <w:sz w:val="20"/>
          <w:szCs w:val="20"/>
          <w:color w:val="auto"/>
        </w:rPr>
      </w:pPr>
      <w:r>
        <w:rPr>
          <w:rFonts w:ascii="Verdana" w:cs="Verdana" w:eastAsia="Verdana" w:hAnsi="Verdana"/>
          <w:sz w:val="18"/>
          <w:szCs w:val="18"/>
          <w:color w:val="auto"/>
        </w:rPr>
        <w:t>The Board of Directors issued on October 11, 2019 warrants with the right to subscribe 62,848 ordinary shares each with a nominal value of DKK 1 at the price of DKK 1,334.50 to employees of the Company and two of its subsidiaries.</w:t>
      </w:r>
    </w:p>
    <w:p>
      <w:pPr>
        <w:spacing w:after="0" w:line="1" w:lineRule="exact"/>
        <w:rPr>
          <w:sz w:val="20"/>
          <w:szCs w:val="20"/>
          <w:color w:val="auto"/>
        </w:rPr>
      </w:pPr>
    </w:p>
    <w:p>
      <w:pPr>
        <w:jc w:val="both"/>
        <w:ind w:firstLine="894"/>
        <w:spacing w:after="0" w:line="407" w:lineRule="auto"/>
        <w:rPr>
          <w:sz w:val="20"/>
          <w:szCs w:val="20"/>
          <w:color w:val="auto"/>
        </w:rPr>
      </w:pPr>
      <w:r>
        <w:rPr>
          <w:rFonts w:ascii="Verdana" w:cs="Verdana" w:eastAsia="Verdana" w:hAnsi="Verdana"/>
          <w:sz w:val="18"/>
          <w:szCs w:val="18"/>
          <w:color w:val="auto"/>
        </w:rPr>
        <w:t>The Board of Directors issued on December 5, 2019 warrants with the right to subscribe 195,011 ordinary shares each with a nominal value of DKK 1 at the price of DKK 1,615 to employees of the Company and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March 26, 2020 warrants with the right to subscribe 33,678 ordinary shares each with a nominal value of DKK 1 at the price of DKK 1,362.50 to a manager and employees of the Company and three of its subsidiaries.</w:t>
      </w:r>
    </w:p>
    <w:p>
      <w:pPr>
        <w:spacing w:after="0" w:line="2" w:lineRule="exact"/>
        <w:rPr>
          <w:sz w:val="20"/>
          <w:szCs w:val="20"/>
          <w:color w:val="auto"/>
        </w:rPr>
      </w:pPr>
    </w:p>
    <w:p>
      <w:pPr>
        <w:jc w:val="both"/>
        <w:ind w:firstLine="894"/>
        <w:spacing w:after="0" w:line="432" w:lineRule="auto"/>
        <w:rPr>
          <w:sz w:val="20"/>
          <w:szCs w:val="20"/>
          <w:color w:val="auto"/>
        </w:rPr>
      </w:pPr>
      <w:r>
        <w:rPr>
          <w:rFonts w:ascii="Verdana" w:cs="Verdana" w:eastAsia="Verdana" w:hAnsi="Verdana"/>
          <w:sz w:val="18"/>
          <w:szCs w:val="18"/>
          <w:color w:val="auto"/>
        </w:rPr>
        <w:t>The Board of Directors issued on June 3, 2020 warrants with the right to subscribe 15,645 ordinary shares each with a nominal value of DKK 1 at the price of DKK 1,948 to employees of the Company and three of its subsidiaries.</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894"/>
        <w:spacing w:after="0" w:line="407" w:lineRule="auto"/>
        <w:rPr>
          <w:sz w:val="20"/>
          <w:szCs w:val="20"/>
          <w:color w:val="auto"/>
        </w:rPr>
      </w:pPr>
      <w:r>
        <w:rPr>
          <w:rFonts w:ascii="Verdana" w:cs="Verdana" w:eastAsia="Verdana" w:hAnsi="Verdana"/>
          <w:sz w:val="18"/>
          <w:szCs w:val="18"/>
          <w:color w:val="auto"/>
        </w:rPr>
        <w:t>The Board of Directors issued on October 7, 2020 warrants with the right to subscribe 43,941 ordinary shares each with a nominal value of DKK 1 at the price of DKK 2,317 to employees of the Company and three of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December 15, 2020 warrants with the right to subscribe 24,964 ordinary shares each with a nominal value of DKK 1 at the price of DKK 2,381 to employees of the Company and three of its subsidiaries.</w:t>
      </w:r>
    </w:p>
    <w:p>
      <w:pPr>
        <w:spacing w:after="0" w:line="1" w:lineRule="exact"/>
        <w:rPr>
          <w:sz w:val="20"/>
          <w:szCs w:val="20"/>
          <w:color w:val="auto"/>
        </w:rPr>
      </w:pPr>
    </w:p>
    <w:p>
      <w:pPr>
        <w:jc w:val="both"/>
        <w:ind w:right="20" w:firstLine="894"/>
        <w:spacing w:after="0" w:line="432" w:lineRule="auto"/>
        <w:rPr>
          <w:sz w:val="20"/>
          <w:szCs w:val="20"/>
          <w:color w:val="auto"/>
        </w:rPr>
      </w:pPr>
      <w:r>
        <w:rPr>
          <w:rFonts w:ascii="Verdana" w:cs="Verdana" w:eastAsia="Verdana" w:hAnsi="Verdana"/>
          <w:sz w:val="18"/>
          <w:szCs w:val="18"/>
          <w:color w:val="auto"/>
        </w:rPr>
        <w:t>The Board of Directors issued on January 28, 2021 warrants with the right to subscribe 14,220 ordinary shares each with a nominal value of DKK 1 at the price of DKK 2,492 to employees of the Company and three of its subsidiaries.</w:t>
      </w:r>
    </w:p>
    <w:p>
      <w:pPr>
        <w:spacing w:after="0" w:line="211" w:lineRule="exact"/>
        <w:rPr>
          <w:sz w:val="20"/>
          <w:szCs w:val="20"/>
          <w:color w:val="auto"/>
        </w:rPr>
      </w:pPr>
    </w:p>
    <w:p>
      <w:pPr>
        <w:ind w:left="900"/>
        <w:spacing w:after="0"/>
        <w:rPr>
          <w:sz w:val="20"/>
          <w:szCs w:val="20"/>
          <w:color w:val="auto"/>
        </w:rPr>
      </w:pPr>
      <w:r>
        <w:rPr>
          <w:rFonts w:ascii="Verdana" w:cs="Verdana" w:eastAsia="Verdana" w:hAnsi="Verdana"/>
          <w:sz w:val="18"/>
          <w:szCs w:val="18"/>
          <w:b w:val="1"/>
          <w:bCs w:val="1"/>
          <w:color w:val="auto"/>
        </w:rPr>
        <w:t>All warrants have been issued on the following terms and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A. General description of warrants.</w:t>
      </w:r>
    </w:p>
    <w:p>
      <w:pPr>
        <w:spacing w:after="0" w:line="200" w:lineRule="exact"/>
        <w:rPr>
          <w:sz w:val="20"/>
          <w:szCs w:val="20"/>
          <w:color w:val="auto"/>
        </w:rPr>
      </w:pPr>
    </w:p>
    <w:p>
      <w:pPr>
        <w:spacing w:after="0" w:line="202" w:lineRule="exact"/>
        <w:rPr>
          <w:sz w:val="20"/>
          <w:szCs w:val="20"/>
          <w:color w:val="auto"/>
        </w:rPr>
      </w:pPr>
    </w:p>
    <w:p>
      <w:pPr>
        <w:jc w:val="both"/>
        <w:ind w:right="20" w:firstLine="972"/>
        <w:spacing w:after="0" w:line="407" w:lineRule="auto"/>
        <w:rPr>
          <w:sz w:val="20"/>
          <w:szCs w:val="20"/>
          <w:color w:val="auto"/>
        </w:rPr>
      </w:pPr>
      <w:r>
        <w:rPr>
          <w:rFonts w:ascii="Verdana" w:cs="Verdana" w:eastAsia="Verdana" w:hAnsi="Verdana"/>
          <w:sz w:val="18"/>
          <w:szCs w:val="18"/>
          <w:color w:val="auto"/>
        </w:rPr>
        <w:t>A warrant means a right – but not an obligation – of the owner (the “Owner”) to subscribe for ordinary shares in the Company at a price fixed in advance (the exercise price).</w:t>
      </w:r>
    </w:p>
    <w:p>
      <w:pPr>
        <w:spacing w:after="0" w:line="1"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The Owner of the warrant can for a given period choose to subscribe for shares in the Company by paying the exercise price.</w:t>
      </w:r>
    </w:p>
    <w:p>
      <w:pPr>
        <w:spacing w:after="0" w:line="1" w:lineRule="exact"/>
        <w:rPr>
          <w:sz w:val="20"/>
          <w:szCs w:val="20"/>
          <w:color w:val="auto"/>
        </w:rPr>
      </w:pPr>
    </w:p>
    <w:p>
      <w:pPr>
        <w:ind w:left="980"/>
        <w:spacing w:after="0" w:line="414" w:lineRule="auto"/>
        <w:rPr>
          <w:sz w:val="20"/>
          <w:szCs w:val="20"/>
          <w:color w:val="auto"/>
        </w:rPr>
      </w:pPr>
      <w:r>
        <w:rPr>
          <w:rFonts w:ascii="Verdana" w:cs="Verdana" w:eastAsia="Verdana" w:hAnsi="Verdana"/>
          <w:sz w:val="18"/>
          <w:szCs w:val="18"/>
          <w:color w:val="auto"/>
        </w:rPr>
        <w:t>The warrant does not entitle the Owner to vote at the Company’s general meeting or to receive dividends. When a warrant is exercised, the value may be calculated as the difference between the market value of the</w:t>
      </w:r>
    </w:p>
    <w:p>
      <w:pPr>
        <w:spacing w:after="0" w:line="1" w:lineRule="exact"/>
        <w:rPr>
          <w:sz w:val="20"/>
          <w:szCs w:val="20"/>
          <w:color w:val="auto"/>
        </w:rPr>
      </w:pPr>
    </w:p>
    <w:p>
      <w:pPr>
        <w:jc w:val="both"/>
        <w:spacing w:after="0" w:line="409" w:lineRule="auto"/>
        <w:rPr>
          <w:sz w:val="20"/>
          <w:szCs w:val="20"/>
          <w:color w:val="auto"/>
        </w:rPr>
      </w:pPr>
      <w:r>
        <w:rPr>
          <w:rFonts w:ascii="Verdana" w:cs="Verdana" w:eastAsia="Verdana" w:hAnsi="Verdana"/>
          <w:sz w:val="18"/>
          <w:szCs w:val="18"/>
          <w:color w:val="auto"/>
        </w:rPr>
        <w:t>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2"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The Owner of the warrant is obligated to give notice to the Company of changes in the Owner’s contact information.</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B. Conditions for exercise of Warrants.</w:t>
      </w:r>
    </w:p>
    <w:p>
      <w:pPr>
        <w:spacing w:after="0" w:line="308" w:lineRule="exact"/>
        <w:rPr>
          <w:sz w:val="20"/>
          <w:szCs w:val="20"/>
          <w:color w:val="auto"/>
        </w:rPr>
      </w:pPr>
    </w:p>
    <w:p>
      <w:pPr>
        <w:jc w:val="both"/>
        <w:ind w:firstLine="810"/>
        <w:spacing w:after="0" w:line="407" w:lineRule="auto"/>
        <w:rPr>
          <w:sz w:val="20"/>
          <w:szCs w:val="20"/>
          <w:color w:val="auto"/>
        </w:rPr>
      </w:pPr>
      <w:r>
        <w:rPr>
          <w:rFonts w:ascii="Verdana" w:cs="Verdana" w:eastAsia="Verdana" w:hAnsi="Verdana"/>
          <w:sz w:val="18"/>
          <w:szCs w:val="18"/>
          <w:color w:val="auto"/>
        </w:rPr>
        <w:t>The Warrants are not granted due to work already performed by the Owners, but are granted in order to motivate the Owners, as described below, during the years following the date of issue of the Warrants.</w:t>
      </w:r>
    </w:p>
    <w:p>
      <w:pPr>
        <w:spacing w:after="0" w:line="1" w:lineRule="exact"/>
        <w:rPr>
          <w:sz w:val="20"/>
          <w:szCs w:val="20"/>
          <w:color w:val="auto"/>
        </w:rPr>
      </w:pPr>
    </w:p>
    <w:p>
      <w:pPr>
        <w:jc w:val="both"/>
        <w:ind w:firstLine="810"/>
        <w:spacing w:after="0" w:line="423" w:lineRule="auto"/>
        <w:rPr>
          <w:sz w:val="20"/>
          <w:szCs w:val="20"/>
          <w:color w:val="auto"/>
        </w:rPr>
      </w:pPr>
      <w:r>
        <w:rPr>
          <w:rFonts w:ascii="Verdana" w:cs="Verdana" w:eastAsia="Verdana" w:hAnsi="Verdana"/>
          <w:sz w:val="18"/>
          <w:szCs w:val="18"/>
          <w:color w:val="auto"/>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 Exercise Price.</w:t>
      </w:r>
    </w:p>
    <w:p>
      <w:pPr>
        <w:spacing w:after="0" w:line="200" w:lineRule="exact"/>
        <w:rPr>
          <w:sz w:val="20"/>
          <w:szCs w:val="20"/>
          <w:color w:val="auto"/>
        </w:rPr>
      </w:pPr>
    </w:p>
    <w:p>
      <w:pPr>
        <w:spacing w:after="0" w:line="202"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Warrants are issued to the Owner free of charge.</w:t>
      </w:r>
    </w:p>
    <w:p>
      <w:pPr>
        <w:spacing w:after="0" w:line="159" w:lineRule="exact"/>
        <w:rPr>
          <w:sz w:val="20"/>
          <w:szCs w:val="20"/>
          <w:color w:val="auto"/>
        </w:rPr>
      </w:pPr>
    </w:p>
    <w:p>
      <w:pPr>
        <w:jc w:val="both"/>
        <w:ind w:firstLine="894"/>
        <w:spacing w:after="0" w:line="415" w:lineRule="auto"/>
        <w:rPr>
          <w:sz w:val="20"/>
          <w:szCs w:val="20"/>
          <w:color w:val="auto"/>
        </w:rPr>
      </w:pPr>
      <w:r>
        <w:rPr>
          <w:rFonts w:ascii="Verdana" w:cs="Verdana" w:eastAsia="Verdana" w:hAnsi="Verdana"/>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228" w:lineRule="exact"/>
        <w:rPr>
          <w:sz w:val="20"/>
          <w:szCs w:val="20"/>
          <w:color w:val="auto"/>
        </w:rPr>
      </w:pPr>
    </w:p>
    <w:p>
      <w:pPr>
        <w:ind w:left="380" w:hanging="372"/>
        <w:spacing w:after="0"/>
        <w:tabs>
          <w:tab w:leader="none" w:pos="380" w:val="left"/>
        </w:tabs>
        <w:numPr>
          <w:ilvl w:val="0"/>
          <w:numId w:val="2"/>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Exercise Period &amp; Vesting Schedule.</w:t>
      </w:r>
    </w:p>
    <w:p>
      <w:pPr>
        <w:spacing w:after="0" w:line="398" w:lineRule="exact"/>
        <w:rPr>
          <w:rFonts w:ascii="Verdana" w:cs="Verdana" w:eastAsia="Verdana" w:hAnsi="Verdana"/>
          <w:sz w:val="18"/>
          <w:szCs w:val="18"/>
          <w:u w:val="single" w:color="auto"/>
          <w:color w:val="auto"/>
        </w:rPr>
      </w:pPr>
    </w:p>
    <w:p>
      <w:pPr>
        <w:ind w:firstLine="902"/>
        <w:spacing w:after="0" w:line="366" w:lineRule="auto"/>
        <w:tabs>
          <w:tab w:leader="none" w:pos="1255" w:val="left"/>
        </w:tabs>
        <w:numPr>
          <w:ilvl w:val="1"/>
          <w:numId w:val="2"/>
        </w:numPr>
        <w:rPr>
          <w:rFonts w:ascii="Verdana" w:cs="Verdana" w:eastAsia="Verdana" w:hAnsi="Verdana"/>
          <w:sz w:val="18"/>
          <w:szCs w:val="18"/>
          <w:color w:val="auto"/>
        </w:rPr>
      </w:pPr>
      <w:r>
        <w:rPr>
          <w:rFonts w:ascii="Verdana" w:cs="Verdana" w:eastAsia="Verdana" w:hAnsi="Verdana"/>
          <w:sz w:val="18"/>
          <w:szCs w:val="18"/>
          <w:color w:val="auto"/>
        </w:rPr>
        <w:t>The Warrants will lapse automatically, without prior notice and without compensation on the seventh (7</w:t>
      </w:r>
      <w:r>
        <w:rPr>
          <w:rFonts w:ascii="Verdana" w:cs="Verdana" w:eastAsia="Verdana" w:hAnsi="Verdana"/>
          <w:sz w:val="23"/>
          <w:szCs w:val="23"/>
          <w:color w:val="auto"/>
          <w:vertAlign w:val="superscript"/>
        </w:rPr>
        <w:t>th</w:t>
      </w:r>
      <w:r>
        <w:rPr>
          <w:rFonts w:ascii="Verdana" w:cs="Verdana" w:eastAsia="Verdana" w:hAnsi="Verdana"/>
          <w:sz w:val="18"/>
          <w:szCs w:val="18"/>
          <w:color w:val="auto"/>
        </w:rPr>
        <w:t>) anniversary of the Date of Issue (the “Expiry Date”).</w:t>
      </w:r>
    </w:p>
    <w:p>
      <w:pPr>
        <w:ind w:firstLine="894"/>
        <w:spacing w:after="0" w:line="432" w:lineRule="auto"/>
        <w:rPr>
          <w:rFonts w:ascii="Verdana" w:cs="Verdana" w:eastAsia="Verdana" w:hAnsi="Verdana"/>
          <w:sz w:val="18"/>
          <w:szCs w:val="18"/>
          <w:color w:val="auto"/>
        </w:rPr>
      </w:pPr>
      <w:r>
        <w:rPr>
          <w:rFonts w:ascii="Verdana" w:cs="Verdana" w:eastAsia="Verdana" w:hAnsi="Verdana"/>
          <w:sz w:val="18"/>
          <w:szCs w:val="18"/>
          <w:color w:val="auto"/>
        </w:rPr>
        <w:t>From the Date of Issue and until the Expiry Date (“The Exercise Period”), an Owner earns the right to keep and exercise Warrants only in accordance with the following rules:</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540" w:hanging="94"/>
        <w:spacing w:after="0" w:line="432" w:lineRule="auto"/>
        <w:rPr>
          <w:sz w:val="20"/>
          <w:szCs w:val="20"/>
          <w:color w:val="auto"/>
        </w:rPr>
      </w:pPr>
      <w:r>
        <w:rPr>
          <w:rFonts w:ascii="Verdana" w:cs="Verdana" w:eastAsia="Verdana" w:hAnsi="Verdana"/>
          <w:sz w:val="18"/>
          <w:szCs w:val="18"/>
          <w:color w:val="auto"/>
        </w:rPr>
        <w:t>Until three (3) years from the Date of Issue of a particular grant of Warrants, no such Warrants are earned/can be exercised.</w:t>
      </w:r>
    </w:p>
    <w:p>
      <w:pPr>
        <w:spacing w:after="0" w:line="198" w:lineRule="exact"/>
        <w:rPr>
          <w:sz w:val="20"/>
          <w:szCs w:val="20"/>
          <w:color w:val="auto"/>
        </w:rPr>
      </w:pPr>
    </w:p>
    <w:p>
      <w:pPr>
        <w:jc w:val="both"/>
        <w:ind w:left="1540" w:hanging="94"/>
        <w:spacing w:after="0" w:line="420" w:lineRule="auto"/>
        <w:rPr>
          <w:sz w:val="20"/>
          <w:szCs w:val="20"/>
          <w:color w:val="auto"/>
        </w:rPr>
      </w:pPr>
      <w:r>
        <w:rPr>
          <w:rFonts w:ascii="Verdana" w:cs="Verdana" w:eastAsia="Verdana" w:hAnsi="Verdana"/>
          <w:sz w:val="18"/>
          <w:szCs w:val="18"/>
          <w:color w:val="auto"/>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(c).</w:t>
      </w:r>
    </w:p>
    <w:p>
      <w:pPr>
        <w:spacing w:after="0" w:line="224" w:lineRule="exact"/>
        <w:rPr>
          <w:sz w:val="20"/>
          <w:szCs w:val="20"/>
          <w:color w:val="auto"/>
        </w:rPr>
      </w:pPr>
    </w:p>
    <w:p>
      <w:pPr>
        <w:ind w:firstLine="972"/>
        <w:spacing w:after="0" w:line="432" w:lineRule="auto"/>
        <w:rPr>
          <w:sz w:val="20"/>
          <w:szCs w:val="20"/>
          <w:color w:val="auto"/>
        </w:rPr>
      </w:pPr>
      <w:r>
        <w:rPr>
          <w:rFonts w:ascii="Verdana" w:cs="Verdana" w:eastAsia="Verdana" w:hAnsi="Verdana"/>
          <w:sz w:val="18"/>
          <w:szCs w:val="18"/>
          <w:color w:val="auto"/>
        </w:rPr>
        <w:t>For the sake of clarity it is noted that in no event can Warrants be exercised earlier than three (3) years after the Date of Issue of the Warrants in question, unless as set out in Clause B.II, heading (d) in this Schedule E.</w:t>
      </w:r>
    </w:p>
    <w:p>
      <w:pPr>
        <w:spacing w:after="0" w:line="211" w:lineRule="exact"/>
        <w:rPr>
          <w:sz w:val="20"/>
          <w:szCs w:val="20"/>
          <w:color w:val="auto"/>
        </w:rPr>
      </w:pPr>
    </w:p>
    <w:p>
      <w:pPr>
        <w:ind w:firstLine="980"/>
        <w:spacing w:after="0" w:line="417" w:lineRule="auto"/>
        <w:tabs>
          <w:tab w:leader="none" w:pos="1312"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In case of termination of the employment relationship with the Company or one of its subsidiaries the Owner or his/her estate shall be entitled to keep and exercise all Warrants issued to the Owner in instances where</w:t>
      </w:r>
    </w:p>
    <w:p>
      <w:pPr>
        <w:spacing w:after="0" w:line="225" w:lineRule="exact"/>
        <w:rPr>
          <w:sz w:val="20"/>
          <w:szCs w:val="20"/>
          <w:color w:val="auto"/>
        </w:rPr>
      </w:pPr>
    </w:p>
    <w:p>
      <w:pPr>
        <w:jc w:val="both"/>
        <w:ind w:left="1620" w:hanging="94"/>
        <w:spacing w:after="0" w:line="418" w:lineRule="auto"/>
        <w:rPr>
          <w:sz w:val="20"/>
          <w:szCs w:val="20"/>
          <w:color w:val="auto"/>
        </w:rPr>
      </w:pPr>
      <w:r>
        <w:rPr>
          <w:rFonts w:ascii="Verdana" w:cs="Verdana" w:eastAsia="Verdana" w:hAnsi="Verdana"/>
          <w:sz w:val="18"/>
          <w:szCs w:val="18"/>
          <w:color w:val="auto"/>
        </w:rPr>
        <w:t>the Company or one of its subsidiaries terminates the Owner’s employment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w:t>
      </w:r>
    </w:p>
    <w:p>
      <w:pPr>
        <w:spacing w:after="0" w:line="211" w:lineRule="exact"/>
        <w:rPr>
          <w:sz w:val="20"/>
          <w:szCs w:val="20"/>
          <w:color w:val="auto"/>
        </w:rPr>
      </w:pPr>
    </w:p>
    <w:p>
      <w:pPr>
        <w:jc w:val="both"/>
        <w:ind w:left="1620" w:hanging="94"/>
        <w:spacing w:after="0" w:line="432" w:lineRule="auto"/>
        <w:rPr>
          <w:sz w:val="20"/>
          <w:szCs w:val="20"/>
          <w:color w:val="auto"/>
        </w:rPr>
      </w:pPr>
      <w:r>
        <w:rPr>
          <w:rFonts w:ascii="Verdana" w:cs="Verdana" w:eastAsia="Verdana" w:hAnsi="Verdana"/>
          <w:sz w:val="18"/>
          <w:szCs w:val="18"/>
          <w:color w:val="auto"/>
        </w:rPr>
        <w:t>the Owner terminates the employment relationship as a result of a material breach on the part of the Company/subsidiary; or</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620" w:hanging="94"/>
        <w:spacing w:after="0" w:line="416" w:lineRule="auto"/>
        <w:rPr>
          <w:sz w:val="20"/>
          <w:szCs w:val="20"/>
          <w:color w:val="auto"/>
        </w:rPr>
      </w:pPr>
      <w:r>
        <w:rPr>
          <w:rFonts w:ascii="Verdana" w:cs="Verdana" w:eastAsia="Verdana" w:hAnsi="Verdana"/>
          <w:sz w:val="18"/>
          <w:szCs w:val="18"/>
          <w:color w:val="auto"/>
        </w:rPr>
        <w:t>the employment relationship is terminated as a result of the Owner’s death, sickness or injury (other than termination by the employer due to excessive absenteeism or absence without notice), or retirement at an age where the Owner is eligible for Company or governmental pension.</w:t>
      </w:r>
    </w:p>
    <w:p>
      <w:pPr>
        <w:spacing w:after="0" w:line="226"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w:t>
      </w:r>
    </w:p>
    <w:p>
      <w:pPr>
        <w:spacing w:after="0" w:line="220" w:lineRule="exact"/>
        <w:rPr>
          <w:sz w:val="20"/>
          <w:szCs w:val="20"/>
          <w:color w:val="auto"/>
        </w:rPr>
      </w:pPr>
    </w:p>
    <w:p>
      <w:pPr>
        <w:jc w:val="both"/>
        <w:ind w:firstLine="980"/>
        <w:spacing w:after="0" w:line="423" w:lineRule="auto"/>
        <w:tabs>
          <w:tab w:leader="none" w:pos="1294" w:val="left"/>
        </w:tabs>
        <w:numPr>
          <w:ilvl w:val="1"/>
          <w:numId w:val="4"/>
        </w:numPr>
        <w:rPr>
          <w:rFonts w:ascii="Verdana" w:cs="Verdana" w:eastAsia="Verdana" w:hAnsi="Verdana"/>
          <w:sz w:val="18"/>
          <w:szCs w:val="18"/>
          <w:color w:val="auto"/>
        </w:rPr>
      </w:pPr>
      <w:r>
        <w:rPr>
          <w:rFonts w:ascii="Verdana" w:cs="Verdana" w:eastAsia="Verdana" w:hAnsi="Verdana"/>
          <w:sz w:val="18"/>
          <w:szCs w:val="18"/>
          <w:color w:val="auto"/>
        </w:rPr>
        <w:t>In case of termination of the Owner’s employment relationship with the Company or one of its subsidiaries in all other instances than those described above under heading (b), the Owner’s right to exercise the Owner’s Warrants shall be limited as described under heading (a) above.</w:t>
      </w:r>
    </w:p>
    <w:p>
      <w:pPr>
        <w:spacing w:after="0" w:line="206" w:lineRule="exact"/>
        <w:rPr>
          <w:rFonts w:ascii="Verdana" w:cs="Verdana" w:eastAsia="Verdana" w:hAnsi="Verdana"/>
          <w:sz w:val="18"/>
          <w:szCs w:val="18"/>
          <w:color w:val="auto"/>
        </w:rPr>
      </w:pPr>
    </w:p>
    <w:p>
      <w:pPr>
        <w:ind w:right="20" w:firstLine="980"/>
        <w:spacing w:after="0" w:line="432" w:lineRule="auto"/>
        <w:tabs>
          <w:tab w:leader="none" w:pos="1315" w:val="left"/>
        </w:tabs>
        <w:numPr>
          <w:ilvl w:val="1"/>
          <w:numId w:val="4"/>
        </w:numPr>
        <w:rPr>
          <w:rFonts w:ascii="Verdana" w:cs="Verdana" w:eastAsia="Verdana" w:hAnsi="Verdana"/>
          <w:sz w:val="18"/>
          <w:szCs w:val="18"/>
          <w:color w:val="auto"/>
        </w:rPr>
      </w:pPr>
      <w:r>
        <w:rPr>
          <w:rFonts w:ascii="Verdana" w:cs="Verdana" w:eastAsia="Verdana" w:hAnsi="Verdana"/>
          <w:sz w:val="18"/>
          <w:szCs w:val="18"/>
          <w:color w:val="auto"/>
        </w:rPr>
        <w:t>In case of a direct or indirect transfer of shares in the Company which entails that the acquirer achieves any one or more of the following:</w:t>
      </w:r>
    </w:p>
    <w:p>
      <w:pPr>
        <w:spacing w:after="0" w:line="211" w:lineRule="exact"/>
        <w:rPr>
          <w:rFonts w:ascii="Verdana" w:cs="Verdana" w:eastAsia="Verdana" w:hAnsi="Verdana"/>
          <w:sz w:val="18"/>
          <w:szCs w:val="18"/>
          <w:color w:val="auto"/>
        </w:rPr>
      </w:pPr>
    </w:p>
    <w:p>
      <w:pPr>
        <w:ind w:left="1220" w:right="20" w:hanging="318"/>
        <w:spacing w:after="0" w:line="414" w:lineRule="auto"/>
        <w:tabs>
          <w:tab w:leader="none" w:pos="1213"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holds at least a third of the voting rights in the Company, unless it is clearly demonstrated that such holding does not constitute a controlling influence over the Company,</w:t>
      </w:r>
    </w:p>
    <w:p>
      <w:pPr>
        <w:spacing w:after="0" w:line="1" w:lineRule="exact"/>
        <w:rPr>
          <w:rFonts w:ascii="Verdana" w:cs="Verdana" w:eastAsia="Verdana" w:hAnsi="Verdana"/>
          <w:sz w:val="18"/>
          <w:szCs w:val="18"/>
          <w:color w:val="auto"/>
        </w:rPr>
      </w:pPr>
    </w:p>
    <w:p>
      <w:pPr>
        <w:ind w:left="1220" w:hanging="318"/>
        <w:spacing w:after="0"/>
        <w:tabs>
          <w:tab w:leader="none" w:pos="122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by way of an agreement with other investors controls at least a third of the voting rights in the Company,</w:t>
      </w:r>
    </w:p>
    <w:p>
      <w:pPr>
        <w:spacing w:after="0" w:line="159" w:lineRule="exact"/>
        <w:rPr>
          <w:rFonts w:ascii="Verdana" w:cs="Verdana" w:eastAsia="Verdana" w:hAnsi="Verdana"/>
          <w:sz w:val="18"/>
          <w:szCs w:val="18"/>
          <w:color w:val="auto"/>
        </w:rPr>
      </w:pPr>
    </w:p>
    <w:p>
      <w:pPr>
        <w:ind w:left="1220" w:hanging="318"/>
        <w:spacing w:after="0" w:line="432" w:lineRule="auto"/>
        <w:tabs>
          <w:tab w:leader="none" w:pos="1213"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is able to control the Company's financial and operational matters due to the content of the Company's articles of association or as a result of any agreement, or</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hanging="318"/>
        <w:spacing w:after="0" w:line="432" w:lineRule="auto"/>
        <w:tabs>
          <w:tab w:leader="none" w:pos="1213"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is able to appoint or dismiss a majority of the members of the Board of Directors, and the Board of Directors has controlling influence over the Company,</w:t>
      </w:r>
    </w:p>
    <w:p>
      <w:pPr>
        <w:spacing w:after="0" w:line="198" w:lineRule="exact"/>
        <w:rPr>
          <w:sz w:val="20"/>
          <w:szCs w:val="20"/>
          <w:color w:val="auto"/>
        </w:rPr>
      </w:pPr>
    </w:p>
    <w:p>
      <w:pPr>
        <w:jc w:val="both"/>
        <w:ind w:firstLine="894"/>
        <w:spacing w:after="0" w:line="417" w:lineRule="auto"/>
        <w:rPr>
          <w:sz w:val="20"/>
          <w:szCs w:val="20"/>
          <w:color w:val="auto"/>
        </w:rPr>
      </w:pPr>
      <w:r>
        <w:rPr>
          <w:rFonts w:ascii="Verdana" w:cs="Verdana" w:eastAsia="Verdana" w:hAnsi="Verdana"/>
          <w:sz w:val="18"/>
          <w:szCs w:val="18"/>
          <w:color w:val="auto"/>
        </w:rPr>
        <w:t>then, the Owner shall immediately be granted the right to exercise all the Owner’s Warrants. However, to the extent (i) the Owner has at the time of the transfer of shares received or given notice of termination of the Owner’s employment relationship with the Company or its subsidiaries, (ii) such 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Termination of the Owner’s employment in connection with or as a consequence of a transfer of shares as described above shall not be considered to be a good reason as described in heading (a) above.</w:t>
      </w:r>
    </w:p>
    <w:p>
      <w:pPr>
        <w:spacing w:after="0" w:line="215" w:lineRule="exact"/>
        <w:rPr>
          <w:sz w:val="20"/>
          <w:szCs w:val="20"/>
          <w:color w:val="auto"/>
        </w:rPr>
      </w:pPr>
    </w:p>
    <w:p>
      <w:pPr>
        <w:jc w:val="both"/>
        <w:ind w:firstLine="902"/>
        <w:spacing w:after="0" w:line="419" w:lineRule="auto"/>
        <w:tabs>
          <w:tab w:leader="none" w:pos="1274" w:val="left"/>
        </w:tabs>
        <w:numPr>
          <w:ilvl w:val="1"/>
          <w:numId w:val="7"/>
        </w:numPr>
        <w:rPr>
          <w:rFonts w:ascii="Verdana" w:cs="Verdana" w:eastAsia="Verdana" w:hAnsi="Verdana"/>
          <w:sz w:val="18"/>
          <w:szCs w:val="18"/>
          <w:color w:val="auto"/>
        </w:rPr>
      </w:pPr>
      <w:r>
        <w:rPr>
          <w:rFonts w:ascii="Verdana" w:cs="Verdana" w:eastAsia="Verdana" w:hAnsi="Verdana"/>
          <w:sz w:val="18"/>
          <w:szCs w:val="18"/>
          <w:color w:val="auto"/>
        </w:rPr>
        <w:t>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w:t>
      </w:r>
    </w:p>
    <w:p>
      <w:pPr>
        <w:spacing w:after="0" w:line="223" w:lineRule="exact"/>
        <w:rPr>
          <w:rFonts w:ascii="Verdana" w:cs="Verdana" w:eastAsia="Verdana" w:hAnsi="Verdana"/>
          <w:sz w:val="18"/>
          <w:szCs w:val="18"/>
          <w:color w:val="auto"/>
        </w:rPr>
      </w:pPr>
    </w:p>
    <w:p>
      <w:pPr>
        <w:ind w:firstLine="902"/>
        <w:spacing w:after="0" w:line="432" w:lineRule="auto"/>
        <w:tabs>
          <w:tab w:leader="none" w:pos="1195" w:val="left"/>
        </w:tabs>
        <w:numPr>
          <w:ilvl w:val="1"/>
          <w:numId w:val="7"/>
        </w:numPr>
        <w:rPr>
          <w:rFonts w:ascii="Verdana" w:cs="Verdana" w:eastAsia="Verdana" w:hAnsi="Verdana"/>
          <w:sz w:val="18"/>
          <w:szCs w:val="18"/>
          <w:color w:val="auto"/>
        </w:rPr>
      </w:pPr>
      <w:r>
        <w:rPr>
          <w:rFonts w:ascii="Verdana" w:cs="Verdana" w:eastAsia="Verdana" w:hAnsi="Verdana"/>
          <w:sz w:val="18"/>
          <w:szCs w:val="18"/>
          <w:color w:val="auto"/>
        </w:rPr>
        <w:t>Any exercise of Warrants must respect the stock exchange regulation in force from time to time, including the prohibition against insider trading.</w:t>
      </w:r>
    </w:p>
    <w:p>
      <w:pPr>
        <w:spacing w:after="0" w:line="197" w:lineRule="exact"/>
        <w:rPr>
          <w:rFonts w:ascii="Verdana" w:cs="Verdana" w:eastAsia="Verdana" w:hAnsi="Verdana"/>
          <w:sz w:val="18"/>
          <w:szCs w:val="18"/>
          <w:color w:val="auto"/>
        </w:rPr>
      </w:pPr>
    </w:p>
    <w:p>
      <w:pPr>
        <w:ind w:left="460" w:hanging="452"/>
        <w:spacing w:after="0"/>
        <w:tabs>
          <w:tab w:leader="none" w:pos="460" w:val="left"/>
        </w:tabs>
        <w:numPr>
          <w:ilvl w:val="0"/>
          <w:numId w:val="8"/>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Procedure for Exercise.</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894"/>
        <w:spacing w:after="0" w:line="412" w:lineRule="auto"/>
        <w:rPr>
          <w:sz w:val="20"/>
          <w:szCs w:val="20"/>
          <w:color w:val="auto"/>
        </w:rPr>
      </w:pPr>
      <w:r>
        <w:rPr>
          <w:rFonts w:ascii="Verdana" w:cs="Verdana" w:eastAsia="Verdana" w:hAnsi="Verdana"/>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(IV) Non-transferability.</w:t>
      </w:r>
    </w:p>
    <w:p>
      <w:pPr>
        <w:spacing w:after="0" w:line="200" w:lineRule="exact"/>
        <w:rPr>
          <w:sz w:val="20"/>
          <w:szCs w:val="20"/>
          <w:color w:val="auto"/>
        </w:rPr>
      </w:pPr>
    </w:p>
    <w:p>
      <w:pPr>
        <w:spacing w:after="0" w:line="202" w:lineRule="exact"/>
        <w:rPr>
          <w:sz w:val="20"/>
          <w:szCs w:val="20"/>
          <w:color w:val="auto"/>
        </w:rPr>
      </w:pPr>
    </w:p>
    <w:p>
      <w:pPr>
        <w:jc w:val="both"/>
        <w:ind w:firstLine="980"/>
        <w:spacing w:after="0" w:line="416" w:lineRule="auto"/>
        <w:tabs>
          <w:tab w:leader="none" w:pos="1307"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The Warrants issued are personal and may never be the subject of transfer or assignment. Warrants may not be pledged or otherwise serve as the basis for settlement of claims by the Owner’s creditors. However, transfer can be made to heirs in case of the Owner’s death.</w:t>
      </w:r>
    </w:p>
    <w:p>
      <w:pPr>
        <w:spacing w:after="0" w:line="225" w:lineRule="exact"/>
        <w:rPr>
          <w:rFonts w:ascii="Verdana" w:cs="Verdana" w:eastAsia="Verdana" w:hAnsi="Verdana"/>
          <w:sz w:val="18"/>
          <w:szCs w:val="18"/>
          <w:color w:val="auto"/>
        </w:rPr>
      </w:pPr>
    </w:p>
    <w:p>
      <w:pPr>
        <w:jc w:val="both"/>
        <w:ind w:firstLine="980"/>
        <w:spacing w:after="0" w:line="419" w:lineRule="auto"/>
        <w:tabs>
          <w:tab w:leader="none" w:pos="1337"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spacing w:after="0" w:line="223" w:lineRule="exact"/>
        <w:rPr>
          <w:rFonts w:ascii="Verdana" w:cs="Verdana" w:eastAsia="Verdana" w:hAnsi="Verdana"/>
          <w:sz w:val="18"/>
          <w:szCs w:val="18"/>
          <w:color w:val="auto"/>
        </w:rPr>
      </w:pPr>
    </w:p>
    <w:p>
      <w:pPr>
        <w:jc w:val="both"/>
        <w:ind w:firstLine="980"/>
        <w:spacing w:after="0" w:line="416" w:lineRule="auto"/>
        <w:tabs>
          <w:tab w:leader="none" w:pos="1301"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 w:firstLine="980"/>
        <w:spacing w:after="0" w:line="416" w:lineRule="auto"/>
        <w:tabs>
          <w:tab w:leader="none" w:pos="1330" w:val="left"/>
        </w:tabs>
        <w:numPr>
          <w:ilvl w:val="2"/>
          <w:numId w:val="10"/>
        </w:numPr>
        <w:rPr>
          <w:rFonts w:ascii="Verdana" w:cs="Verdana" w:eastAsia="Verdana" w:hAnsi="Verdana"/>
          <w:sz w:val="18"/>
          <w:szCs w:val="18"/>
          <w:color w:val="auto"/>
        </w:rPr>
      </w:pPr>
      <w:r>
        <w:rPr>
          <w:rFonts w:ascii="Verdana" w:cs="Verdana" w:eastAsia="Verdana" w:hAnsi="Verdana"/>
          <w:sz w:val="18"/>
          <w:szCs w:val="18"/>
          <w:color w:val="auto"/>
        </w:rPr>
        <w:t>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spacing w:after="0" w:line="225" w:lineRule="exact"/>
        <w:rPr>
          <w:rFonts w:ascii="Verdana" w:cs="Verdana" w:eastAsia="Verdana" w:hAnsi="Verdana"/>
          <w:sz w:val="18"/>
          <w:szCs w:val="18"/>
          <w:color w:val="auto"/>
        </w:rPr>
      </w:pPr>
    </w:p>
    <w:p>
      <w:pPr>
        <w:ind w:left="252" w:hanging="252"/>
        <w:spacing w:after="0"/>
        <w:tabs>
          <w:tab w:leader="none" w:pos="252" w:val="left"/>
        </w:tabs>
        <w:numPr>
          <w:ilvl w:val="0"/>
          <w:numId w:val="11"/>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General Terms.</w:t>
      </w:r>
    </w:p>
    <w:p>
      <w:pPr>
        <w:spacing w:after="0" w:line="200" w:lineRule="exact"/>
        <w:rPr>
          <w:rFonts w:ascii="Verdana" w:cs="Verdana" w:eastAsia="Verdana" w:hAnsi="Verdana"/>
          <w:sz w:val="18"/>
          <w:szCs w:val="18"/>
          <w:b w:val="1"/>
          <w:bCs w:val="1"/>
          <w:u w:val="single" w:color="auto"/>
          <w:color w:val="auto"/>
        </w:rPr>
      </w:pPr>
    </w:p>
    <w:p>
      <w:pPr>
        <w:spacing w:after="0" w:line="202" w:lineRule="exact"/>
        <w:rPr>
          <w:rFonts w:ascii="Verdana" w:cs="Verdana" w:eastAsia="Verdana" w:hAnsi="Verdana"/>
          <w:sz w:val="18"/>
          <w:szCs w:val="18"/>
          <w:b w:val="1"/>
          <w:bCs w:val="1"/>
          <w:u w:val="single" w:color="auto"/>
          <w:color w:val="auto"/>
        </w:rPr>
      </w:pPr>
    </w:p>
    <w:p>
      <w:pPr>
        <w:jc w:val="both"/>
        <w:ind w:left="-8" w:firstLine="980"/>
        <w:spacing w:after="0" w:line="419" w:lineRule="auto"/>
        <w:tabs>
          <w:tab w:leader="none" w:pos="1310" w:val="left"/>
        </w:tabs>
        <w:numPr>
          <w:ilvl w:val="2"/>
          <w:numId w:val="11"/>
        </w:numPr>
        <w:rPr>
          <w:rFonts w:ascii="Verdana" w:cs="Verdana" w:eastAsia="Verdana" w:hAnsi="Verdana"/>
          <w:sz w:val="18"/>
          <w:szCs w:val="18"/>
          <w:color w:val="auto"/>
        </w:rPr>
      </w:pPr>
      <w:r>
        <w:rPr>
          <w:rFonts w:ascii="Verdana" w:cs="Verdana" w:eastAsia="Verdana" w:hAnsi="Verdana"/>
          <w:sz w:val="18"/>
          <w:szCs w:val="18"/>
          <w:color w:val="auto"/>
        </w:rPr>
        <w:t>Existing shareholders of the Company do not have a right of pre-emption to the shares issued on the basis of the Owner’s exercise of Warrants. The 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209" w:lineRule="exact"/>
        <w:rPr>
          <w:rFonts w:ascii="Verdana" w:cs="Verdana" w:eastAsia="Verdana" w:hAnsi="Verdana"/>
          <w:sz w:val="18"/>
          <w:szCs w:val="18"/>
          <w:color w:val="auto"/>
        </w:rPr>
      </w:pPr>
    </w:p>
    <w:p>
      <w:pPr>
        <w:ind w:left="-8" w:firstLine="902"/>
        <w:spacing w:after="0" w:line="432" w:lineRule="auto"/>
        <w:tabs>
          <w:tab w:leader="none" w:pos="1247" w:val="left"/>
        </w:tabs>
        <w:numPr>
          <w:ilvl w:val="1"/>
          <w:numId w:val="11"/>
        </w:numPr>
        <w:rPr>
          <w:rFonts w:ascii="Verdana" w:cs="Verdana" w:eastAsia="Verdana" w:hAnsi="Verdana"/>
          <w:sz w:val="18"/>
          <w:szCs w:val="18"/>
          <w:color w:val="auto"/>
        </w:rPr>
      </w:pPr>
      <w:r>
        <w:rPr>
          <w:rFonts w:ascii="Verdana" w:cs="Verdana" w:eastAsia="Verdana" w:hAnsi="Verdana"/>
          <w:sz w:val="18"/>
          <w:szCs w:val="18"/>
          <w:color w:val="auto"/>
        </w:rPr>
        <w:t>At the request of the Owner, the Board of Directors of the Company shall issue certificates concerning the Owner’s right to Warrants.</w:t>
      </w:r>
    </w:p>
    <w:p>
      <w:pPr>
        <w:spacing w:after="0" w:line="211" w:lineRule="exact"/>
        <w:rPr>
          <w:rFonts w:ascii="Verdana" w:cs="Verdana" w:eastAsia="Verdana" w:hAnsi="Verdana"/>
          <w:sz w:val="18"/>
          <w:szCs w:val="18"/>
          <w:color w:val="auto"/>
        </w:rPr>
      </w:pPr>
    </w:p>
    <w:p>
      <w:pPr>
        <w:ind w:left="272" w:hanging="272"/>
        <w:spacing w:after="0"/>
        <w:tabs>
          <w:tab w:leader="none" w:pos="272" w:val="left"/>
        </w:tabs>
        <w:numPr>
          <w:ilvl w:val="0"/>
          <w:numId w:val="11"/>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Adjustment of the Exercise Price and/or the Share Number.</w:t>
      </w:r>
    </w:p>
    <w:p>
      <w:pPr>
        <w:spacing w:after="0" w:line="200" w:lineRule="exact"/>
        <w:rPr>
          <w:rFonts w:ascii="Verdana" w:cs="Verdana" w:eastAsia="Verdana" w:hAnsi="Verdana"/>
          <w:sz w:val="18"/>
          <w:szCs w:val="18"/>
          <w:b w:val="1"/>
          <w:bCs w:val="1"/>
          <w:u w:val="single" w:color="auto"/>
          <w:color w:val="auto"/>
        </w:rPr>
      </w:pPr>
    </w:p>
    <w:p>
      <w:pPr>
        <w:spacing w:after="0" w:line="202" w:lineRule="exact"/>
        <w:rPr>
          <w:rFonts w:ascii="Verdana" w:cs="Verdana" w:eastAsia="Verdana" w:hAnsi="Verdana"/>
          <w:sz w:val="18"/>
          <w:szCs w:val="18"/>
          <w:b w:val="1"/>
          <w:bCs w:val="1"/>
          <w:u w:val="single" w:color="auto"/>
          <w:color w:val="auto"/>
        </w:rPr>
      </w:pPr>
    </w:p>
    <w:p>
      <w:pPr>
        <w:jc w:val="both"/>
        <w:ind w:left="-8" w:firstLine="902"/>
        <w:spacing w:after="0" w:line="415" w:lineRule="auto"/>
        <w:tabs>
          <w:tab w:leader="none" w:pos="1235" w:val="left"/>
        </w:tabs>
        <w:numPr>
          <w:ilvl w:val="1"/>
          <w:numId w:val="11"/>
        </w:numPr>
        <w:rPr>
          <w:rFonts w:ascii="Verdana" w:cs="Verdana" w:eastAsia="Verdana" w:hAnsi="Verdana"/>
          <w:sz w:val="18"/>
          <w:szCs w:val="18"/>
          <w:color w:val="auto"/>
        </w:rPr>
      </w:pPr>
      <w:r>
        <w:rPr>
          <w:rFonts w:ascii="Verdana" w:cs="Verdana" w:eastAsia="Verdana" w:hAnsi="Verdana"/>
          <w:sz w:val="18"/>
          <w:szCs w:val="18"/>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shall be made. Main examples of such changes in the capital structure of the Company are capital increases and capital decreases not done at market price, payment of dividend, cf. heading (b) below, issuance of bonus shares, change of</w:t>
      </w:r>
    </w:p>
    <w:p>
      <w:pPr>
        <w:sectPr>
          <w:pgSz w:w="11900" w:h="16838" w:orient="portrait"/>
          <w:cols w:equalWidth="0" w:num="1">
            <w:col w:w="11232"/>
          </w:cols>
          <w:pgMar w:left="328"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denomination of the shares in the Company, purchase and sale of own shares, issuance of warrants and/or convertible instruments, cf. heading (c) below, merger and demerger.</w:t>
      </w:r>
    </w:p>
    <w:p>
      <w:pPr>
        <w:spacing w:after="0" w:line="1" w:lineRule="exact"/>
        <w:rPr>
          <w:sz w:val="20"/>
          <w:szCs w:val="20"/>
          <w:color w:val="auto"/>
        </w:rPr>
      </w:pPr>
    </w:p>
    <w:p>
      <w:pPr>
        <w:jc w:val="both"/>
        <w:ind w:firstLine="894"/>
        <w:spacing w:after="0" w:line="423" w:lineRule="auto"/>
        <w:rPr>
          <w:sz w:val="20"/>
          <w:szCs w:val="20"/>
          <w:color w:val="auto"/>
        </w:rPr>
      </w:pPr>
      <w:r>
        <w:rPr>
          <w:rFonts w:ascii="Verdana" w:cs="Verdana" w:eastAsia="Verdana" w:hAnsi="Verdana"/>
          <w:sz w:val="18"/>
          <w:szCs w:val="18"/>
          <w:color w:val="auto"/>
        </w:rPr>
        <w:t>However, no adjustment of the Exercise Price nor the Share Number shall be made as a result of capital increases implemented on the basis of the exercise of the warrants comprised by this Warrant Scheme or by Schedule C or Schedule D to the Company’s Articles of Association.</w:t>
      </w:r>
    </w:p>
    <w:p>
      <w:pPr>
        <w:spacing w:after="0" w:line="220" w:lineRule="exact"/>
        <w:rPr>
          <w:sz w:val="20"/>
          <w:szCs w:val="20"/>
          <w:color w:val="auto"/>
        </w:rPr>
      </w:pPr>
    </w:p>
    <w:p>
      <w:pPr>
        <w:jc w:val="both"/>
        <w:ind w:firstLine="980"/>
        <w:spacing w:after="0" w:line="423" w:lineRule="auto"/>
        <w:tabs>
          <w:tab w:leader="none" w:pos="1340" w:val="left"/>
        </w:tabs>
        <w:numPr>
          <w:ilvl w:val="1"/>
          <w:numId w:val="12"/>
        </w:numPr>
        <w:rPr>
          <w:rFonts w:ascii="Verdana" w:cs="Verdana" w:eastAsia="Verdana" w:hAnsi="Verdana"/>
          <w:sz w:val="18"/>
          <w:szCs w:val="18"/>
          <w:color w:val="auto"/>
        </w:rPr>
      </w:pPr>
      <w:r>
        <w:rPr>
          <w:rFonts w:ascii="Verdana" w:cs="Verdana" w:eastAsia="Verdana" w:hAnsi="Verdana"/>
          <w:sz w:val="18"/>
          <w:szCs w:val="18"/>
          <w:color w:val="auto"/>
        </w:rPr>
        <w:t>If the Company in an accounting year distributes dividend of more than DKK 5 per share at DKK 1, the Exercise Price shall be reduced to such an extent that the value of the warrants is unaffected by the part of the dividend exceeding the said amount.</w:t>
      </w:r>
    </w:p>
    <w:p>
      <w:pPr>
        <w:spacing w:after="0" w:line="220" w:lineRule="exact"/>
        <w:rPr>
          <w:rFonts w:ascii="Verdana" w:cs="Verdana" w:eastAsia="Verdana" w:hAnsi="Verdana"/>
          <w:sz w:val="18"/>
          <w:szCs w:val="18"/>
          <w:color w:val="auto"/>
        </w:rPr>
      </w:pPr>
    </w:p>
    <w:p>
      <w:pPr>
        <w:jc w:val="both"/>
        <w:ind w:firstLine="902"/>
        <w:spacing w:after="0" w:line="415" w:lineRule="auto"/>
        <w:tabs>
          <w:tab w:leader="none" w:pos="1276" w:val="left"/>
        </w:tabs>
        <w:numPr>
          <w:ilvl w:val="0"/>
          <w:numId w:val="13"/>
        </w:numPr>
        <w:rPr>
          <w:rFonts w:ascii="Verdana" w:cs="Verdana" w:eastAsia="Verdana" w:hAnsi="Verdana"/>
          <w:sz w:val="18"/>
          <w:szCs w:val="18"/>
          <w:color w:val="auto"/>
        </w:rPr>
      </w:pPr>
      <w:r>
        <w:rPr>
          <w:rFonts w:ascii="Verdana" w:cs="Verdana" w:eastAsia="Verdana" w:hAnsi="Verdana"/>
          <w:sz w:val="18"/>
          <w:szCs w:val="18"/>
          <w:color w:val="auto"/>
        </w:rPr>
        <w:t>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spacing w:after="0" w:line="227" w:lineRule="exact"/>
        <w:rPr>
          <w:rFonts w:ascii="Verdana" w:cs="Verdana" w:eastAsia="Verdana" w:hAnsi="Verdana"/>
          <w:sz w:val="18"/>
          <w:szCs w:val="18"/>
          <w:color w:val="auto"/>
        </w:rPr>
      </w:pPr>
    </w:p>
    <w:p>
      <w:pPr>
        <w:jc w:val="both"/>
        <w:ind w:firstLine="902"/>
        <w:spacing w:after="0" w:line="415" w:lineRule="auto"/>
        <w:tabs>
          <w:tab w:leader="none" w:pos="1250" w:val="left"/>
        </w:tabs>
        <w:numPr>
          <w:ilvl w:val="0"/>
          <w:numId w:val="13"/>
        </w:numPr>
        <w:rPr>
          <w:rFonts w:ascii="Verdana" w:cs="Verdana" w:eastAsia="Verdana" w:hAnsi="Verdana"/>
          <w:sz w:val="18"/>
          <w:szCs w:val="18"/>
          <w:color w:val="auto"/>
        </w:rPr>
      </w:pPr>
      <w:r>
        <w:rPr>
          <w:rFonts w:ascii="Verdana" w:cs="Verdana" w:eastAsia="Verdana" w:hAnsi="Verdana"/>
          <w:sz w:val="18"/>
          <w:szCs w:val="18"/>
          <w:color w:val="auto"/>
        </w:rPr>
        <w:t>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902"/>
        <w:spacing w:after="0" w:line="432" w:lineRule="auto"/>
        <w:tabs>
          <w:tab w:leader="none" w:pos="1239" w:val="left"/>
        </w:tabs>
        <w:numPr>
          <w:ilvl w:val="0"/>
          <w:numId w:val="14"/>
        </w:numPr>
        <w:rPr>
          <w:rFonts w:ascii="Verdana" w:cs="Verdana" w:eastAsia="Verdana" w:hAnsi="Verdana"/>
          <w:sz w:val="18"/>
          <w:szCs w:val="18"/>
          <w:color w:val="auto"/>
        </w:rPr>
      </w:pPr>
      <w:r>
        <w:rPr>
          <w:rFonts w:ascii="Verdana" w:cs="Verdana" w:eastAsia="Verdana" w:hAnsi="Verdana"/>
          <w:sz w:val="18"/>
          <w:szCs w:val="18"/>
          <w:color w:val="auto"/>
        </w:rPr>
        <w:t>The Company’s Board of Directors shall determine whether an implemented change in the capital causes for an adjustment of the Exercise Price and/or the Share Number.</w:t>
      </w:r>
    </w:p>
    <w:p>
      <w:pPr>
        <w:spacing w:after="0" w:line="198" w:lineRule="exact"/>
        <w:rPr>
          <w:sz w:val="20"/>
          <w:szCs w:val="20"/>
          <w:color w:val="auto"/>
        </w:rPr>
      </w:pPr>
    </w:p>
    <w:p>
      <w:pPr>
        <w:jc w:val="both"/>
        <w:ind w:firstLine="894"/>
        <w:spacing w:after="0" w:line="419" w:lineRule="auto"/>
        <w:rPr>
          <w:sz w:val="20"/>
          <w:szCs w:val="20"/>
          <w:color w:val="auto"/>
        </w:rPr>
      </w:pPr>
      <w:r>
        <w:rPr>
          <w:rFonts w:ascii="Verdana" w:cs="Verdana" w:eastAsia="Verdana" w:hAnsi="Verdana"/>
          <w:sz w:val="18"/>
          <w:szCs w:val="18"/>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w:t>
      </w:r>
    </w:p>
    <w:p>
      <w:pPr>
        <w:spacing w:after="0" w:line="223" w:lineRule="exact"/>
        <w:rPr>
          <w:sz w:val="20"/>
          <w:szCs w:val="20"/>
          <w:color w:val="auto"/>
        </w:rPr>
      </w:pPr>
    </w:p>
    <w:p>
      <w:pPr>
        <w:jc w:val="both"/>
        <w:ind w:firstLine="902"/>
        <w:spacing w:after="0" w:line="415" w:lineRule="auto"/>
        <w:tabs>
          <w:tab w:leader="none" w:pos="1233"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w:t>
      </w:r>
    </w:p>
    <w:p>
      <w:pPr>
        <w:spacing w:after="0" w:line="228" w:lineRule="exact"/>
        <w:rPr>
          <w:rFonts w:ascii="Verdana" w:cs="Verdana" w:eastAsia="Verdana" w:hAnsi="Verdana"/>
          <w:sz w:val="18"/>
          <w:szCs w:val="18"/>
          <w:color w:val="auto"/>
        </w:rPr>
      </w:pPr>
    </w:p>
    <w:p>
      <w:pPr>
        <w:jc w:val="both"/>
        <w:ind w:firstLine="902"/>
        <w:spacing w:after="0" w:line="414" w:lineRule="auto"/>
        <w:tabs>
          <w:tab w:leader="none" w:pos="1263"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Where a valuer is appointed pursuant to heading (f) above, and the valuer’s valuation deviates from the adjustments made by the Board of Directors, the valuer's valuation shall be used as a basis for adjusting the Exercise Price and/or Share Number.</w:t>
      </w:r>
    </w:p>
    <w:p>
      <w:pPr>
        <w:spacing w:after="0" w:line="1" w:lineRule="exact"/>
        <w:rPr>
          <w:rFonts w:ascii="Verdana" w:cs="Verdana" w:eastAsia="Verdana" w:hAnsi="Verdana"/>
          <w:sz w:val="18"/>
          <w:szCs w:val="18"/>
          <w:color w:val="auto"/>
        </w:rPr>
      </w:pPr>
    </w:p>
    <w:p>
      <w:pPr>
        <w:jc w:val="both"/>
        <w:ind w:firstLine="894"/>
        <w:spacing w:after="0" w:line="416" w:lineRule="auto"/>
        <w:rPr>
          <w:rFonts w:ascii="Verdana" w:cs="Verdana" w:eastAsia="Verdana" w:hAnsi="Verdana"/>
          <w:sz w:val="18"/>
          <w:szCs w:val="18"/>
          <w:color w:val="auto"/>
        </w:rPr>
      </w:pPr>
      <w:r>
        <w:rPr>
          <w:rFonts w:ascii="Verdana" w:cs="Verdana" w:eastAsia="Verdana" w:hAnsi="Verdana"/>
          <w:sz w:val="18"/>
          <w:szCs w:val="18"/>
          <w:color w:val="auto"/>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E. Merger</w:t>
      </w:r>
    </w:p>
    <w:p>
      <w:pPr>
        <w:spacing w:after="0" w:line="200" w:lineRule="exact"/>
        <w:rPr>
          <w:sz w:val="20"/>
          <w:szCs w:val="20"/>
          <w:color w:val="auto"/>
        </w:rPr>
      </w:pPr>
    </w:p>
    <w:p>
      <w:pPr>
        <w:spacing w:after="0" w:line="202" w:lineRule="exact"/>
        <w:rPr>
          <w:sz w:val="20"/>
          <w:szCs w:val="20"/>
          <w:color w:val="auto"/>
        </w:rPr>
      </w:pPr>
    </w:p>
    <w:p>
      <w:pPr>
        <w:jc w:val="both"/>
        <w:ind w:firstLine="894"/>
        <w:spacing w:after="0" w:line="415" w:lineRule="auto"/>
        <w:rPr>
          <w:sz w:val="20"/>
          <w:szCs w:val="20"/>
          <w:color w:val="auto"/>
        </w:rPr>
      </w:pPr>
      <w:r>
        <w:rPr>
          <w:rFonts w:ascii="Verdana" w:cs="Verdana" w:eastAsia="Verdana" w:hAnsi="Verdana"/>
          <w:sz w:val="18"/>
          <w:szCs w:val="18"/>
          <w:color w:val="auto"/>
        </w:rPr>
        <w:t>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 with Clause D above. For the period after the merger, the adjusted Exercise Price and Share number shall be adjusted in accordance with the rules otherwise contained in this Warrant Scheme.</w:t>
      </w: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 Liquidation of the Company</w:t>
      </w:r>
    </w:p>
    <w:p>
      <w:pPr>
        <w:spacing w:after="0" w:line="200" w:lineRule="exact"/>
        <w:rPr>
          <w:sz w:val="20"/>
          <w:szCs w:val="20"/>
          <w:color w:val="auto"/>
        </w:rPr>
      </w:pPr>
    </w:p>
    <w:p>
      <w:pPr>
        <w:spacing w:after="0" w:line="202" w:lineRule="exact"/>
        <w:rPr>
          <w:sz w:val="20"/>
          <w:szCs w:val="20"/>
          <w:color w:val="auto"/>
        </w:rPr>
      </w:pPr>
    </w:p>
    <w:p>
      <w:pPr>
        <w:ind w:right="20" w:firstLine="902"/>
        <w:spacing w:after="0" w:line="414" w:lineRule="auto"/>
        <w:tabs>
          <w:tab w:leader="none" w:pos="1224" w:val="left"/>
        </w:tabs>
        <w:numPr>
          <w:ilvl w:val="0"/>
          <w:numId w:val="16"/>
        </w:numPr>
        <w:rPr>
          <w:rFonts w:ascii="Verdana" w:cs="Verdana" w:eastAsia="Verdana" w:hAnsi="Verdana"/>
          <w:sz w:val="18"/>
          <w:szCs w:val="18"/>
          <w:color w:val="auto"/>
        </w:rPr>
      </w:pPr>
      <w:r>
        <w:rPr>
          <w:rFonts w:ascii="Verdana" w:cs="Verdana" w:eastAsia="Verdana" w:hAnsi="Verdana"/>
          <w:sz w:val="18"/>
          <w:szCs w:val="18"/>
          <w:color w:val="auto"/>
        </w:rPr>
        <w:t>Warrants that have not been exercised shall automatically lapse in the event of the liquidation of the Company. The lapse becomes effective when the general meeting has adopted the final liquidation accounts.</w:t>
      </w:r>
    </w:p>
    <w:p>
      <w:pPr>
        <w:spacing w:after="0" w:line="1" w:lineRule="exact"/>
        <w:rPr>
          <w:rFonts w:ascii="Verdana" w:cs="Verdana" w:eastAsia="Verdana" w:hAnsi="Verdana"/>
          <w:sz w:val="18"/>
          <w:szCs w:val="18"/>
          <w:color w:val="auto"/>
        </w:rPr>
      </w:pPr>
    </w:p>
    <w:p>
      <w:pPr>
        <w:jc w:val="both"/>
        <w:ind w:firstLine="902"/>
        <w:spacing w:after="0" w:line="415" w:lineRule="auto"/>
        <w:tabs>
          <w:tab w:leader="none" w:pos="1223" w:val="left"/>
        </w:tabs>
        <w:numPr>
          <w:ilvl w:val="0"/>
          <w:numId w:val="16"/>
        </w:numPr>
        <w:rPr>
          <w:rFonts w:ascii="Verdana" w:cs="Verdana" w:eastAsia="Verdana" w:hAnsi="Verdana"/>
          <w:sz w:val="18"/>
          <w:szCs w:val="18"/>
          <w:color w:val="auto"/>
        </w:rPr>
      </w:pPr>
      <w:r>
        <w:rPr>
          <w:rFonts w:ascii="Verdana" w:cs="Verdana" w:eastAsia="Verdana" w:hAnsi="Verdana"/>
          <w:sz w:val="18"/>
          <w:szCs w:val="18"/>
          <w:color w:val="auto"/>
        </w:rPr>
        <w:t>Prior to the lapse of non-exercised Warrants, the right to exercise all an Owner’s Warrants shall be granted to such Owner. However, to the extent (i) an Owner has received or given notice of termination of the Owner’s employment relationship with the Company or its subsidiaries, (ii) such notice has become effective at the time when the right to exercise Warrants due to the liquidation is granted, and (iii) such notice is received or given due to reasons comprised by Clause B.II, heading (c) above, the Owner will only be able to exercise the number of Warrants following from Clause B.II, heading (a) above.</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hanging="272"/>
        <w:spacing w:after="0"/>
        <w:tabs>
          <w:tab w:leader="none" w:pos="280" w:val="left"/>
        </w:tabs>
        <w:numPr>
          <w:ilvl w:val="0"/>
          <w:numId w:val="17"/>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Demerger</w:t>
      </w:r>
    </w:p>
    <w:p>
      <w:pPr>
        <w:spacing w:after="0" w:line="200" w:lineRule="exact"/>
        <w:rPr>
          <w:rFonts w:ascii="Verdana" w:cs="Verdana" w:eastAsia="Verdana" w:hAnsi="Verdana"/>
          <w:sz w:val="18"/>
          <w:szCs w:val="18"/>
          <w:b w:val="1"/>
          <w:bCs w:val="1"/>
          <w:u w:val="single" w:color="auto"/>
          <w:color w:val="auto"/>
        </w:rPr>
      </w:pPr>
    </w:p>
    <w:p>
      <w:pPr>
        <w:spacing w:after="0" w:line="202" w:lineRule="exact"/>
        <w:rPr>
          <w:rFonts w:ascii="Verdana" w:cs="Verdana" w:eastAsia="Verdana" w:hAnsi="Verdana"/>
          <w:sz w:val="18"/>
          <w:szCs w:val="18"/>
          <w:b w:val="1"/>
          <w:bCs w:val="1"/>
          <w:u w:val="single" w:color="auto"/>
          <w:color w:val="auto"/>
        </w:rPr>
      </w:pPr>
    </w:p>
    <w:p>
      <w:pPr>
        <w:jc w:val="both"/>
        <w:ind w:firstLine="902"/>
        <w:spacing w:after="0" w:line="410" w:lineRule="auto"/>
        <w:tabs>
          <w:tab w:leader="none" w:pos="1205" w:val="left"/>
        </w:tabs>
        <w:numPr>
          <w:ilvl w:val="1"/>
          <w:numId w:val="17"/>
        </w:numPr>
        <w:rPr>
          <w:rFonts w:ascii="Verdana" w:cs="Verdana" w:eastAsia="Verdana" w:hAnsi="Verdana"/>
          <w:sz w:val="18"/>
          <w:szCs w:val="18"/>
          <w:color w:val="auto"/>
        </w:rPr>
      </w:pPr>
      <w:r>
        <w:rPr>
          <w:rFonts w:ascii="Verdana" w:cs="Verdana" w:eastAsia="Verdana" w:hAnsi="Verdana"/>
          <w:sz w:val="18"/>
          <w:szCs w:val="18"/>
          <w:color w:val="auto"/>
        </w:rPr>
        <w:t>Where a final resolution is passed to demerge the Company so that assets and liabilities as a whole are transferred to several existing or newly set up public or private limited companies against issue of shares and, if relevant, cash to the Company’s shareholders, non-exercised Warrants shall, at the Company’s discretion, be transferred to one of the new companies or be transferred 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w:t>
      </w:r>
    </w:p>
    <w:p>
      <w:pPr>
        <w:spacing w:after="0" w:line="7" w:lineRule="exact"/>
        <w:rPr>
          <w:rFonts w:ascii="Verdana" w:cs="Verdana" w:eastAsia="Verdana" w:hAnsi="Verdana"/>
          <w:sz w:val="18"/>
          <w:szCs w:val="18"/>
          <w:color w:val="auto"/>
        </w:rPr>
      </w:pPr>
    </w:p>
    <w:p>
      <w:pPr>
        <w:jc w:val="both"/>
        <w:ind w:firstLine="902"/>
        <w:spacing w:after="0" w:line="414" w:lineRule="auto"/>
        <w:tabs>
          <w:tab w:leader="none" w:pos="1271" w:val="left"/>
        </w:tabs>
        <w:numPr>
          <w:ilvl w:val="1"/>
          <w:numId w:val="17"/>
        </w:numPr>
        <w:rPr>
          <w:rFonts w:ascii="Verdana" w:cs="Verdana" w:eastAsia="Verdana" w:hAnsi="Verdana"/>
          <w:sz w:val="18"/>
          <w:szCs w:val="18"/>
          <w:color w:val="auto"/>
        </w:rPr>
      </w:pPr>
      <w:r>
        <w:rPr>
          <w:rFonts w:ascii="Verdana" w:cs="Verdana" w:eastAsia="Verdana" w:hAnsi="Verdana"/>
          <w:sz w:val="18"/>
          <w:szCs w:val="18"/>
          <w:color w:val="auto"/>
        </w:rPr>
        <w:t>In the event of a demerger where the Company remains in existence concurrently with the Company transferring some of its assets and liabilities to one or more existing or newly set up public or private limited companies, the right to Warrants shall be maintained as a right to Warrants in the Company.</w:t>
      </w:r>
    </w:p>
    <w:p>
      <w:pPr>
        <w:spacing w:after="0" w:line="1" w:lineRule="exact"/>
        <w:rPr>
          <w:rFonts w:ascii="Verdana" w:cs="Verdana" w:eastAsia="Verdana" w:hAnsi="Verdana"/>
          <w:sz w:val="18"/>
          <w:szCs w:val="18"/>
          <w:color w:val="auto"/>
        </w:rPr>
      </w:pPr>
    </w:p>
    <w:p>
      <w:pPr>
        <w:ind w:firstLine="902"/>
        <w:spacing w:after="0" w:line="414" w:lineRule="auto"/>
        <w:tabs>
          <w:tab w:leader="none" w:pos="1275" w:val="left"/>
        </w:tabs>
        <w:numPr>
          <w:ilvl w:val="1"/>
          <w:numId w:val="17"/>
        </w:numPr>
        <w:rPr>
          <w:rFonts w:ascii="Verdana" w:cs="Verdana" w:eastAsia="Verdana" w:hAnsi="Verdana"/>
          <w:sz w:val="18"/>
          <w:szCs w:val="18"/>
          <w:color w:val="auto"/>
        </w:rPr>
      </w:pPr>
      <w:r>
        <w:rPr>
          <w:rFonts w:ascii="Verdana" w:cs="Verdana" w:eastAsia="Verdana" w:hAnsi="Verdana"/>
          <w:sz w:val="18"/>
          <w:szCs w:val="18"/>
          <w:color w:val="auto"/>
        </w:rPr>
        <w:t>In the event of a demerger as set out in item (i) or (ii) above, the Exercise Price and/or Share Number shall be adjusted according to Clause D above.</w:t>
      </w:r>
    </w:p>
    <w:p>
      <w:pPr>
        <w:spacing w:after="0" w:line="1" w:lineRule="exact"/>
        <w:rPr>
          <w:rFonts w:ascii="Verdana" w:cs="Verdana" w:eastAsia="Verdana" w:hAnsi="Verdana"/>
          <w:sz w:val="18"/>
          <w:szCs w:val="18"/>
          <w:color w:val="auto"/>
        </w:rPr>
      </w:pPr>
    </w:p>
    <w:p>
      <w:pPr>
        <w:jc w:val="both"/>
        <w:ind w:firstLine="902"/>
        <w:spacing w:after="0" w:line="416" w:lineRule="auto"/>
        <w:tabs>
          <w:tab w:leader="none" w:pos="1302" w:val="left"/>
        </w:tabs>
        <w:numPr>
          <w:ilvl w:val="1"/>
          <w:numId w:val="17"/>
        </w:numPr>
        <w:rPr>
          <w:rFonts w:ascii="Verdana" w:cs="Verdana" w:eastAsia="Verdana" w:hAnsi="Verdana"/>
          <w:sz w:val="18"/>
          <w:szCs w:val="18"/>
          <w:color w:val="auto"/>
        </w:rPr>
      </w:pPr>
      <w:r>
        <w:rPr>
          <w:rFonts w:ascii="Verdana" w:cs="Verdana" w:eastAsia="Verdana" w:hAnsi="Verdana"/>
          <w:sz w:val="18"/>
          <w:szCs w:val="18"/>
          <w:color w:val="auto"/>
        </w:rPr>
        <w:t>No adjustment of the Exercise Price and/or the Share Number shall be made in the event of a demerger where certain assets and/or liabilities of the Company are divested by the Company into a subsidiary without payment to the shareholders of the Company.</w:t>
      </w:r>
    </w:p>
    <w:p>
      <w:pPr>
        <w:spacing w:after="0" w:line="225" w:lineRule="exact"/>
        <w:rPr>
          <w:rFonts w:ascii="Verdana" w:cs="Verdana" w:eastAsia="Verdana" w:hAnsi="Verdana"/>
          <w:sz w:val="18"/>
          <w:szCs w:val="18"/>
          <w:color w:val="auto"/>
        </w:rPr>
      </w:pPr>
    </w:p>
    <w:p>
      <w:pPr>
        <w:ind w:left="280" w:hanging="272"/>
        <w:spacing w:after="0"/>
        <w:tabs>
          <w:tab w:leader="none" w:pos="280" w:val="left"/>
        </w:tabs>
        <w:numPr>
          <w:ilvl w:val="0"/>
          <w:numId w:val="17"/>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Tax Implications.</w:t>
      </w:r>
    </w:p>
    <w:p>
      <w:pPr>
        <w:spacing w:after="0" w:line="200" w:lineRule="exact"/>
        <w:rPr>
          <w:sz w:val="20"/>
          <w:szCs w:val="20"/>
          <w:color w:val="auto"/>
        </w:rPr>
      </w:pPr>
    </w:p>
    <w:p>
      <w:pPr>
        <w:spacing w:after="0" w:line="202" w:lineRule="exact"/>
        <w:rPr>
          <w:sz w:val="20"/>
          <w:szCs w:val="20"/>
          <w:color w:val="auto"/>
        </w:rPr>
      </w:pPr>
    </w:p>
    <w:p>
      <w:pPr>
        <w:jc w:val="both"/>
        <w:ind w:firstLine="894"/>
        <w:spacing w:after="0" w:line="423" w:lineRule="auto"/>
        <w:rPr>
          <w:sz w:val="20"/>
          <w:szCs w:val="20"/>
          <w:color w:val="auto"/>
        </w:rPr>
      </w:pPr>
      <w:r>
        <w:rPr>
          <w:rFonts w:ascii="Verdana" w:cs="Verdana" w:eastAsia="Verdana" w:hAnsi="Verdana"/>
          <w:sz w:val="18"/>
          <w:szCs w:val="18"/>
          <w:color w:val="auto"/>
        </w:rPr>
        <w:t>The Company and its subsidiaries shall have no responsibility for the tax consequences (including social security contributions triggered) for the Owner in connection with the allotment, exercise or potential transfer of the Warrants or any transfer of shares acquired on the basis of exercise of Warrants or any tax</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consequences for the Owner connected with any restructuring of the Company. However, the Company shall be entitled to withhold and pay to tax authorities any applicable taxes or social contributions that the Owner may be the subject of.</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I. No exterritorial applicability of mandatory laws.</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J. Arbitration.</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16" w:lineRule="auto"/>
        <w:rPr>
          <w:sz w:val="20"/>
          <w:szCs w:val="20"/>
          <w:color w:val="auto"/>
        </w:rPr>
      </w:pPr>
      <w:r>
        <w:rPr>
          <w:rFonts w:ascii="Verdana" w:cs="Verdana" w:eastAsia="Verdana" w:hAnsi="Verdana"/>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F</w:t>
      </w:r>
    </w:p>
    <w:p>
      <w:pPr>
        <w:spacing w:after="0" w:line="375" w:lineRule="exact"/>
        <w:rPr>
          <w:sz w:val="20"/>
          <w:szCs w:val="20"/>
          <w:color w:val="auto"/>
        </w:rPr>
      </w:pPr>
    </w:p>
    <w:p>
      <w:pPr>
        <w:jc w:val="both"/>
        <w:ind w:firstLine="894"/>
        <w:spacing w:after="0" w:line="423" w:lineRule="auto"/>
        <w:rPr>
          <w:sz w:val="20"/>
          <w:szCs w:val="20"/>
          <w:color w:val="auto"/>
        </w:rPr>
      </w:pPr>
      <w:r>
        <w:rPr>
          <w:rFonts w:ascii="Verdana" w:cs="Verdana" w:eastAsia="Verdana" w:hAnsi="Verdana"/>
          <w:sz w:val="18"/>
          <w:szCs w:val="18"/>
          <w:color w:val="auto"/>
        </w:rPr>
        <w:t>Under the authorizations by the General Meeting of March 28, 2017, March 29, 2019, April 13, 2021, and March 13, 2024, the Board of Directors has as of March 19, 2026 granted warrants to subscribe for shares in the Company as follows:</w:t>
      </w:r>
    </w:p>
    <w:p>
      <w:pPr>
        <w:spacing w:after="0" w:line="220" w:lineRule="exact"/>
        <w:rPr>
          <w:sz w:val="20"/>
          <w:szCs w:val="20"/>
          <w:color w:val="auto"/>
        </w:rPr>
      </w:pPr>
    </w:p>
    <w:p>
      <w:pPr>
        <w:ind w:left="900"/>
        <w:spacing w:after="0"/>
        <w:rPr>
          <w:sz w:val="20"/>
          <w:szCs w:val="20"/>
          <w:color w:val="auto"/>
        </w:rPr>
      </w:pPr>
      <w:r>
        <w:rPr>
          <w:rFonts w:ascii="Verdana" w:cs="Verdana" w:eastAsia="Verdana" w:hAnsi="Verdana"/>
          <w:sz w:val="18"/>
          <w:szCs w:val="18"/>
          <w:b w:val="1"/>
          <w:bCs w:val="1"/>
          <w:color w:val="auto"/>
        </w:rPr>
        <w:t>Employees, including managers</w:t>
      </w:r>
    </w:p>
    <w:p>
      <w:pPr>
        <w:spacing w:after="0" w:line="146"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February 26, 2021 warrants with the right to subscribe 99,938 ordinary shares each with a nominal value of DKK 1 at the price of DKK 2,070 to employees of the Company and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April 13, 2021 warrants with the right to subscribe 17,075 ordinary shares each with a nominal value of DKK 1 at the price of DKK 2,148 to a manager and employees of the Company and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June 22, 2021 warrants with the right to subscribe 16,335 ordinary shares each with a nominal value of DKK 1 at the price of DKK 2,698 to employees of the Company and its subsidiaries.</w:t>
      </w:r>
    </w:p>
    <w:p>
      <w:pPr>
        <w:spacing w:after="0" w:line="1" w:lineRule="exact"/>
        <w:rPr>
          <w:sz w:val="20"/>
          <w:szCs w:val="20"/>
          <w:color w:val="auto"/>
        </w:rPr>
      </w:pPr>
    </w:p>
    <w:p>
      <w:pPr>
        <w:jc w:val="both"/>
        <w:ind w:firstLine="894"/>
        <w:spacing w:after="0" w:line="407" w:lineRule="auto"/>
        <w:rPr>
          <w:sz w:val="20"/>
          <w:szCs w:val="20"/>
          <w:color w:val="auto"/>
        </w:rPr>
      </w:pPr>
      <w:r>
        <w:rPr>
          <w:rFonts w:ascii="Verdana" w:cs="Verdana" w:eastAsia="Verdana" w:hAnsi="Verdana"/>
          <w:sz w:val="18"/>
          <w:szCs w:val="18"/>
          <w:color w:val="auto"/>
        </w:rPr>
        <w:t>The Board of Directors issued on October 7, 2021 warrants with the right to subscribe 21,537 ordinary shares each with a nominal value of DKK 1 at the price of DKK 2,806 to employees of the Company and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November 22, 2021 warrants with the right to subscribe 6,879 ordinary shares each with a nominal value of DKK 1 at the price of DKK 2,641 to employees of the Company and its subsidiaries.</w:t>
      </w:r>
    </w:p>
    <w:p>
      <w:pPr>
        <w:spacing w:after="0" w:line="1" w:lineRule="exact"/>
        <w:rPr>
          <w:sz w:val="20"/>
          <w:szCs w:val="20"/>
          <w:color w:val="auto"/>
        </w:rPr>
      </w:pPr>
    </w:p>
    <w:p>
      <w:pPr>
        <w:jc w:val="both"/>
        <w:ind w:right="20" w:firstLine="894"/>
        <w:spacing w:after="0" w:line="414" w:lineRule="auto"/>
        <w:rPr>
          <w:sz w:val="20"/>
          <w:szCs w:val="20"/>
          <w:color w:val="auto"/>
        </w:rPr>
      </w:pPr>
      <w:r>
        <w:rPr>
          <w:rFonts w:ascii="Verdana" w:cs="Verdana" w:eastAsia="Verdana" w:hAnsi="Verdana"/>
          <w:sz w:val="18"/>
          <w:szCs w:val="18"/>
          <w:color w:val="auto"/>
        </w:rPr>
        <w:t>The Board of Directors issued on January 25, 2022 warrants with the right to subscribe 17,841 ordinary shares each with a nominal value of DKK 1 at the price of DKK 2,129 to employees of the Company and its subsidiaries.</w:t>
      </w:r>
    </w:p>
    <w:p>
      <w:pPr>
        <w:spacing w:after="0" w:line="1" w:lineRule="exact"/>
        <w:rPr>
          <w:sz w:val="20"/>
          <w:szCs w:val="20"/>
          <w:color w:val="auto"/>
        </w:rPr>
      </w:pPr>
    </w:p>
    <w:p>
      <w:pPr>
        <w:jc w:val="both"/>
        <w:ind w:firstLine="894"/>
        <w:spacing w:after="0" w:line="432" w:lineRule="auto"/>
        <w:rPr>
          <w:sz w:val="20"/>
          <w:szCs w:val="20"/>
          <w:color w:val="auto"/>
        </w:rPr>
      </w:pPr>
      <w:r>
        <w:rPr>
          <w:rFonts w:ascii="Verdana" w:cs="Verdana" w:eastAsia="Verdana" w:hAnsi="Verdana"/>
          <w:sz w:val="18"/>
          <w:szCs w:val="18"/>
          <w:color w:val="auto"/>
        </w:rPr>
        <w:t>The Board of Directors issued on February 25, 2022 warrants with the right to subscribe 175,595 ordinary shares each with a nominal value of DKK 1 at the price of DKK 2,175 to employees of the Company and its subsidiaries.</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894"/>
        <w:spacing w:after="0" w:line="407" w:lineRule="auto"/>
        <w:rPr>
          <w:sz w:val="20"/>
          <w:szCs w:val="20"/>
          <w:color w:val="auto"/>
        </w:rPr>
      </w:pPr>
      <w:r>
        <w:rPr>
          <w:rFonts w:ascii="Verdana" w:cs="Verdana" w:eastAsia="Verdana" w:hAnsi="Verdana"/>
          <w:sz w:val="18"/>
          <w:szCs w:val="18"/>
          <w:color w:val="auto"/>
        </w:rPr>
        <w:t>The Board of Directors issued on March 29, 2022 warrants with the right to subscribe 13,912 ordinary shares each with a nominal value of DKK 1 at the price of DKK 2,408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June 9, 2022 warrants with the right to subscribe 22,764 ordinary shares each with a nominal value of DKK 1 at the price of DKK 2,103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September 20, 2022 warrants with the right to subscribe 19,789 ordinary shares each with a nominal value of DKK 1 at the price of DKK 2,585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November 21, 2022 warrants with the right to subscribe 9,057 ordinary shares each with a nominal value of DKK 1 at the price of DKK 3,172 to employees of the Company and its subsidiaries.</w:t>
      </w:r>
    </w:p>
    <w:p>
      <w:pPr>
        <w:spacing w:after="0" w:line="1" w:lineRule="exact"/>
        <w:rPr>
          <w:sz w:val="20"/>
          <w:szCs w:val="20"/>
          <w:color w:val="auto"/>
        </w:rPr>
      </w:pPr>
    </w:p>
    <w:p>
      <w:pPr>
        <w:ind w:firstLine="894"/>
        <w:spacing w:after="0" w:line="407" w:lineRule="auto"/>
        <w:rPr>
          <w:sz w:val="20"/>
          <w:szCs w:val="20"/>
          <w:color w:val="auto"/>
        </w:rPr>
      </w:pPr>
      <w:r>
        <w:rPr>
          <w:rFonts w:ascii="Verdana" w:cs="Verdana" w:eastAsia="Verdana" w:hAnsi="Verdana"/>
          <w:sz w:val="18"/>
          <w:szCs w:val="18"/>
          <w:color w:val="auto"/>
        </w:rPr>
        <w:t>The Board of Directors issued on January 24, 2023 warrants with the right to subscribe 5,138 ordinary shares each with a nominal value of DKK 1 at the price of DKK 2,680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February 24, 2023 warrants with the right to subscribe 164,333 ordinary shares each with a nominal value of DKK 1 at the price of DKK 2,661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March 29, 2023 warrants with the right to subscribe 16,276 ordinary shares each with a nominal value of DKK 1 at the price of DKK 2,594 to employees of the Company and its subsidiaries.</w:t>
      </w:r>
    </w:p>
    <w:p>
      <w:pPr>
        <w:spacing w:after="0" w:line="1" w:lineRule="exact"/>
        <w:rPr>
          <w:sz w:val="20"/>
          <w:szCs w:val="20"/>
          <w:color w:val="auto"/>
        </w:rPr>
      </w:pPr>
    </w:p>
    <w:p>
      <w:pPr>
        <w:ind w:firstLine="894"/>
        <w:spacing w:after="0" w:line="407" w:lineRule="auto"/>
        <w:rPr>
          <w:sz w:val="20"/>
          <w:szCs w:val="20"/>
          <w:color w:val="auto"/>
        </w:rPr>
      </w:pPr>
      <w:r>
        <w:rPr>
          <w:rFonts w:ascii="Verdana" w:cs="Verdana" w:eastAsia="Verdana" w:hAnsi="Verdana"/>
          <w:sz w:val="18"/>
          <w:szCs w:val="18"/>
          <w:color w:val="auto"/>
        </w:rPr>
        <w:t>The Board of Directors issued on June 8, 2023 warrants with the right to subscribe 8,106 ordinary shares each with a nominal value of DKK 1 at the price of DKK 2,688 to employees of the Company and its subsidiaries.</w:t>
      </w:r>
    </w:p>
    <w:p>
      <w:pPr>
        <w:spacing w:after="0" w:line="1" w:lineRule="exact"/>
        <w:rPr>
          <w:sz w:val="20"/>
          <w:szCs w:val="20"/>
          <w:color w:val="auto"/>
        </w:rPr>
      </w:pPr>
    </w:p>
    <w:p>
      <w:pPr>
        <w:ind w:firstLine="894"/>
        <w:spacing w:after="0" w:line="432" w:lineRule="auto"/>
        <w:rPr>
          <w:sz w:val="20"/>
          <w:szCs w:val="20"/>
          <w:color w:val="auto"/>
        </w:rPr>
      </w:pPr>
      <w:r>
        <w:rPr>
          <w:rFonts w:ascii="Verdana" w:cs="Verdana" w:eastAsia="Verdana" w:hAnsi="Verdana"/>
          <w:sz w:val="18"/>
          <w:szCs w:val="18"/>
          <w:color w:val="auto"/>
        </w:rPr>
        <w:t>The Board of Directors issued on September 28, 2023 warrants with the right to subscribe 7,873 ordinary shares each with a nominal value of DKK 1 at the price of DKK 2,491 to employees of the Company and its subsidiaries.</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894"/>
        <w:spacing w:after="0" w:line="407" w:lineRule="auto"/>
        <w:rPr>
          <w:sz w:val="20"/>
          <w:szCs w:val="20"/>
          <w:color w:val="auto"/>
        </w:rPr>
      </w:pPr>
      <w:r>
        <w:rPr>
          <w:rFonts w:ascii="Verdana" w:cs="Verdana" w:eastAsia="Verdana" w:hAnsi="Verdana"/>
          <w:sz w:val="18"/>
          <w:szCs w:val="18"/>
          <w:color w:val="auto"/>
        </w:rPr>
        <w:t>The Board of Directors issued on November 21, 2023 warrants with the right to subscribe 7,651 ordinary shares each with a nominal value of DKK 1 at the price of DKK 2,144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January 25, 2024 warrants with the right to subscribe 5,468 ordinary shares each with a nominal value of DKK 1 at the price of DKK 1,925.50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February 23, 2024 warrants with the right to subscribe 316,899 ordinary shares each with a nominal value of DKK 1 at the price of DKK 2,013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March 13, 2024 warrants with the right to subscribe 6,660 ordinary shares each with a nominal value of DKK 1 at the price of DKK 2,148 to employees of the Company and its subsidiaries.</w:t>
      </w:r>
    </w:p>
    <w:p>
      <w:pPr>
        <w:spacing w:after="0" w:line="1" w:lineRule="exact"/>
        <w:rPr>
          <w:sz w:val="20"/>
          <w:szCs w:val="20"/>
          <w:color w:val="auto"/>
        </w:rPr>
      </w:pPr>
    </w:p>
    <w:p>
      <w:pPr>
        <w:ind w:firstLine="894"/>
        <w:spacing w:after="0" w:line="407" w:lineRule="auto"/>
        <w:rPr>
          <w:sz w:val="20"/>
          <w:szCs w:val="20"/>
          <w:color w:val="auto"/>
        </w:rPr>
      </w:pPr>
      <w:r>
        <w:rPr>
          <w:rFonts w:ascii="Verdana" w:cs="Verdana" w:eastAsia="Verdana" w:hAnsi="Verdana"/>
          <w:sz w:val="18"/>
          <w:szCs w:val="18"/>
          <w:color w:val="auto"/>
        </w:rPr>
        <w:t>The Board of Directors issued on June 12, 2024 warrants with the right to subscribe 16,052 ordinary shares each with a nominal value of DKK 1 at the price of DKK 1,847 to employees of the Company and its subsidiaries.</w:t>
      </w:r>
    </w:p>
    <w:p>
      <w:pPr>
        <w:spacing w:after="0" w:line="1" w:lineRule="exact"/>
        <w:rPr>
          <w:sz w:val="20"/>
          <w:szCs w:val="20"/>
          <w:color w:val="auto"/>
        </w:rPr>
      </w:pPr>
    </w:p>
    <w:p>
      <w:pPr>
        <w:jc w:val="both"/>
        <w:ind w:firstLine="894"/>
        <w:spacing w:after="0" w:line="414" w:lineRule="auto"/>
        <w:rPr>
          <w:sz w:val="20"/>
          <w:szCs w:val="20"/>
          <w:color w:val="auto"/>
        </w:rPr>
      </w:pPr>
      <w:r>
        <w:rPr>
          <w:rFonts w:ascii="Verdana" w:cs="Verdana" w:eastAsia="Verdana" w:hAnsi="Verdana"/>
          <w:sz w:val="18"/>
          <w:szCs w:val="18"/>
          <w:color w:val="auto"/>
        </w:rPr>
        <w:t>The Board of Directors issued on September 26, 2024 warrants with the right to subscribe 13,915 ordinary shares each with a nominal value of DKK 1 at the price of DKK 1,597.50 to employees of the Company and its subsidiaries.</w:t>
      </w:r>
    </w:p>
    <w:p>
      <w:pPr>
        <w:spacing w:after="0" w:line="1" w:lineRule="exact"/>
        <w:rPr>
          <w:sz w:val="20"/>
          <w:szCs w:val="20"/>
          <w:color w:val="auto"/>
        </w:rPr>
      </w:pPr>
    </w:p>
    <w:p>
      <w:pPr>
        <w:ind w:right="20" w:firstLine="894"/>
        <w:spacing w:after="0" w:line="414" w:lineRule="auto"/>
        <w:rPr>
          <w:sz w:val="20"/>
          <w:szCs w:val="20"/>
          <w:color w:val="auto"/>
        </w:rPr>
      </w:pPr>
      <w:r>
        <w:rPr>
          <w:rFonts w:ascii="Verdana" w:cs="Verdana" w:eastAsia="Verdana" w:hAnsi="Verdana"/>
          <w:sz w:val="18"/>
          <w:szCs w:val="18"/>
          <w:color w:val="auto"/>
        </w:rPr>
        <w:t>The Board of Directors issued on November 21, 2024 warrants with the right to subscribe 10,853 ordinary shares each with a nominal value of DKK 1 at the price of DKK 1,447.50 to employees of the Company and its subsidiaries.</w:t>
      </w:r>
    </w:p>
    <w:p>
      <w:pPr>
        <w:spacing w:after="0" w:line="1" w:lineRule="exact"/>
        <w:rPr>
          <w:sz w:val="20"/>
          <w:szCs w:val="20"/>
          <w:color w:val="auto"/>
        </w:rPr>
      </w:pPr>
    </w:p>
    <w:p>
      <w:pPr>
        <w:ind w:firstLine="894"/>
        <w:spacing w:after="0" w:line="407" w:lineRule="auto"/>
        <w:rPr>
          <w:sz w:val="20"/>
          <w:szCs w:val="20"/>
          <w:color w:val="auto"/>
        </w:rPr>
      </w:pPr>
      <w:r>
        <w:rPr>
          <w:rFonts w:ascii="Verdana" w:cs="Verdana" w:eastAsia="Verdana" w:hAnsi="Verdana"/>
          <w:sz w:val="18"/>
          <w:szCs w:val="18"/>
          <w:color w:val="auto"/>
        </w:rPr>
        <w:t>The Board of Directors issued on January 23, 2025 warrants with the right to subscribe 5,289 ordinary shares each with a nominal value of DKK 1 at the price of DKK 1,512 to employees of the Company and its subsidiaries.</w:t>
      </w:r>
    </w:p>
    <w:p>
      <w:pPr>
        <w:spacing w:after="0" w:line="1" w:lineRule="exact"/>
        <w:rPr>
          <w:sz w:val="20"/>
          <w:szCs w:val="20"/>
          <w:color w:val="auto"/>
        </w:rPr>
      </w:pPr>
    </w:p>
    <w:p>
      <w:pPr>
        <w:ind w:firstLine="894"/>
        <w:spacing w:after="0" w:line="432" w:lineRule="auto"/>
        <w:rPr>
          <w:sz w:val="20"/>
          <w:szCs w:val="20"/>
          <w:color w:val="auto"/>
        </w:rPr>
      </w:pPr>
      <w:r>
        <w:rPr>
          <w:rFonts w:ascii="Verdana" w:cs="Verdana" w:eastAsia="Verdana" w:hAnsi="Verdana"/>
          <w:sz w:val="18"/>
          <w:szCs w:val="18"/>
          <w:color w:val="auto"/>
        </w:rPr>
        <w:t>The Board of Directors issued on February 28, 2025 warrants with the right to subscribe 517,191 ordinary shares each with a nominal value of DKK 1 at the price of DKK 1,608.50 to employees of the Company and its subsidiaries.</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894"/>
        <w:spacing w:after="0" w:line="407" w:lineRule="auto"/>
        <w:rPr>
          <w:sz w:val="20"/>
          <w:szCs w:val="20"/>
          <w:color w:val="auto"/>
        </w:rPr>
      </w:pPr>
      <w:r>
        <w:rPr>
          <w:rFonts w:ascii="Verdana" w:cs="Verdana" w:eastAsia="Verdana" w:hAnsi="Verdana"/>
          <w:sz w:val="18"/>
          <w:szCs w:val="18"/>
          <w:color w:val="auto"/>
        </w:rPr>
        <w:t>The Board of Directors issued on March 12, 2025 warrants with the right to subscribe 4,214 ordinary shares each with a nominal value of DKK 1 at the price of DKK 1,372.50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June 12, 2025 warrants with the right to subscribe 3,636 ordinary shares each with a nominal value of DKK 1 at the price of DKK 1,484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September 25, 2025 warrants with the right to subscribe 9,681 ordinary shares each with a nominal value of DKK 1 at the price of DKK 1,852.50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November 20, 2025 warrants with the right to subscribe 7,377 ordinary shares each with a nominal value of DKK 1 at the price of DKK 1,957.00 to employees of the Company and its subsidiaries.</w:t>
      </w:r>
    </w:p>
    <w:p>
      <w:pPr>
        <w:spacing w:after="0" w:line="1" w:lineRule="exact"/>
        <w:rPr>
          <w:sz w:val="20"/>
          <w:szCs w:val="20"/>
          <w:color w:val="auto"/>
        </w:rPr>
      </w:pPr>
    </w:p>
    <w:p>
      <w:pPr>
        <w:ind w:right="20" w:firstLine="894"/>
        <w:spacing w:after="0" w:line="407" w:lineRule="auto"/>
        <w:rPr>
          <w:sz w:val="20"/>
          <w:szCs w:val="20"/>
          <w:color w:val="auto"/>
        </w:rPr>
      </w:pPr>
      <w:r>
        <w:rPr>
          <w:rFonts w:ascii="Verdana" w:cs="Verdana" w:eastAsia="Verdana" w:hAnsi="Verdana"/>
          <w:sz w:val="18"/>
          <w:szCs w:val="18"/>
          <w:color w:val="auto"/>
        </w:rPr>
        <w:t>The Board of Directors issued on January 29, 2026 warrants with the right to subscribe 34,307 ordinary shares each with a nominal value of DKK 1 at the price of DKK 2,067.00 to employees of the Company and its subsidiaries.</w:t>
      </w:r>
    </w:p>
    <w:p>
      <w:pPr>
        <w:spacing w:after="0" w:line="1" w:lineRule="exact"/>
        <w:rPr>
          <w:sz w:val="20"/>
          <w:szCs w:val="20"/>
          <w:color w:val="auto"/>
        </w:rPr>
      </w:pPr>
    </w:p>
    <w:p>
      <w:pPr>
        <w:ind w:firstLine="894"/>
        <w:spacing w:after="0" w:line="414" w:lineRule="auto"/>
        <w:rPr>
          <w:sz w:val="20"/>
          <w:szCs w:val="20"/>
          <w:color w:val="auto"/>
        </w:rPr>
      </w:pPr>
      <w:r>
        <w:rPr>
          <w:rFonts w:ascii="Verdana" w:cs="Verdana" w:eastAsia="Verdana" w:hAnsi="Verdana"/>
          <w:sz w:val="18"/>
          <w:szCs w:val="18"/>
          <w:color w:val="auto"/>
        </w:rPr>
        <w:t>The Board of Directors issued on February 27, 2026 warrants with the right to subscribe 455,004 ordinary shares each with a nominal value of DKK 1 at the price of DKK 1,848.50 to employees of the Company and its subsidiaries.</w:t>
      </w:r>
    </w:p>
    <w:p>
      <w:pPr>
        <w:spacing w:after="0" w:line="1" w:lineRule="exact"/>
        <w:rPr>
          <w:sz w:val="20"/>
          <w:szCs w:val="20"/>
          <w:color w:val="auto"/>
        </w:rPr>
      </w:pPr>
    </w:p>
    <w:p>
      <w:pPr>
        <w:ind w:firstLine="894"/>
        <w:spacing w:after="0" w:line="432" w:lineRule="auto"/>
        <w:rPr>
          <w:sz w:val="20"/>
          <w:szCs w:val="20"/>
          <w:color w:val="auto"/>
        </w:rPr>
      </w:pPr>
      <w:r>
        <w:rPr>
          <w:rFonts w:ascii="Verdana" w:cs="Verdana" w:eastAsia="Verdana" w:hAnsi="Verdana"/>
          <w:sz w:val="18"/>
          <w:szCs w:val="18"/>
          <w:color w:val="auto"/>
        </w:rPr>
        <w:t>The Board of Directors issued on March 19, 2026 warrants with the right to subscribe 4,485 ordinary shares each with a nominal value of DKK 1 at the price of DKK 1,645.00 to employees of the Company and its subsidiaries.</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00"/>
        <w:spacing w:after="0"/>
        <w:rPr>
          <w:sz w:val="20"/>
          <w:szCs w:val="20"/>
          <w:color w:val="auto"/>
        </w:rPr>
      </w:pPr>
      <w:r>
        <w:rPr>
          <w:rFonts w:ascii="Verdana" w:cs="Verdana" w:eastAsia="Verdana" w:hAnsi="Verdana"/>
          <w:sz w:val="18"/>
          <w:szCs w:val="18"/>
          <w:b w:val="1"/>
          <w:bCs w:val="1"/>
          <w:color w:val="auto"/>
        </w:rPr>
        <w:t>All warrants have been issued on the following terms and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A. General description of warrants.</w:t>
      </w:r>
    </w:p>
    <w:p>
      <w:pPr>
        <w:spacing w:after="0" w:line="389" w:lineRule="exact"/>
        <w:rPr>
          <w:sz w:val="20"/>
          <w:szCs w:val="20"/>
          <w:color w:val="auto"/>
        </w:rPr>
      </w:pPr>
    </w:p>
    <w:p>
      <w:pPr>
        <w:jc w:val="both"/>
        <w:ind w:right="20" w:firstLine="972"/>
        <w:spacing w:after="0" w:line="414" w:lineRule="auto"/>
        <w:rPr>
          <w:sz w:val="20"/>
          <w:szCs w:val="20"/>
          <w:color w:val="auto"/>
        </w:rPr>
      </w:pPr>
      <w:r>
        <w:rPr>
          <w:rFonts w:ascii="Verdana" w:cs="Verdana" w:eastAsia="Verdana" w:hAnsi="Verdana"/>
          <w:sz w:val="18"/>
          <w:szCs w:val="18"/>
          <w:color w:val="auto"/>
        </w:rPr>
        <w:t>A warrant (the "Warrant") means a right – but not an obligation – of the owner (the “Owner”) to subscribe for ordinary shares in the Company at a price fixed in advance (the exercise price).</w:t>
      </w:r>
    </w:p>
    <w:p>
      <w:pPr>
        <w:spacing w:after="0" w:line="1"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The Owner of the Warrant can for a given period choose to subscribe for shares in the Company by paying the exercise price.</w:t>
      </w:r>
    </w:p>
    <w:p>
      <w:pPr>
        <w:spacing w:after="0" w:line="1" w:lineRule="exact"/>
        <w:rPr>
          <w:sz w:val="20"/>
          <w:szCs w:val="20"/>
          <w:color w:val="auto"/>
        </w:rPr>
      </w:pPr>
    </w:p>
    <w:p>
      <w:pPr>
        <w:ind w:left="980"/>
        <w:spacing w:after="0"/>
        <w:rPr>
          <w:sz w:val="20"/>
          <w:szCs w:val="20"/>
          <w:color w:val="auto"/>
        </w:rPr>
      </w:pPr>
      <w:r>
        <w:rPr>
          <w:rFonts w:ascii="Verdana" w:cs="Verdana" w:eastAsia="Verdana" w:hAnsi="Verdana"/>
          <w:sz w:val="18"/>
          <w:szCs w:val="18"/>
          <w:color w:val="auto"/>
        </w:rPr>
        <w:t>The Warrant does not entitle the Owner to vote at the Company’s general meeting or to receive dividends.</w:t>
      </w:r>
    </w:p>
    <w:p>
      <w:pPr>
        <w:spacing w:after="0" w:line="159" w:lineRule="exact"/>
        <w:rPr>
          <w:sz w:val="20"/>
          <w:szCs w:val="20"/>
          <w:color w:val="auto"/>
        </w:rPr>
      </w:pPr>
    </w:p>
    <w:p>
      <w:pPr>
        <w:jc w:val="both"/>
        <w:ind w:firstLine="972"/>
        <w:spacing w:after="0" w:line="407" w:lineRule="auto"/>
        <w:rPr>
          <w:sz w:val="20"/>
          <w:szCs w:val="20"/>
          <w:color w:val="auto"/>
        </w:rPr>
      </w:pPr>
      <w:r>
        <w:rPr>
          <w:rFonts w:ascii="Verdana" w:cs="Verdana" w:eastAsia="Verdana" w:hAnsi="Verdana"/>
          <w:sz w:val="18"/>
          <w:szCs w:val="18"/>
          <w:color w:val="auto"/>
        </w:rPr>
        <w:t>No Warrants can be issued to a member of the executive management or an employee who has or has been served notice of termination.</w:t>
      </w:r>
    </w:p>
    <w:p>
      <w:pPr>
        <w:spacing w:after="0" w:line="1"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3"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The Owner of the Warrant is obligated to give notice to the Company of changes in the Owner’s contact information.</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B. Definitions</w:t>
      </w:r>
    </w:p>
    <w:p>
      <w:pPr>
        <w:spacing w:after="0" w:line="308"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“Bad Leaver” shall mean, unless otherwise specified herein, (i) the Owner's ceasing to be a member of the executive management or an employee of the Company or a subsidiary due to the Owner being dismissed because of the Owner's breach of the employment relationship or (ii) the Owner's ceasing to be an employee of the Company or a subsidiary due to being dismissed during the</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16" w:lineRule="auto"/>
        <w:rPr>
          <w:sz w:val="20"/>
          <w:szCs w:val="20"/>
          <w:color w:val="auto"/>
        </w:rPr>
      </w:pPr>
      <w:r>
        <w:rPr>
          <w:rFonts w:ascii="Verdana" w:cs="Verdana" w:eastAsia="Verdana" w:hAnsi="Verdana"/>
          <w:sz w:val="18"/>
          <w:szCs w:val="18"/>
          <w:color w:val="auto"/>
        </w:rPr>
        <w:t>probationary period applicable to the Owner or not being offered continuous employment after the expiry of the probationary period applicable to the Owner. The Owner’s employment shall in case of dismissal be deemed ceased at the time the notice of termination served by the Company or a subsidiary to the Owner expires.</w:t>
      </w:r>
    </w:p>
    <w:p>
      <w:pPr>
        <w:spacing w:after="0" w:line="226" w:lineRule="exact"/>
        <w:rPr>
          <w:sz w:val="20"/>
          <w:szCs w:val="20"/>
          <w:color w:val="auto"/>
        </w:rPr>
      </w:pPr>
    </w:p>
    <w:p>
      <w:pPr>
        <w:jc w:val="both"/>
        <w:ind w:firstLine="969"/>
        <w:spacing w:after="0" w:line="420" w:lineRule="auto"/>
        <w:rPr>
          <w:sz w:val="20"/>
          <w:szCs w:val="20"/>
          <w:color w:val="auto"/>
        </w:rPr>
      </w:pPr>
      <w:r>
        <w:rPr>
          <w:rFonts w:ascii="Verdana" w:cs="Verdana" w:eastAsia="Verdana" w:hAnsi="Verdana"/>
          <w:sz w:val="18"/>
          <w:szCs w:val="18"/>
          <w:color w:val="auto"/>
        </w:rPr>
        <w:t>“Good Leaver” shall mean, unless otherwise specified herein, the Owner’s ceasing to be a member of the executive management or an employee of the Company or a subsidiary for any reason other than due to (i) death, (ii) being a Voluntary Leaver, or (iii) being a Bad Leaver. The Owner’s employment shall be deemed ceased at the time the notice of termination served by the Owner to the Company or a subsidiary expires.</w:t>
      </w:r>
    </w:p>
    <w:p>
      <w:pPr>
        <w:spacing w:after="0" w:line="224"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“Retirement” shall mean the Owner’s cessation of employment with the Company or a subsidiary at a time he/she is entitled to old-age pension under a national pension scheme or other old-age pension from the Company or a subsidiary (except in case the Owner retires in accordance with US rules on early retirement, in which case the Owner will be treated as a Voluntary Leaver). The Owner’s employment shall be deemed ceased at the time the notice of termination served by the Owner to the Company or a subsidiary expires.</w:t>
      </w:r>
    </w:p>
    <w:p>
      <w:pPr>
        <w:spacing w:after="0" w:line="228"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“Voluntary Leaver” shall mean the Owner's voluntary cessation of employment with the Company or subsidiary for any reason other than the Owner’s (i) Retirement, (ii) long-term sickness, ill-health, serious injury or permanent disability, (iii) termination of the employment relationship being caused by the Company or a subsidiary’s material breach of the terms and conditions of Owner’s employment, (iv) being a Good Leaver, or (v) being a Bad Leaver. The Owner’s employment shall be deemed ceased at the time the notice of termination served by the Owner to the Company or a subsidiary expires.</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C. Conditions for exercise of Warrants.</w:t>
      </w:r>
    </w:p>
    <w:p>
      <w:pPr>
        <w:spacing w:after="0" w:line="308" w:lineRule="exact"/>
        <w:rPr>
          <w:sz w:val="20"/>
          <w:szCs w:val="20"/>
          <w:color w:val="auto"/>
        </w:rPr>
      </w:pPr>
    </w:p>
    <w:p>
      <w:pPr>
        <w:jc w:val="both"/>
        <w:ind w:right="20" w:firstLine="810"/>
        <w:spacing w:after="0" w:line="407" w:lineRule="auto"/>
        <w:rPr>
          <w:sz w:val="20"/>
          <w:szCs w:val="20"/>
          <w:color w:val="auto"/>
        </w:rPr>
      </w:pPr>
      <w:r>
        <w:rPr>
          <w:rFonts w:ascii="Verdana" w:cs="Verdana" w:eastAsia="Verdana" w:hAnsi="Verdana"/>
          <w:sz w:val="18"/>
          <w:szCs w:val="18"/>
          <w:color w:val="auto"/>
        </w:rPr>
        <w:t>The Warrants are not granted due to work already performed by the Owner, but are granted in order to motivate the Owner, as described below, during the years following the date of issue of the Warrants.</w:t>
      </w:r>
    </w:p>
    <w:p>
      <w:pPr>
        <w:spacing w:after="0" w:line="1" w:lineRule="exact"/>
        <w:rPr>
          <w:sz w:val="20"/>
          <w:szCs w:val="20"/>
          <w:color w:val="auto"/>
        </w:rPr>
      </w:pPr>
    </w:p>
    <w:p>
      <w:pPr>
        <w:jc w:val="both"/>
        <w:ind w:firstLine="810"/>
        <w:spacing w:after="0" w:line="423" w:lineRule="auto"/>
        <w:rPr>
          <w:sz w:val="20"/>
          <w:szCs w:val="20"/>
          <w:color w:val="auto"/>
        </w:rPr>
      </w:pPr>
      <w:r>
        <w:rPr>
          <w:rFonts w:ascii="Verdana" w:cs="Verdana" w:eastAsia="Verdana" w:hAnsi="Verdana"/>
          <w:sz w:val="18"/>
          <w:szCs w:val="18"/>
          <w:color w:val="auto"/>
        </w:rPr>
        <w:t>Thus, the Warrants are issued and granted in order to increase and motivate the Owner’s focus on a positive development of the market price of the shares of the Company and to motivate the Owner to work for a future value increase in the Company and its subsidiaries.</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 Exercise Price.</w:t>
      </w:r>
    </w:p>
    <w:p>
      <w:pPr>
        <w:spacing w:after="0" w:line="200" w:lineRule="exact"/>
        <w:rPr>
          <w:sz w:val="20"/>
          <w:szCs w:val="20"/>
          <w:color w:val="auto"/>
        </w:rPr>
      </w:pPr>
    </w:p>
    <w:p>
      <w:pPr>
        <w:spacing w:after="0" w:line="202"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Warrants are issued to the Owner free of charge.</w:t>
      </w:r>
    </w:p>
    <w:p>
      <w:pPr>
        <w:spacing w:after="0" w:line="159" w:lineRule="exact"/>
        <w:rPr>
          <w:sz w:val="20"/>
          <w:szCs w:val="20"/>
          <w:color w:val="auto"/>
        </w:rPr>
      </w:pPr>
    </w:p>
    <w:p>
      <w:pPr>
        <w:jc w:val="both"/>
        <w:ind w:firstLine="894"/>
        <w:spacing w:after="0" w:line="415" w:lineRule="auto"/>
        <w:rPr>
          <w:sz w:val="20"/>
          <w:szCs w:val="20"/>
          <w:color w:val="auto"/>
        </w:rPr>
      </w:pPr>
      <w:r>
        <w:rPr>
          <w:rFonts w:ascii="Verdana" w:cs="Verdana" w:eastAsia="Verdana" w:hAnsi="Verdana"/>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228" w:lineRule="exact"/>
        <w:rPr>
          <w:sz w:val="20"/>
          <w:szCs w:val="20"/>
          <w:color w:val="auto"/>
        </w:rPr>
      </w:pPr>
    </w:p>
    <w:p>
      <w:pPr>
        <w:ind w:left="380" w:hanging="372"/>
        <w:spacing w:after="0"/>
        <w:tabs>
          <w:tab w:leader="none" w:pos="380" w:val="left"/>
        </w:tabs>
        <w:numPr>
          <w:ilvl w:val="0"/>
          <w:numId w:val="18"/>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Exercise Period &amp; Vesting Schedule.</w:t>
      </w:r>
    </w:p>
    <w:p>
      <w:pPr>
        <w:spacing w:after="0" w:line="398" w:lineRule="exact"/>
        <w:rPr>
          <w:rFonts w:ascii="Verdana" w:cs="Verdana" w:eastAsia="Verdana" w:hAnsi="Verdana"/>
          <w:sz w:val="18"/>
          <w:szCs w:val="18"/>
          <w:u w:val="single" w:color="auto"/>
          <w:color w:val="auto"/>
        </w:rPr>
      </w:pPr>
    </w:p>
    <w:p>
      <w:pPr>
        <w:ind w:firstLine="902"/>
        <w:spacing w:after="0" w:line="366" w:lineRule="auto"/>
        <w:tabs>
          <w:tab w:leader="none" w:pos="1255" w:val="left"/>
        </w:tabs>
        <w:numPr>
          <w:ilvl w:val="1"/>
          <w:numId w:val="18"/>
        </w:numPr>
        <w:rPr>
          <w:rFonts w:ascii="Verdana" w:cs="Verdana" w:eastAsia="Verdana" w:hAnsi="Verdana"/>
          <w:sz w:val="18"/>
          <w:szCs w:val="18"/>
          <w:color w:val="auto"/>
        </w:rPr>
      </w:pPr>
      <w:r>
        <w:rPr>
          <w:rFonts w:ascii="Verdana" w:cs="Verdana" w:eastAsia="Verdana" w:hAnsi="Verdana"/>
          <w:sz w:val="18"/>
          <w:szCs w:val="18"/>
          <w:color w:val="auto"/>
        </w:rPr>
        <w:t>The Warrants will lapse automatically, without prior notice and without compensation on the seventh (7</w:t>
      </w:r>
      <w:r>
        <w:rPr>
          <w:rFonts w:ascii="Verdana" w:cs="Verdana" w:eastAsia="Verdana" w:hAnsi="Verdana"/>
          <w:sz w:val="23"/>
          <w:szCs w:val="23"/>
          <w:color w:val="auto"/>
          <w:vertAlign w:val="superscript"/>
        </w:rPr>
        <w:t>th</w:t>
      </w:r>
      <w:r>
        <w:rPr>
          <w:rFonts w:ascii="Verdana" w:cs="Verdana" w:eastAsia="Verdana" w:hAnsi="Verdana"/>
          <w:sz w:val="18"/>
          <w:szCs w:val="18"/>
          <w:color w:val="auto"/>
        </w:rPr>
        <w:t>) anniversary of the Date of Issue (the “Expiry Date”).</w:t>
      </w:r>
    </w:p>
    <w:p>
      <w:pPr>
        <w:ind w:firstLine="894"/>
        <w:spacing w:after="0" w:line="432" w:lineRule="auto"/>
        <w:rPr>
          <w:rFonts w:ascii="Verdana" w:cs="Verdana" w:eastAsia="Verdana" w:hAnsi="Verdana"/>
          <w:sz w:val="18"/>
          <w:szCs w:val="18"/>
          <w:color w:val="auto"/>
        </w:rPr>
      </w:pPr>
      <w:r>
        <w:rPr>
          <w:rFonts w:ascii="Verdana" w:cs="Verdana" w:eastAsia="Verdana" w:hAnsi="Verdana"/>
          <w:sz w:val="18"/>
          <w:szCs w:val="18"/>
          <w:color w:val="auto"/>
        </w:rPr>
        <w:t>From the Date of Issue and until the Expiry Date (“The Exercise Period”), an Owner earns the right to keep and exercise Warrants only in accordance with the following rules:</w:t>
      </w:r>
    </w:p>
    <w:p>
      <w:pPr>
        <w:spacing w:after="0" w:line="198" w:lineRule="exact"/>
        <w:rPr>
          <w:sz w:val="20"/>
          <w:szCs w:val="20"/>
          <w:color w:val="auto"/>
        </w:rPr>
      </w:pPr>
    </w:p>
    <w:p>
      <w:pPr>
        <w:ind w:left="1540" w:hanging="94"/>
        <w:spacing w:after="0" w:line="432" w:lineRule="auto"/>
        <w:rPr>
          <w:sz w:val="20"/>
          <w:szCs w:val="20"/>
          <w:color w:val="auto"/>
        </w:rPr>
      </w:pPr>
      <w:r>
        <w:rPr>
          <w:rFonts w:ascii="Verdana" w:cs="Verdana" w:eastAsia="Verdana" w:hAnsi="Verdana"/>
          <w:sz w:val="18"/>
          <w:szCs w:val="18"/>
          <w:color w:val="auto"/>
        </w:rPr>
        <w:t>Until three (3) years from the Date of Issue of a particular grant of Warrants, no such Warrants are earned/can be exercised.</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540" w:hanging="94"/>
        <w:spacing w:after="0" w:line="415" w:lineRule="auto"/>
        <w:rPr>
          <w:sz w:val="20"/>
          <w:szCs w:val="20"/>
          <w:color w:val="auto"/>
        </w:rPr>
      </w:pPr>
      <w:r>
        <w:rPr>
          <w:rFonts w:ascii="Verdana" w:cs="Verdana" w:eastAsia="Verdana" w:hAnsi="Verdana"/>
          <w:sz w:val="18"/>
          <w:szCs w:val="18"/>
          <w:color w:val="auto"/>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(b).</w:t>
      </w:r>
    </w:p>
    <w:p>
      <w:pPr>
        <w:spacing w:after="0" w:line="228" w:lineRule="exact"/>
        <w:rPr>
          <w:sz w:val="20"/>
          <w:szCs w:val="20"/>
          <w:color w:val="auto"/>
        </w:rPr>
      </w:pPr>
    </w:p>
    <w:p>
      <w:pPr>
        <w:ind w:firstLine="972"/>
        <w:spacing w:after="0" w:line="432" w:lineRule="auto"/>
        <w:rPr>
          <w:sz w:val="20"/>
          <w:szCs w:val="20"/>
          <w:color w:val="auto"/>
        </w:rPr>
      </w:pPr>
      <w:r>
        <w:rPr>
          <w:rFonts w:ascii="Verdana" w:cs="Verdana" w:eastAsia="Verdana" w:hAnsi="Verdana"/>
          <w:sz w:val="18"/>
          <w:szCs w:val="18"/>
          <w:color w:val="auto"/>
        </w:rPr>
        <w:t>For the sake of clarity it is noted that in no event can Warrants be exercised earlier than three (3) years after the Date of Issue of the Warrants in question, unless as set out in Clause C.III in this Warrant Program.</w:t>
      </w:r>
    </w:p>
    <w:p>
      <w:pPr>
        <w:spacing w:after="0" w:line="211" w:lineRule="exact"/>
        <w:rPr>
          <w:sz w:val="20"/>
          <w:szCs w:val="20"/>
          <w:color w:val="auto"/>
        </w:rPr>
      </w:pPr>
    </w:p>
    <w:p>
      <w:pPr>
        <w:ind w:left="1320" w:hanging="340"/>
        <w:spacing w:after="0"/>
        <w:tabs>
          <w:tab w:leader="none" w:pos="1320"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If the Owner's employment with the Company or a Subsidiary ceases:</w:t>
      </w:r>
    </w:p>
    <w:p>
      <w:pPr>
        <w:spacing w:after="0" w:line="200" w:lineRule="exact"/>
        <w:rPr>
          <w:rFonts w:ascii="Verdana" w:cs="Verdana" w:eastAsia="Verdana" w:hAnsi="Verdana"/>
          <w:sz w:val="18"/>
          <w:szCs w:val="18"/>
          <w:color w:val="auto"/>
        </w:rPr>
      </w:pPr>
    </w:p>
    <w:p>
      <w:pPr>
        <w:spacing w:after="0" w:line="202" w:lineRule="exact"/>
        <w:rPr>
          <w:rFonts w:ascii="Verdana" w:cs="Verdana" w:eastAsia="Verdana" w:hAnsi="Verdana"/>
          <w:sz w:val="18"/>
          <w:szCs w:val="18"/>
          <w:color w:val="auto"/>
        </w:rPr>
      </w:pPr>
    </w:p>
    <w:p>
      <w:pPr>
        <w:jc w:val="both"/>
        <w:ind w:left="1620" w:hanging="316"/>
        <w:spacing w:after="0" w:line="415" w:lineRule="auto"/>
        <w:tabs>
          <w:tab w:leader="none" w:pos="1613" w:val="left"/>
        </w:tabs>
        <w:numPr>
          <w:ilvl w:val="1"/>
          <w:numId w:val="19"/>
        </w:numPr>
        <w:rPr>
          <w:rFonts w:ascii="Verdana" w:cs="Verdana" w:eastAsia="Verdana" w:hAnsi="Verdana"/>
          <w:sz w:val="18"/>
          <w:szCs w:val="18"/>
          <w:color w:val="auto"/>
        </w:rPr>
      </w:pPr>
      <w:r>
        <w:rPr>
          <w:rFonts w:ascii="Verdana" w:cs="Verdana" w:eastAsia="Verdana" w:hAnsi="Verdana"/>
          <w:sz w:val="18"/>
          <w:szCs w:val="18"/>
          <w:color w:val="auto"/>
        </w:rPr>
        <w:t>as a result of the Owner being a Voluntary Leaver or the Owner's death, then any Warrants that are granted, but not yet vested, shall lapse automatically without notice and without compensation at the time of death or at the time the notice of termination served by the Owner to the Company or a subsidiary expires; or</w:t>
      </w:r>
    </w:p>
    <w:p>
      <w:pPr>
        <w:spacing w:after="0" w:line="228" w:lineRule="exact"/>
        <w:rPr>
          <w:rFonts w:ascii="Verdana" w:cs="Verdana" w:eastAsia="Verdana" w:hAnsi="Verdana"/>
          <w:sz w:val="18"/>
          <w:szCs w:val="18"/>
          <w:color w:val="auto"/>
        </w:rPr>
      </w:pPr>
    </w:p>
    <w:p>
      <w:pPr>
        <w:jc w:val="both"/>
        <w:ind w:left="1620" w:hanging="316"/>
        <w:spacing w:after="0" w:line="423" w:lineRule="auto"/>
        <w:tabs>
          <w:tab w:leader="none" w:pos="1609" w:val="left"/>
        </w:tabs>
        <w:numPr>
          <w:ilvl w:val="1"/>
          <w:numId w:val="19"/>
        </w:numPr>
        <w:rPr>
          <w:rFonts w:ascii="Verdana" w:cs="Verdana" w:eastAsia="Verdana" w:hAnsi="Verdana"/>
          <w:sz w:val="18"/>
          <w:szCs w:val="18"/>
          <w:color w:val="auto"/>
        </w:rPr>
      </w:pPr>
      <w:r>
        <w:rPr>
          <w:rFonts w:ascii="Verdana" w:cs="Verdana" w:eastAsia="Verdana" w:hAnsi="Verdana"/>
          <w:sz w:val="18"/>
          <w:szCs w:val="18"/>
          <w:color w:val="auto"/>
        </w:rPr>
        <w:t>as a result of the Owner being a Bad Leaver, then any Warrants that are granted, but not yet vested, shall lapse automatically without notice and without compensation at the time the notice of termination served by the Company or a subsidiary to the Owner expires.</w:t>
      </w:r>
    </w:p>
    <w:p>
      <w:pPr>
        <w:spacing w:after="0" w:line="220" w:lineRule="exact"/>
        <w:rPr>
          <w:sz w:val="20"/>
          <w:szCs w:val="20"/>
          <w:color w:val="auto"/>
        </w:rPr>
      </w:pPr>
    </w:p>
    <w:p>
      <w:pPr>
        <w:jc w:val="both"/>
        <w:ind w:firstLine="972"/>
        <w:spacing w:after="0" w:line="416" w:lineRule="auto"/>
        <w:rPr>
          <w:sz w:val="20"/>
          <w:szCs w:val="20"/>
          <w:color w:val="auto"/>
        </w:rPr>
      </w:pPr>
      <w:r>
        <w:rPr>
          <w:rFonts w:ascii="Verdana" w:cs="Verdana" w:eastAsia="Verdana" w:hAnsi="Verdana"/>
          <w:sz w:val="18"/>
          <w:szCs w:val="18"/>
          <w:color w:val="auto"/>
        </w:rPr>
        <w:t>If the Owner's employment with the Company or a subsidiary ceases as a result of the Owner being a Good Leaver, then a pro-rata share of the Warrants that are granted, but not yet vested, shall remain outstanding, and the remainder of the Warrants that are granted, but not yet vested, shall lapse automatically</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without notice and without compensation at the time the notice of termination served by the Owner to the Company or a subsidiary expires. The pro-rata share of the Warrants shall be calculated based on (x) the number of days from the Date of Issue until and including the date the notice of termination expires divided by (y) the total number of days in the Vesting Date.</w:t>
      </w:r>
    </w:p>
    <w:p>
      <w:pPr>
        <w:spacing w:after="0" w:line="228"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If an Owner dies prior to the Vesting Date, all Warrants that are granted, but not yet vested, shall lapse automatically without notice and without compensation at the time of the Owner's death.</w:t>
      </w:r>
    </w:p>
    <w:p>
      <w:pPr>
        <w:spacing w:after="0" w:line="211"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The Company’s Board of Directors may in its sole discretion decide to dispense with or deviate from the conditions set forth in this clause, including but not limited to for all or part of the Warrants change the leaver status of the Owner.</w:t>
      </w:r>
    </w:p>
    <w:p>
      <w:pPr>
        <w:spacing w:after="0" w:line="207"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w:t>
      </w:r>
    </w:p>
    <w:p>
      <w:pPr>
        <w:spacing w:after="0" w:line="220" w:lineRule="exact"/>
        <w:rPr>
          <w:sz w:val="20"/>
          <w:szCs w:val="20"/>
          <w:color w:val="auto"/>
        </w:rPr>
      </w:pPr>
    </w:p>
    <w:p>
      <w:pPr>
        <w:jc w:val="both"/>
        <w:ind w:firstLine="902"/>
        <w:spacing w:after="0" w:line="415" w:lineRule="auto"/>
        <w:tabs>
          <w:tab w:leader="none" w:pos="1261"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w:t>
      </w:r>
    </w:p>
    <w:p>
      <w:pPr>
        <w:spacing w:after="0" w:line="228" w:lineRule="exact"/>
        <w:rPr>
          <w:rFonts w:ascii="Verdana" w:cs="Verdana" w:eastAsia="Verdana" w:hAnsi="Verdana"/>
          <w:sz w:val="18"/>
          <w:szCs w:val="18"/>
          <w:color w:val="auto"/>
        </w:rPr>
      </w:pPr>
    </w:p>
    <w:p>
      <w:pPr>
        <w:ind w:firstLine="902"/>
        <w:spacing w:after="0" w:line="432" w:lineRule="auto"/>
        <w:tabs>
          <w:tab w:leader="none" w:pos="1233"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Any exercise of Warrants must respect the stock exchange regulation in force from time to time, including the prohibition against insider trading.</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hanging="452"/>
        <w:spacing w:after="0"/>
        <w:tabs>
          <w:tab w:leader="none" w:pos="452" w:val="left"/>
        </w:tabs>
        <w:numPr>
          <w:ilvl w:val="0"/>
          <w:numId w:val="21"/>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Change of Control, Merger, Demerger, Liquidation.</w:t>
      </w:r>
    </w:p>
    <w:p>
      <w:pPr>
        <w:spacing w:after="0" w:line="159" w:lineRule="exact"/>
        <w:rPr>
          <w:rFonts w:ascii="Verdana" w:cs="Verdana" w:eastAsia="Verdana" w:hAnsi="Verdana"/>
          <w:sz w:val="18"/>
          <w:szCs w:val="18"/>
          <w:u w:val="single" w:color="auto"/>
          <w:color w:val="auto"/>
        </w:rPr>
      </w:pPr>
    </w:p>
    <w:p>
      <w:pPr>
        <w:ind w:left="1312" w:hanging="340"/>
        <w:spacing w:after="0"/>
        <w:tabs>
          <w:tab w:leader="none" w:pos="1312" w:val="left"/>
        </w:tabs>
        <w:numPr>
          <w:ilvl w:val="1"/>
          <w:numId w:val="21"/>
        </w:numPr>
        <w:rPr>
          <w:rFonts w:ascii="Verdana" w:cs="Verdana" w:eastAsia="Verdana" w:hAnsi="Verdana"/>
          <w:sz w:val="18"/>
          <w:szCs w:val="18"/>
          <w:color w:val="auto"/>
        </w:rPr>
      </w:pPr>
      <w:r>
        <w:rPr>
          <w:rFonts w:ascii="Verdana" w:cs="Verdana" w:eastAsia="Verdana" w:hAnsi="Verdana"/>
          <w:sz w:val="18"/>
          <w:szCs w:val="18"/>
          <w:color w:val="auto"/>
        </w:rPr>
        <w:t>In case of:</w:t>
      </w:r>
    </w:p>
    <w:p>
      <w:pPr>
        <w:spacing w:after="0" w:line="388" w:lineRule="exact"/>
        <w:rPr>
          <w:rFonts w:ascii="Verdana" w:cs="Verdana" w:eastAsia="Verdana" w:hAnsi="Verdana"/>
          <w:sz w:val="18"/>
          <w:szCs w:val="18"/>
          <w:color w:val="auto"/>
        </w:rPr>
      </w:pPr>
    </w:p>
    <w:p>
      <w:pPr>
        <w:ind w:left="1612" w:hanging="316"/>
        <w:spacing w:after="0" w:line="432" w:lineRule="auto"/>
        <w:tabs>
          <w:tab w:leader="none" w:pos="1608" w:val="left"/>
        </w:tabs>
        <w:numPr>
          <w:ilvl w:val="2"/>
          <w:numId w:val="21"/>
        </w:numPr>
        <w:rPr>
          <w:rFonts w:ascii="Verdana" w:cs="Verdana" w:eastAsia="Verdana" w:hAnsi="Verdana"/>
          <w:sz w:val="18"/>
          <w:szCs w:val="18"/>
          <w:color w:val="auto"/>
        </w:rPr>
      </w:pPr>
      <w:r>
        <w:rPr>
          <w:rFonts w:ascii="Verdana" w:cs="Verdana" w:eastAsia="Verdana" w:hAnsi="Verdana"/>
          <w:sz w:val="18"/>
          <w:szCs w:val="18"/>
          <w:color w:val="auto"/>
        </w:rPr>
        <w:t>a change of control as defined in the Danish Capital Markets Act in force from time to time or any legislation replacing this act from time to time (a “Change of Control”); and</w:t>
      </w:r>
    </w:p>
    <w:p>
      <w:pPr>
        <w:spacing w:after="0" w:line="211" w:lineRule="exact"/>
        <w:rPr>
          <w:rFonts w:ascii="Verdana" w:cs="Verdana" w:eastAsia="Verdana" w:hAnsi="Verdana"/>
          <w:sz w:val="18"/>
          <w:szCs w:val="18"/>
          <w:color w:val="auto"/>
        </w:rPr>
      </w:pPr>
    </w:p>
    <w:p>
      <w:pPr>
        <w:jc w:val="both"/>
        <w:ind w:left="1612" w:hanging="316"/>
        <w:spacing w:after="0" w:line="420" w:lineRule="auto"/>
        <w:tabs>
          <w:tab w:leader="none" w:pos="1603" w:val="left"/>
        </w:tabs>
        <w:numPr>
          <w:ilvl w:val="2"/>
          <w:numId w:val="21"/>
        </w:numPr>
        <w:rPr>
          <w:rFonts w:ascii="Verdana" w:cs="Verdana" w:eastAsia="Verdana" w:hAnsi="Verdana"/>
          <w:sz w:val="18"/>
          <w:szCs w:val="18"/>
          <w:color w:val="auto"/>
        </w:rPr>
      </w:pPr>
      <w:r>
        <w:rPr>
          <w:rFonts w:ascii="Verdana" w:cs="Verdana" w:eastAsia="Verdana" w:hAnsi="Verdana"/>
          <w:sz w:val="18"/>
          <w:szCs w:val="18"/>
          <w:color w:val="auto"/>
        </w:rPr>
        <w:t>during the 12-month-period beginning on the date the Change of Control has occurred, the employment terms of the Owner(s), is materially changed to the detriment of such Owner(s) and the Owner considers him/herself terminated due to such change or the Owner’s employment is involuntarily terminated without cause (i.e., Owner is not a Bad Leaver)</w:t>
      </w:r>
    </w:p>
    <w:p>
      <w:pPr>
        <w:spacing w:after="0" w:line="224" w:lineRule="exact"/>
        <w:rPr>
          <w:sz w:val="20"/>
          <w:szCs w:val="20"/>
          <w:color w:val="auto"/>
        </w:rPr>
      </w:pPr>
    </w:p>
    <w:p>
      <w:pPr>
        <w:ind w:left="632" w:firstLine="10"/>
        <w:spacing w:after="0" w:line="417" w:lineRule="auto"/>
        <w:rPr>
          <w:sz w:val="20"/>
          <w:szCs w:val="20"/>
          <w:color w:val="auto"/>
        </w:rPr>
      </w:pPr>
      <w:r>
        <w:rPr>
          <w:rFonts w:ascii="Verdana" w:cs="Verdana" w:eastAsia="Verdana" w:hAnsi="Verdana"/>
          <w:sz w:val="18"/>
          <w:szCs w:val="18"/>
          <w:color w:val="auto"/>
        </w:rPr>
        <w:t>the Company’s Board of Directors shall, with respect to such Owner(s), determine in its sole discretion to accelerate the Vesting Date.</w:t>
      </w:r>
    </w:p>
    <w:p>
      <w:pPr>
        <w:spacing w:after="0" w:line="225" w:lineRule="exact"/>
        <w:rPr>
          <w:sz w:val="20"/>
          <w:szCs w:val="20"/>
          <w:color w:val="auto"/>
        </w:rPr>
      </w:pPr>
    </w:p>
    <w:p>
      <w:pPr>
        <w:jc w:val="both"/>
        <w:ind w:left="632" w:firstLine="16"/>
        <w:spacing w:after="0" w:line="423" w:lineRule="auto"/>
        <w:tabs>
          <w:tab w:leader="none" w:pos="1023"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In the event of a merger or de-merger whereby (i) the Company is dissolved or (ii) the acquirer fails to equitably assume the outstanding Warrants, the Board of Directors shall in its sole discretion decide - subject to completion of the merger or de-merger – to accelerate the vesting.</w:t>
      </w:r>
    </w:p>
    <w:p>
      <w:pPr>
        <w:spacing w:after="0" w:line="220" w:lineRule="exact"/>
        <w:rPr>
          <w:rFonts w:ascii="Verdana" w:cs="Verdana" w:eastAsia="Verdana" w:hAnsi="Verdana"/>
          <w:sz w:val="18"/>
          <w:szCs w:val="18"/>
          <w:color w:val="auto"/>
        </w:rPr>
      </w:pPr>
    </w:p>
    <w:p>
      <w:pPr>
        <w:ind w:left="632" w:firstLine="16"/>
        <w:spacing w:after="0" w:line="432" w:lineRule="auto"/>
        <w:tabs>
          <w:tab w:leader="none" w:pos="971"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In the event it is resolved to dissolve the Company through a solvent liquidation, the Board of Directors may in its sole discretion decide - subject to completion of the dissolution - to accelerate the vesting.</w:t>
      </w:r>
    </w:p>
    <w:p>
      <w:pPr>
        <w:spacing w:after="0" w:line="211" w:lineRule="exact"/>
        <w:rPr>
          <w:rFonts w:ascii="Verdana" w:cs="Verdana" w:eastAsia="Verdana" w:hAnsi="Verdana"/>
          <w:sz w:val="18"/>
          <w:szCs w:val="18"/>
          <w:color w:val="auto"/>
        </w:rPr>
      </w:pPr>
    </w:p>
    <w:p>
      <w:pPr>
        <w:ind w:left="632" w:firstLine="16"/>
        <w:spacing w:after="0" w:line="417" w:lineRule="auto"/>
        <w:tabs>
          <w:tab w:leader="none" w:pos="999"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In case of a Change of Control as set out in above, the Warrants shall vest on an accelerated basis as of the date notification of the changed employment terms is served. In case of any of the events set out in Clause</w:t>
      </w:r>
    </w:p>
    <w:p>
      <w:pPr>
        <w:sectPr>
          <w:pgSz w:w="11900" w:h="16838" w:orient="portrait"/>
          <w:cols w:equalWidth="0" w:num="1">
            <w:col w:w="11232"/>
          </w:cols>
          <w:pgMar w:left="328"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20"/>
        <w:spacing w:after="0" w:line="432" w:lineRule="auto"/>
        <w:rPr>
          <w:sz w:val="20"/>
          <w:szCs w:val="20"/>
          <w:color w:val="auto"/>
        </w:rPr>
      </w:pPr>
      <w:r>
        <w:rPr>
          <w:rFonts w:ascii="Verdana" w:cs="Verdana" w:eastAsia="Verdana" w:hAnsi="Verdana"/>
          <w:sz w:val="18"/>
          <w:szCs w:val="18"/>
          <w:color w:val="auto"/>
        </w:rPr>
        <w:t>C.III, headings (b) and (c) above, the Warrants shall vest on an accelerated basis as of closing date of any transaction under Clause C.III, headings (b) and (c) above.</w:t>
      </w:r>
    </w:p>
    <w:p>
      <w:pPr>
        <w:spacing w:after="0" w:line="198" w:lineRule="exact"/>
        <w:rPr>
          <w:sz w:val="20"/>
          <w:szCs w:val="20"/>
          <w:color w:val="auto"/>
        </w:rPr>
      </w:pPr>
    </w:p>
    <w:p>
      <w:pPr>
        <w:jc w:val="both"/>
        <w:ind w:left="640" w:firstLine="16"/>
        <w:spacing w:after="0" w:line="415" w:lineRule="auto"/>
        <w:tabs>
          <w:tab w:leader="none" w:pos="1017" w:val="left"/>
        </w:tabs>
        <w:numPr>
          <w:ilvl w:val="0"/>
          <w:numId w:val="23"/>
        </w:numPr>
        <w:rPr>
          <w:rFonts w:ascii="Verdana" w:cs="Verdana" w:eastAsia="Verdana" w:hAnsi="Verdana"/>
          <w:sz w:val="18"/>
          <w:szCs w:val="18"/>
          <w:color w:val="auto"/>
        </w:rPr>
      </w:pPr>
      <w:r>
        <w:rPr>
          <w:rFonts w:ascii="Verdana" w:cs="Verdana" w:eastAsia="Verdana" w:hAnsi="Verdana"/>
          <w:sz w:val="18"/>
          <w:szCs w:val="18"/>
          <w:color w:val="auto"/>
        </w:rPr>
        <w:t>To the extent that an Owner is a U.S. taxpayer, and to the extent his or her Warrants constitute “deferred compensation” subject to Section 409A of the U.S. Internal Revenue Code and that is payable on account of a Change of Control, a Change of Control shall occur only if such event also constitutes a “change in the ownership”, “change in effective control”, and/or a “change in the ownership of a substantial portion of assets” of the Company as those terms are defined under U.S. Treasury Regulation §1.409A-3(i)(5), but only to the extent necessary to establish a time or form of payment that complies with Section 409A of the U.S. Internal Revenue Code, without altering the definition of Change of Control for purposes of determining whether an Owner's rights to such Warrants become vested or otherwise unconditional upon the Change of Control.</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(IV) Procedure for Exercise.</w:t>
      </w:r>
    </w:p>
    <w:p>
      <w:pPr>
        <w:spacing w:after="0" w:line="200" w:lineRule="exact"/>
        <w:rPr>
          <w:sz w:val="20"/>
          <w:szCs w:val="20"/>
          <w:color w:val="auto"/>
        </w:rPr>
      </w:pPr>
    </w:p>
    <w:p>
      <w:pPr>
        <w:spacing w:after="0" w:line="202" w:lineRule="exact"/>
        <w:rPr>
          <w:sz w:val="20"/>
          <w:szCs w:val="20"/>
          <w:color w:val="auto"/>
        </w:rPr>
      </w:pPr>
    </w:p>
    <w:p>
      <w:pPr>
        <w:jc w:val="both"/>
        <w:ind w:firstLine="894"/>
        <w:spacing w:after="0" w:line="415" w:lineRule="auto"/>
        <w:rPr>
          <w:sz w:val="20"/>
          <w:szCs w:val="20"/>
          <w:color w:val="auto"/>
        </w:rPr>
      </w:pPr>
      <w:r>
        <w:rPr>
          <w:rFonts w:ascii="Verdana" w:cs="Verdana" w:eastAsia="Verdana" w:hAnsi="Verdana"/>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24"/>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Non-transferability.</w:t>
      </w:r>
    </w:p>
    <w:p>
      <w:pPr>
        <w:spacing w:after="0" w:line="200" w:lineRule="exact"/>
        <w:rPr>
          <w:rFonts w:ascii="Verdana" w:cs="Verdana" w:eastAsia="Verdana" w:hAnsi="Verdana"/>
          <w:sz w:val="18"/>
          <w:szCs w:val="18"/>
          <w:u w:val="single" w:color="auto"/>
          <w:color w:val="auto"/>
        </w:rPr>
      </w:pPr>
    </w:p>
    <w:p>
      <w:pPr>
        <w:spacing w:after="0" w:line="202" w:lineRule="exact"/>
        <w:rPr>
          <w:rFonts w:ascii="Verdana" w:cs="Verdana" w:eastAsia="Verdana" w:hAnsi="Verdana"/>
          <w:sz w:val="18"/>
          <w:szCs w:val="18"/>
          <w:u w:val="single" w:color="auto"/>
          <w:color w:val="auto"/>
        </w:rPr>
      </w:pPr>
    </w:p>
    <w:p>
      <w:pPr>
        <w:ind w:firstLine="980"/>
        <w:spacing w:after="0" w:line="417" w:lineRule="auto"/>
        <w:tabs>
          <w:tab w:leader="none" w:pos="1307" w:val="left"/>
        </w:tabs>
        <w:numPr>
          <w:ilvl w:val="1"/>
          <w:numId w:val="24"/>
        </w:numPr>
        <w:rPr>
          <w:rFonts w:ascii="Verdana" w:cs="Verdana" w:eastAsia="Verdana" w:hAnsi="Verdana"/>
          <w:sz w:val="18"/>
          <w:szCs w:val="18"/>
          <w:color w:val="auto"/>
        </w:rPr>
      </w:pPr>
      <w:r>
        <w:rPr>
          <w:rFonts w:ascii="Verdana" w:cs="Verdana" w:eastAsia="Verdana" w:hAnsi="Verdana"/>
          <w:sz w:val="18"/>
          <w:szCs w:val="18"/>
          <w:color w:val="auto"/>
        </w:rPr>
        <w:t>The Warrants issued are personal and may never be the subject of transfer or assignment. Warrants may not be pledged or otherwise serve as the basis for settlement of claims by the Owner’s creditors.</w:t>
      </w:r>
    </w:p>
    <w:p>
      <w:pPr>
        <w:spacing w:after="0" w:line="225" w:lineRule="exact"/>
        <w:rPr>
          <w:rFonts w:ascii="Verdana" w:cs="Verdana" w:eastAsia="Verdana" w:hAnsi="Verdana"/>
          <w:sz w:val="18"/>
          <w:szCs w:val="18"/>
          <w:color w:val="auto"/>
        </w:rPr>
      </w:pPr>
    </w:p>
    <w:p>
      <w:pPr>
        <w:jc w:val="both"/>
        <w:ind w:firstLine="980"/>
        <w:spacing w:after="0" w:line="419" w:lineRule="auto"/>
        <w:tabs>
          <w:tab w:leader="none" w:pos="1337" w:val="left"/>
        </w:tabs>
        <w:numPr>
          <w:ilvl w:val="1"/>
          <w:numId w:val="24"/>
        </w:numPr>
        <w:rPr>
          <w:rFonts w:ascii="Verdana" w:cs="Verdana" w:eastAsia="Verdana" w:hAnsi="Verdana"/>
          <w:sz w:val="18"/>
          <w:szCs w:val="18"/>
          <w:color w:val="auto"/>
        </w:rPr>
      </w:pPr>
      <w:r>
        <w:rPr>
          <w:rFonts w:ascii="Verdana" w:cs="Verdana" w:eastAsia="Verdana" w:hAnsi="Verdana"/>
          <w:sz w:val="18"/>
          <w:szCs w:val="18"/>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spacing w:after="0" w:line="223" w:lineRule="exact"/>
        <w:rPr>
          <w:rFonts w:ascii="Verdana" w:cs="Verdana" w:eastAsia="Verdana" w:hAnsi="Verdana"/>
          <w:sz w:val="18"/>
          <w:szCs w:val="18"/>
          <w:color w:val="auto"/>
        </w:rPr>
      </w:pPr>
    </w:p>
    <w:p>
      <w:pPr>
        <w:jc w:val="both"/>
        <w:ind w:firstLine="980"/>
        <w:spacing w:after="0" w:line="416" w:lineRule="auto"/>
        <w:tabs>
          <w:tab w:leader="none" w:pos="1301" w:val="left"/>
        </w:tabs>
        <w:numPr>
          <w:ilvl w:val="1"/>
          <w:numId w:val="24"/>
        </w:numPr>
        <w:rPr>
          <w:rFonts w:ascii="Verdana" w:cs="Verdana" w:eastAsia="Verdana" w:hAnsi="Verdana"/>
          <w:sz w:val="18"/>
          <w:szCs w:val="18"/>
          <w:color w:val="auto"/>
        </w:rPr>
      </w:pPr>
      <w:r>
        <w:rPr>
          <w:rFonts w:ascii="Verdana" w:cs="Verdana" w:eastAsia="Verdana" w:hAnsi="Verdana"/>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pacing w:after="0" w:line="225" w:lineRule="exact"/>
        <w:rPr>
          <w:rFonts w:ascii="Verdana" w:cs="Verdana" w:eastAsia="Verdana" w:hAnsi="Verdana"/>
          <w:sz w:val="18"/>
          <w:szCs w:val="18"/>
          <w:color w:val="auto"/>
        </w:rPr>
      </w:pPr>
    </w:p>
    <w:p>
      <w:pPr>
        <w:jc w:val="both"/>
        <w:ind w:firstLine="980"/>
        <w:spacing w:after="0" w:line="423" w:lineRule="auto"/>
        <w:tabs>
          <w:tab w:leader="none" w:pos="1338" w:val="left"/>
        </w:tabs>
        <w:numPr>
          <w:ilvl w:val="1"/>
          <w:numId w:val="24"/>
        </w:numPr>
        <w:rPr>
          <w:rFonts w:ascii="Verdana" w:cs="Verdana" w:eastAsia="Verdana" w:hAnsi="Verdana"/>
          <w:sz w:val="18"/>
          <w:szCs w:val="18"/>
          <w:color w:val="auto"/>
        </w:rPr>
      </w:pPr>
      <w:r>
        <w:rPr>
          <w:rFonts w:ascii="Verdana" w:cs="Verdana" w:eastAsia="Verdana" w:hAnsi="Verdana"/>
          <w:sz w:val="18"/>
          <w:szCs w:val="18"/>
          <w:color w:val="auto"/>
        </w:rPr>
        <w:t>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D. General Terms.</w:t>
      </w:r>
    </w:p>
    <w:p>
      <w:pPr>
        <w:spacing w:after="0" w:line="200" w:lineRule="exact"/>
        <w:rPr>
          <w:sz w:val="20"/>
          <w:szCs w:val="20"/>
          <w:color w:val="auto"/>
        </w:rPr>
      </w:pPr>
    </w:p>
    <w:p>
      <w:pPr>
        <w:spacing w:after="0" w:line="202" w:lineRule="exact"/>
        <w:rPr>
          <w:sz w:val="20"/>
          <w:szCs w:val="20"/>
          <w:color w:val="auto"/>
        </w:rPr>
      </w:pPr>
    </w:p>
    <w:p>
      <w:pPr>
        <w:ind w:right="20" w:firstLine="980"/>
        <w:spacing w:after="0" w:line="417" w:lineRule="auto"/>
        <w:tabs>
          <w:tab w:leader="none" w:pos="1318"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Existing shareholders of the Company do not have a right of pre-emption to the shares issued on the basis of the Owner’s exercise of Warrants. The</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228" w:lineRule="exact"/>
        <w:rPr>
          <w:sz w:val="20"/>
          <w:szCs w:val="20"/>
          <w:color w:val="auto"/>
        </w:rPr>
      </w:pPr>
    </w:p>
    <w:p>
      <w:pPr>
        <w:ind w:firstLine="902"/>
        <w:spacing w:after="0" w:line="432" w:lineRule="auto"/>
        <w:tabs>
          <w:tab w:leader="none" w:pos="1283"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At the request of the Owner, the Board of Directors of the Company shall issue relevant confirmation concerning the Owner’s right to Warrants.</w:t>
      </w:r>
    </w:p>
    <w:p>
      <w:pPr>
        <w:spacing w:after="0" w:line="211" w:lineRule="exact"/>
        <w:rPr>
          <w:rFonts w:ascii="Verdana" w:cs="Verdana" w:eastAsia="Verdana" w:hAnsi="Verdana"/>
          <w:sz w:val="18"/>
          <w:szCs w:val="18"/>
          <w:color w:val="auto"/>
        </w:rPr>
      </w:pPr>
    </w:p>
    <w:p>
      <w:pPr>
        <w:ind w:left="260" w:hanging="252"/>
        <w:spacing w:after="0"/>
        <w:tabs>
          <w:tab w:leader="none" w:pos="260" w:val="left"/>
        </w:tabs>
        <w:numPr>
          <w:ilvl w:val="0"/>
          <w:numId w:val="27"/>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Adjustment of the Exercise Price and/or the Share Number.</w:t>
      </w:r>
    </w:p>
    <w:p>
      <w:pPr>
        <w:spacing w:after="0" w:line="200" w:lineRule="exact"/>
        <w:rPr>
          <w:rFonts w:ascii="Verdana" w:cs="Verdana" w:eastAsia="Verdana" w:hAnsi="Verdana"/>
          <w:sz w:val="18"/>
          <w:szCs w:val="18"/>
          <w:b w:val="1"/>
          <w:bCs w:val="1"/>
          <w:u w:val="single" w:color="auto"/>
          <w:color w:val="auto"/>
        </w:rPr>
      </w:pPr>
    </w:p>
    <w:p>
      <w:pPr>
        <w:spacing w:after="0" w:line="202" w:lineRule="exact"/>
        <w:rPr>
          <w:rFonts w:ascii="Verdana" w:cs="Verdana" w:eastAsia="Verdana" w:hAnsi="Verdana"/>
          <w:sz w:val="18"/>
          <w:szCs w:val="18"/>
          <w:b w:val="1"/>
          <w:bCs w:val="1"/>
          <w:u w:val="single" w:color="auto"/>
          <w:color w:val="auto"/>
        </w:rPr>
      </w:pPr>
    </w:p>
    <w:p>
      <w:pPr>
        <w:jc w:val="both"/>
        <w:ind w:firstLine="902"/>
        <w:spacing w:after="0" w:line="412" w:lineRule="auto"/>
        <w:tabs>
          <w:tab w:leader="none" w:pos="1243" w:val="left"/>
        </w:tabs>
        <w:numPr>
          <w:ilvl w:val="1"/>
          <w:numId w:val="27"/>
        </w:numPr>
        <w:rPr>
          <w:rFonts w:ascii="Verdana" w:cs="Verdana" w:eastAsia="Verdana" w:hAnsi="Verdana"/>
          <w:sz w:val="18"/>
          <w:szCs w:val="18"/>
          <w:color w:val="auto"/>
        </w:rPr>
      </w:pPr>
      <w:r>
        <w:rPr>
          <w:rFonts w:ascii="Verdana" w:cs="Verdana" w:eastAsia="Verdana" w:hAnsi="Verdana"/>
          <w:sz w:val="18"/>
          <w:szCs w:val="18"/>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may be made. Main examples of such changes in the capital structure of the Company are capital increases and capital decreases not done at market price, payment of extraordinary dividend, issuance of bonus shares, change of the denomination of the shares in the Company, purchase and sale of own shares, issuance of warrants and/or convertible instruments, cf. heading (b) below, merger and demerger.</w:t>
      </w:r>
    </w:p>
    <w:p>
      <w:pPr>
        <w:spacing w:after="0" w:line="3" w:lineRule="exact"/>
        <w:rPr>
          <w:rFonts w:ascii="Verdana" w:cs="Verdana" w:eastAsia="Verdana" w:hAnsi="Verdana"/>
          <w:sz w:val="18"/>
          <w:szCs w:val="18"/>
          <w:color w:val="auto"/>
        </w:rPr>
      </w:pPr>
    </w:p>
    <w:p>
      <w:pPr>
        <w:jc w:val="both"/>
        <w:ind w:firstLine="894"/>
        <w:spacing w:after="0" w:line="416" w:lineRule="auto"/>
        <w:rPr>
          <w:rFonts w:ascii="Verdana" w:cs="Verdana" w:eastAsia="Verdana" w:hAnsi="Verdana"/>
          <w:sz w:val="18"/>
          <w:szCs w:val="18"/>
          <w:color w:val="auto"/>
        </w:rPr>
      </w:pPr>
      <w:r>
        <w:rPr>
          <w:rFonts w:ascii="Verdana" w:cs="Verdana" w:eastAsia="Verdana" w:hAnsi="Verdana"/>
          <w:sz w:val="18"/>
          <w:szCs w:val="18"/>
          <w:color w:val="auto"/>
        </w:rPr>
        <w:t>However, no adjustment of the Exercise Price nor the Share Number shall be made as a result of capital increases implemented on the basis of the exercise of the warrants comprised by this warrant scheme or by Schedule C, Schedule D or Schedule E to the Company’s Articles of Association.</w:t>
      </w:r>
    </w:p>
    <w:p>
      <w:pPr>
        <w:spacing w:after="0" w:line="225" w:lineRule="exact"/>
        <w:rPr>
          <w:rFonts w:ascii="Verdana" w:cs="Verdana" w:eastAsia="Verdana" w:hAnsi="Verdana"/>
          <w:sz w:val="18"/>
          <w:szCs w:val="18"/>
          <w:color w:val="auto"/>
        </w:rPr>
      </w:pPr>
    </w:p>
    <w:p>
      <w:pPr>
        <w:jc w:val="both"/>
        <w:ind w:firstLine="902"/>
        <w:spacing w:after="0" w:line="423" w:lineRule="auto"/>
        <w:tabs>
          <w:tab w:leader="none" w:pos="1294" w:val="left"/>
        </w:tabs>
        <w:numPr>
          <w:ilvl w:val="1"/>
          <w:numId w:val="27"/>
        </w:numPr>
        <w:rPr>
          <w:rFonts w:ascii="Verdana" w:cs="Verdana" w:eastAsia="Verdana" w:hAnsi="Verdana"/>
          <w:sz w:val="18"/>
          <w:szCs w:val="18"/>
          <w:color w:val="auto"/>
        </w:rPr>
      </w:pPr>
      <w:r>
        <w:rPr>
          <w:rFonts w:ascii="Verdana" w:cs="Verdana" w:eastAsia="Verdana" w:hAnsi="Verdana"/>
          <w:sz w:val="18"/>
          <w:szCs w:val="18"/>
          <w:color w:val="auto"/>
        </w:rPr>
        <w:t>Irrespective of heading (a) above, if the Company resolves to issue stock options, shares, warrants, convertible instruments or the like to the Company's and/or its subsidiaries' employees, including the Company’s managers,</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spacing w:after="0" w:line="228" w:lineRule="exact"/>
        <w:rPr>
          <w:sz w:val="20"/>
          <w:szCs w:val="20"/>
          <w:color w:val="auto"/>
        </w:rPr>
      </w:pPr>
    </w:p>
    <w:p>
      <w:pPr>
        <w:jc w:val="both"/>
        <w:ind w:firstLine="902"/>
        <w:spacing w:after="0" w:line="420" w:lineRule="auto"/>
        <w:tabs>
          <w:tab w:leader="none" w:pos="1234" w:val="left"/>
        </w:tabs>
        <w:numPr>
          <w:ilvl w:val="0"/>
          <w:numId w:val="28"/>
        </w:numPr>
        <w:rPr>
          <w:rFonts w:ascii="Verdana" w:cs="Verdana" w:eastAsia="Verdana" w:hAnsi="Verdana"/>
          <w:sz w:val="18"/>
          <w:szCs w:val="18"/>
          <w:color w:val="auto"/>
        </w:rPr>
      </w:pPr>
      <w:r>
        <w:rPr>
          <w:rFonts w:ascii="Verdana" w:cs="Verdana" w:eastAsia="Verdana" w:hAnsi="Verdana"/>
          <w:sz w:val="18"/>
          <w:szCs w:val="18"/>
          <w:color w:val="auto"/>
        </w:rPr>
        <w:t>If adjustments pursuant to this Clause E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pacing w:after="0" w:line="223" w:lineRule="exact"/>
        <w:rPr>
          <w:rFonts w:ascii="Verdana" w:cs="Verdana" w:eastAsia="Verdana" w:hAnsi="Verdana"/>
          <w:sz w:val="18"/>
          <w:szCs w:val="18"/>
          <w:color w:val="auto"/>
        </w:rPr>
      </w:pPr>
    </w:p>
    <w:p>
      <w:pPr>
        <w:ind w:right="20" w:firstLine="902"/>
        <w:spacing w:after="0" w:line="417" w:lineRule="auto"/>
        <w:tabs>
          <w:tab w:leader="none" w:pos="1243" w:val="left"/>
        </w:tabs>
        <w:numPr>
          <w:ilvl w:val="0"/>
          <w:numId w:val="28"/>
        </w:numPr>
        <w:rPr>
          <w:rFonts w:ascii="Verdana" w:cs="Verdana" w:eastAsia="Verdana" w:hAnsi="Verdana"/>
          <w:sz w:val="18"/>
          <w:szCs w:val="18"/>
          <w:color w:val="auto"/>
        </w:rPr>
      </w:pPr>
      <w:r>
        <w:rPr>
          <w:rFonts w:ascii="Verdana" w:cs="Verdana" w:eastAsia="Verdana" w:hAnsi="Verdana"/>
          <w:sz w:val="18"/>
          <w:szCs w:val="18"/>
          <w:color w:val="auto"/>
        </w:rPr>
        <w:t>The Company’s Board of Directors shall determine whether an implemented change in the capital causes for an adjustment of the Exercise Price and/or the Share Number.</w:t>
      </w:r>
    </w:p>
    <w:p>
      <w:pPr>
        <w:spacing w:after="0" w:line="225" w:lineRule="exact"/>
        <w:rPr>
          <w:sz w:val="20"/>
          <w:szCs w:val="20"/>
          <w:color w:val="auto"/>
        </w:rPr>
      </w:pPr>
    </w:p>
    <w:p>
      <w:pPr>
        <w:jc w:val="both"/>
        <w:ind w:firstLine="894"/>
        <w:spacing w:after="0" w:line="419" w:lineRule="auto"/>
        <w:rPr>
          <w:sz w:val="20"/>
          <w:szCs w:val="20"/>
          <w:color w:val="auto"/>
        </w:rPr>
      </w:pPr>
      <w:r>
        <w:rPr>
          <w:rFonts w:ascii="Verdana" w:cs="Verdana" w:eastAsia="Verdana" w:hAnsi="Verdana"/>
          <w:sz w:val="18"/>
          <w:szCs w:val="18"/>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w:t>
      </w:r>
    </w:p>
    <w:p>
      <w:pPr>
        <w:spacing w:after="0" w:line="223" w:lineRule="exact"/>
        <w:rPr>
          <w:sz w:val="20"/>
          <w:szCs w:val="20"/>
          <w:color w:val="auto"/>
        </w:rPr>
      </w:pPr>
    </w:p>
    <w:p>
      <w:pPr>
        <w:jc w:val="both"/>
        <w:ind w:firstLine="902"/>
        <w:spacing w:after="0" w:line="415" w:lineRule="auto"/>
        <w:tabs>
          <w:tab w:leader="none" w:pos="1266" w:val="left"/>
        </w:tabs>
        <w:numPr>
          <w:ilvl w:val="0"/>
          <w:numId w:val="29"/>
        </w:numPr>
        <w:rPr>
          <w:rFonts w:ascii="Verdana" w:cs="Verdana" w:eastAsia="Verdana" w:hAnsi="Verdana"/>
          <w:sz w:val="18"/>
          <w:szCs w:val="18"/>
          <w:color w:val="auto"/>
        </w:rPr>
      </w:pPr>
      <w:r>
        <w:rPr>
          <w:rFonts w:ascii="Verdana" w:cs="Verdana" w:eastAsia="Verdana" w:hAnsi="Verdana"/>
          <w:sz w:val="18"/>
          <w:szCs w:val="18"/>
          <w:color w:val="auto"/>
        </w:rPr>
        <w:t>The Owner is entitled to demand that the adjustment of the Exercise Price and/or Share Number made pursuant to heading (d) above (but not the decision as to whether an adjustment shall be made or not) is subjected to a valuation by a special expert valuer appointed by the Institute of State Authorised Public Accountants. A demand for a valuation must be made by the Owner to the</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Company not later than two weeks after the Owner has been notified of the Board of Directors' adjustment. Thereafter, the valuation shall be made as quickly as possible.</w:t>
      </w:r>
    </w:p>
    <w:p>
      <w:pPr>
        <w:spacing w:after="0" w:line="198" w:lineRule="exact"/>
        <w:rPr>
          <w:sz w:val="20"/>
          <w:szCs w:val="20"/>
          <w:color w:val="auto"/>
        </w:rPr>
      </w:pPr>
    </w:p>
    <w:p>
      <w:pPr>
        <w:jc w:val="both"/>
        <w:ind w:firstLine="902"/>
        <w:spacing w:after="0" w:line="414" w:lineRule="auto"/>
        <w:tabs>
          <w:tab w:leader="none" w:pos="1224" w:val="left"/>
        </w:tabs>
        <w:numPr>
          <w:ilvl w:val="1"/>
          <w:numId w:val="30"/>
        </w:numPr>
        <w:rPr>
          <w:rFonts w:ascii="Verdana" w:cs="Verdana" w:eastAsia="Verdana" w:hAnsi="Verdana"/>
          <w:sz w:val="18"/>
          <w:szCs w:val="18"/>
          <w:color w:val="auto"/>
        </w:rPr>
      </w:pPr>
      <w:r>
        <w:rPr>
          <w:rFonts w:ascii="Verdana" w:cs="Verdana" w:eastAsia="Verdana" w:hAnsi="Verdana"/>
          <w:sz w:val="18"/>
          <w:szCs w:val="18"/>
          <w:color w:val="auto"/>
        </w:rPr>
        <w:t>Where a valuer is appointed pursuant to heading (e) above, and the valuer’s valuation deviates from the adjustments made by the Board of Directors, the valuer's valuation shall be used as a basis for adjusting the Exercise Price and/or Share Number.</w:t>
      </w:r>
    </w:p>
    <w:p>
      <w:pPr>
        <w:spacing w:after="0" w:line="1" w:lineRule="exact"/>
        <w:rPr>
          <w:rFonts w:ascii="Verdana" w:cs="Verdana" w:eastAsia="Verdana" w:hAnsi="Verdana"/>
          <w:sz w:val="18"/>
          <w:szCs w:val="18"/>
          <w:color w:val="auto"/>
        </w:rPr>
      </w:pPr>
    </w:p>
    <w:p>
      <w:pPr>
        <w:jc w:val="both"/>
        <w:ind w:firstLine="894"/>
        <w:spacing w:after="0" w:line="423" w:lineRule="auto"/>
        <w:rPr>
          <w:rFonts w:ascii="Verdana" w:cs="Verdana" w:eastAsia="Verdana" w:hAnsi="Verdana"/>
          <w:sz w:val="18"/>
          <w:szCs w:val="18"/>
          <w:color w:val="auto"/>
        </w:rPr>
      </w:pPr>
      <w:r>
        <w:rPr>
          <w:rFonts w:ascii="Verdana" w:cs="Verdana" w:eastAsia="Verdana" w:hAnsi="Verdana"/>
          <w:sz w:val="18"/>
          <w:szCs w:val="18"/>
          <w:color w:val="auto"/>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spacing w:after="0" w:line="200" w:lineRule="exact"/>
        <w:rPr>
          <w:rFonts w:ascii="Verdana" w:cs="Verdana" w:eastAsia="Verdana" w:hAnsi="Verdana"/>
          <w:sz w:val="18"/>
          <w:szCs w:val="18"/>
          <w:color w:val="auto"/>
        </w:rPr>
      </w:pPr>
    </w:p>
    <w:p>
      <w:pPr>
        <w:spacing w:after="0" w:line="263" w:lineRule="exact"/>
        <w:rPr>
          <w:rFonts w:ascii="Verdana" w:cs="Verdana" w:eastAsia="Verdana" w:hAnsi="Verdana"/>
          <w:sz w:val="18"/>
          <w:szCs w:val="18"/>
          <w:color w:val="auto"/>
        </w:rPr>
      </w:pPr>
    </w:p>
    <w:p>
      <w:pPr>
        <w:ind w:left="260" w:hanging="252"/>
        <w:spacing w:after="0"/>
        <w:tabs>
          <w:tab w:leader="none" w:pos="260" w:val="left"/>
        </w:tabs>
        <w:numPr>
          <w:ilvl w:val="0"/>
          <w:numId w:val="31"/>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Tax Implications.</w:t>
      </w:r>
    </w:p>
    <w:p>
      <w:pPr>
        <w:spacing w:after="0" w:line="389" w:lineRule="exact"/>
        <w:rPr>
          <w:sz w:val="20"/>
          <w:szCs w:val="20"/>
          <w:color w:val="auto"/>
        </w:rPr>
      </w:pPr>
    </w:p>
    <w:p>
      <w:pPr>
        <w:jc w:val="both"/>
        <w:ind w:firstLine="894"/>
        <w:spacing w:after="0" w:line="415" w:lineRule="auto"/>
        <w:rPr>
          <w:sz w:val="20"/>
          <w:szCs w:val="20"/>
          <w:color w:val="auto"/>
        </w:rPr>
      </w:pPr>
      <w:r>
        <w:rPr>
          <w:rFonts w:ascii="Verdana" w:cs="Verdana" w:eastAsia="Verdana" w:hAnsi="Verdana"/>
          <w:sz w:val="18"/>
          <w:szCs w:val="18"/>
          <w:color w:val="auto"/>
        </w:rPr>
        <w:t>The Company and its subsidiaries shall have no responsibility for the tax consequences (including social security contributions triggered) for the Owner, or any other person to whom the Warrants may have been transferred in accordance with this warrant scheme, in connection with the allotment, exercise or potential transfer of the Warrants or any transfer of shares acquired on the basis of exercise of Warrants or any tax or social security consequences for the Owner, or any other person to whom the Warrants may have been transferred in accordance with this warrant scheme, connected with any restructuring of the Company. However, the Company shall be entitled to withhold to the maximum extent permitted by law and pay to tax authorities any applicable taxes or social security contributions that the Owner, or any other person to whom the Warrants may have been transferred in accordance with this warrant scheme, may be the subject of.</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G. No exterritorial applicability of mandatory laws.</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16" w:lineRule="auto"/>
        <w:rPr>
          <w:sz w:val="20"/>
          <w:szCs w:val="20"/>
          <w:color w:val="auto"/>
        </w:rPr>
      </w:pPr>
      <w:r>
        <w:rPr>
          <w:rFonts w:ascii="Verdana" w:cs="Verdana" w:eastAsia="Verdana" w:hAnsi="Verdana"/>
          <w:sz w:val="18"/>
          <w:szCs w:val="18"/>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H. Arbitration.</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upperLetter"/>
      <w:start w:val="35"/>
    </w:lvl>
    <w:lvl w:ilvl="1">
      <w:lvlJc w:val="left"/>
      <w:lvlText w:val="(%2)"/>
      <w:numFmt w:val="lowerLetter"/>
      <w:start w:val="1"/>
    </w:lvl>
  </w:abstractNum>
  <w:abstractNum w:abstractNumId="2">
    <w:nsid w:val="25E45D32"/>
    <w:multiLevelType w:val="hybridMultilevel"/>
    <w:lvl w:ilvl="0">
      <w:lvlJc w:val="left"/>
      <w:lvlText w:val="(%1)"/>
      <w:numFmt w:val="lowerLetter"/>
      <w:start w:val="2"/>
    </w:lvl>
  </w:abstractNum>
  <w:abstractNum w:abstractNumId="3">
    <w:nsid w:val="519B500D"/>
    <w:multiLevelType w:val="hybridMultilevel"/>
    <w:lvl w:ilvl="0">
      <w:lvlJc w:val="left"/>
      <w:lvlText w:val="%1"/>
      <w:numFmt w:val="decimal"/>
      <w:start w:val="1"/>
    </w:lvl>
    <w:lvl w:ilvl="1">
      <w:lvlJc w:val="left"/>
      <w:lvlText w:val="(%2)"/>
      <w:numFmt w:val="lowerLetter"/>
      <w:start w:val="3"/>
    </w:lvl>
  </w:abstractNum>
  <w:abstractNum w:abstractNumId="4">
    <w:nsid w:val="431BD7B7"/>
    <w:multiLevelType w:val="hybridMultilevel"/>
    <w:lvl w:ilvl="0">
      <w:lvlJc w:val="left"/>
      <w:lvlText w:val="%1)"/>
      <w:numFmt w:val="decimal"/>
      <w:start w:val="1"/>
    </w:lvl>
    <w:lvl w:ilvl="1">
      <w:lvlJc w:val="left"/>
      <w:lvlText w:val="%2"/>
      <w:numFmt w:val="lowerLetter"/>
      <w:start w:val="1"/>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upperLetter"/>
      <w:start w:val="1"/>
    </w:lvl>
    <w:lvl w:ilvl="1">
      <w:lvlJc w:val="left"/>
      <w:lvlText w:val="(%2)"/>
      <w:numFmt w:val="lowerLetter"/>
      <w:start w:val="5"/>
    </w:lvl>
  </w:abstractNum>
  <w:abstractNum w:abstractNumId="7">
    <w:nsid w:val="257130A3"/>
    <w:multiLevelType w:val="hybridMultilevel"/>
    <w:lvl w:ilvl="0">
      <w:lvlJc w:val="left"/>
      <w:lvlText w:val="(%1)"/>
      <w:numFmt w:val="upperLetter"/>
      <w:start w:val="61"/>
    </w:lvl>
    <w:lvl w:ilvl="1">
      <w:lvlJc w:val="left"/>
      <w:lvlText w:val="%2"/>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4"/>
    </w:lvl>
  </w:abstractNum>
  <w:abstractNum w:abstractNumId="10">
    <w:nsid w:val="628C895D"/>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11">
    <w:nsid w:val="333AB105"/>
    <w:multiLevelType w:val="hybridMultilevel"/>
    <w:lvl w:ilvl="0">
      <w:lvlJc w:val="left"/>
      <w:lvlText w:val="%1"/>
      <w:numFmt w:val="lowerLetter"/>
      <w:start w:val="1"/>
    </w:lvl>
    <w:lvl w:ilvl="1">
      <w:lvlJc w:val="left"/>
      <w:lvlText w:val="(%2)"/>
      <w:numFmt w:val="lowerLetter"/>
      <w:start w:val="2"/>
    </w:lvl>
  </w:abstractNum>
  <w:abstractNum w:abstractNumId="12">
    <w:nsid w:val="721DA317"/>
    <w:multiLevelType w:val="hybridMultilevel"/>
    <w:lvl w:ilvl="0">
      <w:lvlJc w:val="left"/>
      <w:lvlText w:val="(%1)"/>
      <w:numFmt w:val="lowerLetter"/>
      <w:start w:val="3"/>
    </w:lvl>
    <w:lvl w:ilvl="1">
      <w:lvlJc w:val="left"/>
      <w:lvlText w:val="%2"/>
      <w:numFmt w:val="lowerLetter"/>
      <w:start w:val="1"/>
    </w:lvl>
  </w:abstractNum>
  <w:abstractNum w:abstractNumId="13">
    <w:nsid w:val="2443A858"/>
    <w:multiLevelType w:val="hybridMultilevel"/>
    <w:lvl w:ilvl="0">
      <w:lvlJc w:val="left"/>
      <w:lvlText w:val="(%1)"/>
      <w:numFmt w:val="lowerLetter"/>
      <w:start w:val="5"/>
    </w:lvl>
  </w:abstractNum>
  <w:abstractNum w:abstractNumId="14">
    <w:nsid w:val="2D1D5AE9"/>
    <w:multiLevelType w:val="hybridMultilevel"/>
    <w:lvl w:ilvl="0">
      <w:lvlJc w:val="left"/>
      <w:lvlText w:val="(%1)"/>
      <w:numFmt w:val="lowerLetter"/>
      <w:start w:val="6"/>
    </w:lvl>
  </w:abstractNum>
  <w:abstractNum w:abstractNumId="15">
    <w:nsid w:val="6763845E"/>
    <w:multiLevelType w:val="hybridMultilevel"/>
    <w:lvl w:ilvl="0">
      <w:lvlJc w:val="left"/>
      <w:lvlText w:val="(%1)"/>
      <w:numFmt w:val="lowerRoman"/>
      <w:start w:val="1"/>
    </w:lvl>
  </w:abstractNum>
  <w:abstractNum w:abstractNumId="16">
    <w:nsid w:val="75A2A8D4"/>
    <w:multiLevelType w:val="hybridMultilevel"/>
    <w:lvl w:ilvl="0">
      <w:lvlJc w:val="left"/>
      <w:lvlText w:val="%1."/>
      <w:numFmt w:val="upperLetter"/>
      <w:start w:val="7"/>
    </w:lvl>
    <w:lvl w:ilvl="1">
      <w:lvlJc w:val="left"/>
      <w:lvlText w:val="(%2)"/>
      <w:numFmt w:val="lowerRoman"/>
      <w:start w:val="1"/>
    </w:lvl>
  </w:abstractNum>
  <w:abstractNum w:abstractNumId="17">
    <w:nsid w:val="8EDBDAB"/>
    <w:multiLevelType w:val="hybridMultilevel"/>
    <w:lvl w:ilvl="0">
      <w:lvlJc w:val="left"/>
      <w:lvlText w:val="(%1)"/>
      <w:numFmt w:val="upperLetter"/>
      <w:start w:val="35"/>
    </w:lvl>
    <w:lvl w:ilvl="1">
      <w:lvlJc w:val="left"/>
      <w:lvlText w:val="(%2)"/>
      <w:numFmt w:val="lowerLetter"/>
      <w:start w:val="1"/>
    </w:lvl>
  </w:abstractNum>
  <w:abstractNum w:abstractNumId="18">
    <w:nsid w:val="79838CB2"/>
    <w:multiLevelType w:val="hybridMultilevel"/>
    <w:lvl w:ilvl="0">
      <w:lvlJc w:val="left"/>
      <w:lvlText w:val="(%1)"/>
      <w:numFmt w:val="lowerLetter"/>
      <w:start w:val="2"/>
    </w:lvl>
    <w:lvl w:ilvl="1">
      <w:lvlJc w:val="left"/>
      <w:lvlText w:val="%2."/>
      <w:numFmt w:val="lowerRoman"/>
      <w:start w:val="1"/>
    </w:lvl>
  </w:abstractNum>
  <w:abstractNum w:abstractNumId="19">
    <w:nsid w:val="4353D0CD"/>
    <w:multiLevelType w:val="hybridMultilevel"/>
    <w:lvl w:ilvl="0">
      <w:lvlJc w:val="left"/>
      <w:lvlText w:val="(%1)"/>
      <w:numFmt w:val="lowerLetter"/>
      <w:start w:val="3"/>
    </w:lvl>
  </w:abstractNum>
  <w:abstractNum w:abstractNumId="20">
    <w:nsid w:val="B03E0C6"/>
    <w:multiLevelType w:val="hybridMultilevel"/>
    <w:lvl w:ilvl="0">
      <w:lvlJc w:val="left"/>
      <w:lvlText w:val="(%1)"/>
      <w:numFmt w:val="upperLetter"/>
      <w:start w:val="61"/>
    </w:lvl>
    <w:lvl w:ilvl="1">
      <w:lvlJc w:val="left"/>
      <w:lvlText w:val="(%2)"/>
      <w:numFmt w:val="lowerLetter"/>
      <w:start w:val="1"/>
    </w:lvl>
    <w:lvl w:ilvl="2">
      <w:lvlJc w:val="left"/>
      <w:lvlText w:val="%3."/>
      <w:numFmt w:val="lowerRoman"/>
      <w:start w:val="1"/>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5"/>
    </w:lvl>
  </w:abstractNum>
  <w:abstractNum w:abstractNumId="23">
    <w:nsid w:val="71F32454"/>
    <w:multiLevelType w:val="hybridMultilevel"/>
    <w:lvl w:ilvl="0">
      <w:lvlJc w:val="left"/>
      <w:lvlText w:val="(%1)"/>
      <w:numFmt w:val="upperLetter"/>
      <w:start w:val="22"/>
    </w:lvl>
    <w:lvl w:ilvl="1">
      <w:lvlJc w:val="left"/>
      <w:lvlText w:val="(%2)"/>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upperLetter"/>
      <w:start w:val="1"/>
    </w:lvl>
    <w:lvl w:ilvl="1">
      <w:lvlJc w:val="left"/>
      <w:lvlText w:val="(%2)"/>
      <w:numFmt w:val="lowerLetter"/>
      <w:start w:val="2"/>
    </w:lvl>
  </w:abstractNum>
  <w:abstractNum w:abstractNumId="26">
    <w:nsid w:val="2901D82"/>
    <w:multiLevelType w:val="hybridMultilevel"/>
    <w:lvl w:ilvl="0">
      <w:lvlJc w:val="left"/>
      <w:lvlText w:val="%1."/>
      <w:numFmt w:val="upperLetter"/>
      <w:start w:val="5"/>
    </w:lvl>
    <w:lvl w:ilvl="1">
      <w:lvlJc w:val="left"/>
      <w:lvlText w:val="(%2)"/>
      <w:numFmt w:val="lowerLetter"/>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lowerLetter"/>
      <w:start w:val="5"/>
    </w:lvl>
  </w:abstractNum>
  <w:abstractNum w:abstractNumId="29">
    <w:nsid w:val="1E7FF521"/>
    <w:multiLevelType w:val="hybridMultilevel"/>
    <w:lvl w:ilvl="0">
      <w:lvlJc w:val="left"/>
      <w:lvlText w:val="%1"/>
      <w:numFmt w:val="upperLetter"/>
      <w:start w:val="1"/>
    </w:lvl>
    <w:lvl w:ilvl="1">
      <w:lvlJc w:val="left"/>
      <w:lvlText w:val="(%2)"/>
      <w:numFmt w:val="lowerLetter"/>
      <w:start w:val="6"/>
    </w:lvl>
  </w:abstractNum>
  <w:abstractNum w:abstractNumId="30">
    <w:nsid w:val="7C3DBD3D"/>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2026-05-13T09:17:21Z</dcterms:created>
  <dcterms:modified xsi:type="dcterms:W3CDTF">2026-05-13T09:17:21Z</dcterms:modified>
</cp:coreProperties>
</file>