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OCTOBER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4951" w:type="dxa"/>
        <w:jc w:val="left"/>
        <w:tblInd w:w="0" w:type="dxa"/>
        <w:tblLayout w:type="fixed"/>
        <w:tblCellMar>
          <w:top w:w="28" w:type="dxa"/>
          <w:left w:w="28" w:type="dxa"/>
          <w:bottom w:w="28" w:type="dxa"/>
          <w:right w:w="28" w:type="dxa"/>
        </w:tblCellMar>
      </w:tblPr>
      <w:tblGrid>
        <w:gridCol w:w="266"/>
        <w:gridCol w:w="234"/>
        <w:gridCol w:w="236"/>
        <w:gridCol w:w="1234"/>
        <w:gridCol w:w="1234"/>
        <w:gridCol w:w="174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1013xex99d1.htm">
              <w:r>
                <w:rPr>
                  <w:rStyle w:val="InternetLink"/>
                  <w:rFonts w:ascii="Times New Roman;serif" w:hAnsi="Times New Roman;serif"/>
                  <w:b w:val="false"/>
                  <w:color w:val="000000"/>
                  <w:sz w:val="20"/>
                  <w:u w:val="single"/>
                </w:rPr>
                <w:t>Company Announcement Dated October 13, 2026</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October 13,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6"/>
        </w:rPr>
        <w:t>Genmab Announces Net Sales of DARZALEX</w:t>
      </w:r>
      <w:r>
        <w:rPr>
          <w:rFonts w:ascii="Arial;sans-serif" w:hAnsi="Arial;sans-serif"/>
          <w:b/>
          <w:color w:val="000000"/>
          <w:sz w:val="13"/>
        </w:rPr>
        <w:t>®</w:t>
      </w:r>
      <w:r>
        <w:rPr>
          <w:color w:val="000000"/>
        </w:rPr>
        <w:t xml:space="preserve"> </w:t>
      </w:r>
      <w:r>
        <w:rPr>
          <w:rFonts w:ascii="Arial;sans-serif" w:hAnsi="Arial;sans-serif"/>
          <w:b/>
          <w:color w:val="000000"/>
          <w:sz w:val="26"/>
        </w:rPr>
        <w:t>(daratumumab) for Third Quarter of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Net sales of DARZALEX</w:t>
      </w:r>
      <w:r>
        <w:rPr>
          <w:rFonts w:ascii="Arial;sans-serif" w:hAnsi="Arial;sans-serif"/>
          <w:b/>
          <w:color w:val="000000"/>
          <w:sz w:val="13"/>
        </w:rPr>
        <w:t>®</w:t>
      </w:r>
      <w:r>
        <w:rPr>
          <w:color w:val="000000"/>
        </w:rPr>
        <w:t xml:space="preserve"> </w:t>
      </w:r>
      <w:r>
        <w:rPr>
          <w:rFonts w:ascii="Arial;sans-serif" w:hAnsi="Arial;sans-serif"/>
          <w:b/>
          <w:color w:val="000000"/>
          <w:sz w:val="20"/>
        </w:rPr>
        <w:t>in the third quarter of 2026 totaled USD 4,239 million</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 xml:space="preserve">Genmab receives royalties on worldwide net sales from Johnson &amp; Johnson (J&amp;J, legal entity Janssen Biotech, Inc.)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COPENHAGEN, Denmark; October 13, 2026 – </w:t>
      </w:r>
      <w:r>
        <w:rPr>
          <w:rFonts w:ascii="Arial;sans-serif" w:hAnsi="Arial;sans-serif"/>
          <w:b/>
          <w:color w:val="0000FF"/>
          <w:sz w:val="20"/>
        </w:rPr>
        <w:t>Genmab A/S</w:t>
      </w:r>
      <w:r>
        <w:rPr>
          <w:color w:val="000000"/>
        </w:rPr>
        <w:t xml:space="preserve"> </w:t>
      </w:r>
      <w:r>
        <w:rPr>
          <w:rFonts w:ascii="Arial;sans-serif" w:hAnsi="Arial;sans-serif"/>
          <w:b/>
          <w:color w:val="000000"/>
          <w:sz w:val="20"/>
        </w:rPr>
        <w:t xml:space="preserve">(Nasdaq: GMAB) announced today that worldwide net trade sales of DARZALEX (daratumumab), including sales of the subcutaneous (SC) product (daratumumab and hyaluronidase-fihj, sold under the tradename DARZALEX </w:t>
      </w:r>
      <w:r>
        <w:rPr>
          <w:rFonts w:ascii="Arial;sans-serif" w:hAnsi="Arial;sans-serif"/>
          <w:b/>
          <w:i/>
          <w:color w:val="000000"/>
          <w:sz w:val="20"/>
        </w:rPr>
        <w:t>FASPRO</w:t>
      </w:r>
      <w:r>
        <w:rPr>
          <w:rFonts w:ascii="Arial;sans-serif" w:hAnsi="Arial;sans-serif"/>
          <w:b/>
          <w:color w:val="000000"/>
          <w:sz w:val="13"/>
        </w:rPr>
        <w:t xml:space="preserve">® </w:t>
      </w:r>
      <w:r>
        <w:rPr>
          <w:rFonts w:ascii="Arial;sans-serif" w:hAnsi="Arial;sans-serif"/>
          <w:b/>
          <w:color w:val="000000"/>
          <w:sz w:val="20"/>
        </w:rPr>
        <w:t xml:space="preserve">in the U.S.), as reported by J&amp;J were USD 4,239 million in the third quarter of 2026. </w:t>
      </w:r>
      <w:r>
        <w:rPr>
          <w:rFonts w:ascii="Arial;sans-serif" w:hAnsi="Arial;sans-serif"/>
          <w:b w:val="false"/>
          <w:color w:val="000000"/>
          <w:sz w:val="20"/>
        </w:rPr>
        <w:t>Net trade sales were USD 2,528 million in the U.S. and USD 1,711 million in the rest of the world. Genmab receives royalties on the worldwide net sales of DARZALEX, both the intravenous and SC products,</w:t>
      </w:r>
      <w:r>
        <w:rPr>
          <w:color w:val="000000"/>
        </w:rPr>
        <w:t xml:space="preserve"> </w:t>
      </w:r>
      <w:r>
        <w:rPr>
          <w:rFonts w:ascii="Arial;sans-serif" w:hAnsi="Arial;sans-serif"/>
          <w:b w:val="false"/>
          <w:color w:val="000000"/>
          <w:sz w:val="20"/>
        </w:rPr>
        <w:t xml:space="preserve">under the exclusive worldwide license to J&amp;J to develop, manufacture and commercialize daratumumab.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Genmab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rFonts w:ascii="Arial;sans-serif" w:hAnsi="Arial;sans-serif"/>
          <w:b w:val="false"/>
          <w:color w:val="000000"/>
          <w:sz w:val="20"/>
        </w:rPr>
        <w:t xml:space="preserve">Established in 1999, Genmab is headquartered in Copenhagen, Denmark, with international presence across North America, Europe and Asia Pacific. For more information, please visit Genmab.com or follow us on </w:t>
      </w:r>
      <w:r>
        <w:rPr>
          <w:rFonts w:ascii="Arial;sans-serif" w:hAnsi="Arial;sans-serif"/>
          <w:b w:val="false"/>
          <w:color w:val="000000"/>
          <w:sz w:val="20"/>
          <w:u w:val="single"/>
        </w:rPr>
        <w:t>LinkedIn</w:t>
      </w:r>
      <w:r>
        <w:rPr>
          <w:rFonts w:ascii="Arial;sans-serif" w:hAnsi="Arial;sans-serif"/>
          <w:b w:val="false"/>
          <w:color w:val="000000"/>
          <w:sz w:val="20"/>
        </w:rPr>
        <w:t xml:space="preserve">, </w:t>
      </w:r>
      <w:r>
        <w:rPr>
          <w:rFonts w:ascii="Arial;sans-serif" w:hAnsi="Arial;sans-serif"/>
          <w:b w:val="false"/>
          <w:color w:val="000000"/>
          <w:sz w:val="20"/>
          <w:u w:val="single"/>
        </w:rPr>
        <w:t>X</w:t>
      </w:r>
      <w:r>
        <w:rPr>
          <w:rFonts w:ascii="Arial;sans-serif" w:hAnsi="Arial;sans-serif"/>
          <w:b w:val="false"/>
          <w:color w:val="000000"/>
          <w:sz w:val="20"/>
        </w:rPr>
        <w:t xml:space="preserve">, </w:t>
      </w:r>
      <w:r>
        <w:rPr>
          <w:rFonts w:ascii="Arial;sans-serif" w:hAnsi="Arial;sans-serif"/>
          <w:b w:val="false"/>
          <w:color w:val="000000"/>
          <w:sz w:val="20"/>
          <w:u w:val="single"/>
        </w:rPr>
        <w:t>Facebook</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u w:val="single"/>
        </w:rPr>
        <w:t>Instagram</w:t>
      </w:r>
      <w:r>
        <w:rPr>
          <w:rFonts w:ascii="Arial;sans-serif" w:hAnsi="Arial;sans-serif"/>
          <w:b w:val="false"/>
          <w:color w:val="000000"/>
          <w:sz w:val="20"/>
        </w:rPr>
        <w:t>.</w:t>
      </w:r>
    </w:p>
    <w:p>
      <w:pPr>
        <w:pStyle w:val="TextBody"/>
        <w:bidi w:val="0"/>
        <w:spacing w:lineRule="auto" w:line="288" w:before="0" w:after="0"/>
        <w:jc w:val="left"/>
        <w:rPr/>
      </w:pPr>
      <w:r>
        <w:rPr>
          <w:rFonts w:ascii="Arial;sans-serif" w:hAnsi="Arial;sans-serif"/>
          <w:b/>
          <w:color w:val="000000"/>
          <w:sz w:val="20"/>
        </w:rPr>
        <w:t>Contact:    </w:t>
        <w:br/>
      </w:r>
      <w:r>
        <w:rPr>
          <w:rFonts w:ascii="Arial;sans-serif" w:hAnsi="Arial;sans-serif"/>
          <w:b w:val="false"/>
          <w:color w:val="000000"/>
          <w:sz w:val="20"/>
        </w:rPr>
        <w:t>Marisol Peron, Senior Vice President, Global Communications &amp; Corporate Affairs</w:t>
      </w:r>
    </w:p>
    <w:p>
      <w:pPr>
        <w:pStyle w:val="TextBody"/>
        <w:bidi w:val="0"/>
        <w:spacing w:lineRule="auto" w:line="288" w:before="0" w:after="0"/>
        <w:jc w:val="left"/>
        <w:rPr/>
      </w:pPr>
      <w:r>
        <w:rPr>
          <w:rFonts w:ascii="Arial;sans-serif" w:hAnsi="Arial;sans-serif"/>
          <w:b w:val="false"/>
          <w:color w:val="000000"/>
          <w:sz w:val="20"/>
        </w:rPr>
        <w:t xml:space="preserve">T: +1 609 524 0065; E: </w:t>
      </w:r>
      <w:r>
        <w:rPr>
          <w:rFonts w:ascii="Arial;sans-serif" w:hAnsi="Arial;sans-serif"/>
          <w:b w:val="false"/>
          <w:color w:val="000000"/>
          <w:sz w:val="20"/>
          <w:u w:val="single"/>
        </w:rPr>
        <w:t>mmp@genmab.com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88" w:before="0" w:after="0"/>
        <w:jc w:val="left"/>
        <w:rPr/>
      </w:pPr>
      <w:r>
        <w:rPr>
          <w:rFonts w:ascii="Arial;sans-serif" w:hAnsi="Arial;sans-serif"/>
          <w:b w:val="false"/>
          <w:color w:val="000000"/>
          <w:sz w:val="20"/>
        </w:rPr>
        <w:t xml:space="preserve">T: +45 3377 9558; E: </w:t>
      </w:r>
      <w:r>
        <w:rPr>
          <w:rFonts w:ascii="Arial;sans-serif" w:hAnsi="Arial;sans-serif"/>
          <w:b w:val="false"/>
          <w:color w:val="000000"/>
          <w:sz w:val="20"/>
          <w:u w:val="single"/>
        </w:rPr>
        <w:t>acn@genmab.com</w:t>
      </w:r>
      <w:r>
        <w:rPr>
          <w:color w:val="000000"/>
        </w:rPr>
        <w:t xml:space="preserve"> </w:t>
      </w:r>
    </w:p>
    <w:p>
      <w:pPr>
        <w:pStyle w:val="TextBody"/>
        <w:bidi w:val="0"/>
        <w:spacing w:lineRule="auto" w:line="288" w:before="0" w:after="0"/>
        <w:jc w:val="left"/>
        <w:rPr/>
      </w:pPr>
      <w:r>
        <w:rPr>
          <w:rFonts w:ascii="Arial;sans-serif" w:hAnsi="Arial;sans-serif"/>
          <w:b w:val="false"/>
          <w:color w:val="000000"/>
          <w:sz w:val="20"/>
        </w:rPr>
        <w:br/>
      </w:r>
      <w:r>
        <w:rPr>
          <w:rFonts w:ascii="Arial;sans-serif" w:hAnsi="Arial;sans-serif"/>
          <w:b w:val="false"/>
          <w:i/>
          <w:color w:val="000000"/>
          <w:sz w:val="16"/>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sans-serif" w:hAnsi="Arial;sans-serif"/>
          <w:b w:val="false"/>
          <w:i/>
          <w:color w:val="000000"/>
          <w:sz w:val="16"/>
          <w:u w:val="single"/>
        </w:rPr>
        <w:t xml:space="preserve">www.genmab.com </w:t>
      </w:r>
      <w:r>
        <w:rPr>
          <w:rFonts w:ascii="Arial;sans-serif" w:hAnsi="Arial;sans-serif"/>
          <w:b w:val="false"/>
          <w:i/>
          <w:color w:val="000000"/>
          <w:sz w:val="16"/>
        </w:rPr>
        <w:t xml:space="preserve">and the risk factors included in Genmab’s most recent Annual Report on Form 20-F and other filings with the U.S. Securities and Exchange Commission (SEC), which are available at </w:t>
      </w:r>
      <w:r>
        <w:rPr>
          <w:rFonts w:ascii="Arial;sans-serif" w:hAnsi="Arial;sans-serif"/>
          <w:b w:val="false"/>
          <w:i/>
          <w:color w:val="000000"/>
          <w:sz w:val="16"/>
          <w:u w:val="single"/>
        </w:rPr>
        <w:t>www.sec.gov</w:t>
      </w:r>
      <w:r>
        <w:rPr>
          <w:rFonts w:ascii="Arial;sans-serif" w:hAnsi="Arial;sans-serif"/>
          <w:b w:val="false"/>
          <w:i/>
          <w:color w:val="000000"/>
          <w:sz w:val="16"/>
        </w:rPr>
        <w:t xml:space="preserve">. Genmab does not undertake any obligation to update or revise forward looking statements in the Company Announcement nor to confirm such statements to reflect subsequent events or circumstances after the date made or in relation to actual results, unless required by law. </w:t>
      </w:r>
    </w:p>
    <w:p>
      <w:pPr>
        <w:pStyle w:val="TextBody"/>
        <w:bidi w:val="0"/>
        <w:spacing w:lineRule="auto" w:line="288" w:before="0" w:after="0"/>
        <w:jc w:val="left"/>
        <w:rPr/>
      </w:pPr>
      <w:r>
        <w:rPr>
          <w:rFonts w:ascii="Arial;sans-serif" w:hAnsi="Arial;sans-serif"/>
          <w:b w:val="false"/>
          <w:color w:val="000000"/>
          <w:sz w:val="16"/>
        </w:rPr>
        <w:br/>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3"/>
        </w:rPr>
        <w:t>®</w:t>
      </w:r>
      <w:r>
        <w:rPr>
          <w:rFonts w:ascii="Arial;sans-serif" w:hAnsi="Arial;sans-serif"/>
          <w:b w:val="false"/>
          <w:i/>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820</Words>
  <Characters>4769</Characters>
  <CharactersWithSpaces>5555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