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ind w:left="0" w:right="0" w:firstLine="720"/>
        <w:jc w:val="center"/>
        <w:rPr>
          <w:rFonts w:ascii="Arial;sans-serif" w:hAnsi="Arial;sans-serif"/>
          <w:b/>
          <w:color w:val="000000"/>
          <w:sz w:val="36"/>
        </w:rPr>
      </w:pPr>
      <w:r>
        <w:rPr>
          <w:rFonts w:ascii="Arial;sans-serif" w:hAnsi="Arial;sans-serif"/>
          <w:b/>
          <w:color w:val="000000"/>
          <w:sz w:val="36"/>
        </w:rPr>
        <w:br/>
        <w:t>FORM 6-K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REPORT OF FOREIGN PRIVATE ISSUER PURSUANT TO RULE 13a-16 OR 15d-16</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FOR THE MONTH OF JULY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 xml:space="preserve">COMMISSION FILE NUMBER 001-38976 </w:t>
      </w:r>
    </w:p>
    <w:p>
      <w:pPr>
        <w:pStyle w:val="TextBody"/>
        <w:bidi w:val="0"/>
        <w:spacing w:lineRule="auto" w:line="288" w:before="0" w:after="240"/>
        <w:jc w:val="center"/>
        <w:rPr/>
      </w:pPr>
      <w:r>
        <w:rPr>
          <w:rFonts w:ascii="Arial;sans-serif" w:hAnsi="Arial;sans-serif"/>
          <w:b/>
          <w:color w:val="000000"/>
          <w:sz w:val="36"/>
        </w:rPr>
        <w:t>Genmab A/S</w:t>
        <w:br/>
      </w:r>
      <w:r>
        <w:rPr>
          <w:rFonts w:ascii="Arial;sans-serif" w:hAnsi="Arial;sans-serif"/>
          <w:b w:val="false"/>
          <w:color w:val="333333"/>
          <w:sz w:val="19"/>
          <w:shd w:fill="FFFFFF" w:val="clear"/>
        </w:rPr>
        <w:t>(Exact name of Registrant as specified in its charter)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Carl Jacobsens Vej 30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2500 Valby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Denmark</w:t>
      </w:r>
    </w:p>
    <w:p>
      <w:pPr>
        <w:pStyle w:val="TextBody"/>
        <w:bidi w:val="0"/>
        <w:spacing w:lineRule="auto" w:line="288" w:before="0" w:after="240"/>
        <w:jc w:val="center"/>
        <w:rPr/>
      </w:pPr>
      <w:r>
        <w:rPr>
          <w:rFonts w:ascii="Arial;sans-serif" w:hAnsi="Arial;sans-serif"/>
          <w:b/>
          <w:color w:val="000000"/>
          <w:sz w:val="20"/>
        </w:rPr>
        <w:t>+45 70 20 27 28</w:t>
        <w:br/>
      </w:r>
      <w:r>
        <w:rPr>
          <w:rFonts w:ascii="Arial;sans-serif" w:hAnsi="Arial;sans-serif"/>
          <w:b w:val="false"/>
          <w:color w:val="333333"/>
          <w:sz w:val="19"/>
          <w:shd w:fill="FFFFFF" w:val="clear"/>
        </w:rPr>
        <w:t>(Address of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Indicate by check mark whether the registrant files or will file annual reports under cover Form 20-F or Form 40-F.</w:t>
      </w:r>
    </w:p>
    <w:p>
      <w:pPr>
        <w:pStyle w:val="TextBody"/>
        <w:bidi w:val="0"/>
        <w:spacing w:lineRule="auto" w:line="288" w:before="0" w:after="240"/>
        <w:jc w:val="center"/>
        <w:rPr/>
      </w:pPr>
      <w:r>
        <w:rPr>
          <w:rFonts w:ascii="Arial;sans-serif" w:hAnsi="Arial;sans-serif"/>
          <w:b w:val="false"/>
          <w:color w:val="000000"/>
          <w:sz w:val="20"/>
        </w:rPr>
        <w:t>Form 20-F </w:t>
      </w:r>
      <w:r>
        <w:rPr>
          <w:color w:val="000000"/>
        </w:rPr>
        <w:t xml:space="preserve"> </w:t>
      </w:r>
      <w:r>
        <w:rPr>
          <w:rFonts w:ascii="Arial;sans-serif" w:hAnsi="Arial;sans-serif"/>
          <w:b w:val="false"/>
          <w:color w:val="000000"/>
          <w:sz w:val="20"/>
        </w:rPr>
        <w:t>Form 40-F </w:t>
      </w:r>
    </w:p>
    <w:p>
      <w:pPr>
        <w:pStyle w:val="TextBody"/>
        <w:bidi w:val="0"/>
        <w:spacing w:lineRule="auto" w:line="288" w:before="0" w:after="0"/>
        <w:jc w:val="left"/>
        <w:rPr/>
      </w:pPr>
      <w:r>
        <w:rPr>
          <w:rFonts w:ascii="Times New Roman;serif" w:hAnsi="Times New Roman;serif"/>
          <w:b w:val="false"/>
          <w:color w:val="000000"/>
          <w:sz w:val="20"/>
          <w:shd w:fill="FFFFFF" w:val="clear"/>
        </w:rPr>
        <w:t>This report on Form 6-K shall be deemed to be </w:t>
      </w:r>
      <w:r>
        <w:rPr>
          <w:rFonts w:ascii="Times New Roman;serif" w:hAnsi="Times New Roman;serif"/>
          <w:b w:val="false"/>
          <w:color w:val="000000"/>
          <w:sz w:val="20"/>
        </w:rPr>
        <w:t>incorporated by reference</w:t>
      </w:r>
      <w:r>
        <w:rPr>
          <w:color w:val="000000"/>
          <w:shd w:fill="FFFFFF" w:val="clear"/>
        </w:rPr>
        <w:t> </w:t>
      </w:r>
      <w:r>
        <w:rPr>
          <w:rFonts w:ascii="Times New Roman;serif" w:hAnsi="Times New Roman;serif"/>
          <w:b w:val="false"/>
          <w:color w:val="000000"/>
          <w:sz w:val="20"/>
          <w:shd w:fill="FFFFFF" w:val="clear"/>
        </w:rPr>
        <w:t xml:space="preserve">in Genmab A/S’s registration statements on Form S-8 (File No. 333-232693, </w:t>
      </w:r>
      <w:r>
        <w:rPr>
          <w:rFonts w:ascii="Times New Roman;serif" w:hAnsi="Times New Roman;serif"/>
          <w:b w:val="false"/>
          <w:color w:val="000000"/>
          <w:sz w:val="20"/>
        </w:rPr>
        <w:t>333-253519, 333-262970, 333-277273, 333-284876 and 333-293505</w:t>
      </w:r>
      <w:r>
        <w:rPr>
          <w:rFonts w:ascii="Times New Roman;serif" w:hAnsi="Times New Roman;serif"/>
          <w:b w:val="false"/>
          <w:color w:val="000000"/>
          <w:sz w:val="20"/>
          <w:shd w:fill="FFFFFF" w:val="clear"/>
        </w:rPr>
        <w:t>) and to be a part thereof from the date on which this report is filed, to the extent not superseded by documents or reports subsequently filed or furnished.</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EXHIBIT INDEX</w:t>
      </w:r>
    </w:p>
    <w:tbl>
      <w:tblPr>
        <w:tblW w:w="4651" w:type="dxa"/>
        <w:jc w:val="left"/>
        <w:tblInd w:w="0" w:type="dxa"/>
        <w:tblLayout w:type="fixed"/>
        <w:tblCellMar>
          <w:top w:w="28" w:type="dxa"/>
          <w:left w:w="28" w:type="dxa"/>
          <w:bottom w:w="28" w:type="dxa"/>
          <w:right w:w="28" w:type="dxa"/>
        </w:tblCellMar>
      </w:tblPr>
      <w:tblGrid>
        <w:gridCol w:w="266"/>
        <w:gridCol w:w="234"/>
        <w:gridCol w:w="236"/>
        <w:gridCol w:w="1146"/>
        <w:gridCol w:w="1146"/>
        <w:gridCol w:w="1623"/>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 of Exhibit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mab_20260715xex99d1.htm">
              <w:r>
                <w:rPr>
                  <w:rStyle w:val="InternetLink"/>
                  <w:rFonts w:ascii="Times New Roman;serif" w:hAnsi="Times New Roman;serif"/>
                  <w:b w:val="false"/>
                  <w:color w:val="000000"/>
                  <w:sz w:val="20"/>
                  <w:u w:val="single"/>
                </w:rPr>
                <w:t>Company Announcement Dated July 15, 2026</w:t>
              </w:r>
            </w:hyperlink>
          </w:p>
        </w:tc>
      </w:tr>
    </w:tbl>
    <w:p>
      <w:pPr>
        <w:pStyle w:val="TextBody"/>
        <w:bidi w:val="0"/>
        <w:spacing w:before="0" w:after="0"/>
        <w:jc w:val="left"/>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029" w:type="dxa"/>
        <w:jc w:val="left"/>
        <w:tblInd w:w="0" w:type="dxa"/>
        <w:tblLayout w:type="fixed"/>
        <w:tblCellMar>
          <w:top w:w="28" w:type="dxa"/>
          <w:left w:w="28" w:type="dxa"/>
          <w:bottom w:w="28" w:type="dxa"/>
          <w:right w:w="28" w:type="dxa"/>
        </w:tblCellMar>
      </w:tblPr>
      <w:tblGrid>
        <w:gridCol w:w="124"/>
        <w:gridCol w:w="109"/>
        <w:gridCol w:w="109"/>
        <w:gridCol w:w="216"/>
        <w:gridCol w:w="216"/>
        <w:gridCol w:w="216"/>
        <w:gridCol w:w="1460"/>
        <w:gridCol w:w="1460"/>
        <w:gridCol w:w="21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GENMAB 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Executive Vice President &amp; Chief Financial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DATE: July 15,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72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drawing>
          <wp:inline distT="0" distB="0" distL="0" distR="0">
            <wp:extent cx="1457325" cy="419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57325" cy="419100"/>
                    </a:xfrm>
                    <a:prstGeom prst="rect">
                      <a:avLst/>
                    </a:prstGeom>
                  </pic:spPr>
                </pic:pic>
              </a:graphicData>
            </a:graphic>
          </wp:inline>
        </w:drawing>
      </w:r>
    </w:p>
    <w:p>
      <w:pPr>
        <w:pStyle w:val="TextBody"/>
        <w:bidi w:val="0"/>
        <w:spacing w:lineRule="auto" w:line="268" w:before="0" w:after="0"/>
        <w:jc w:val="both"/>
        <w:rPr/>
      </w:pPr>
      <w:r>
        <w:rPr>
          <w:rFonts w:ascii="Arial;sans-serif" w:hAnsi="Arial;sans-serif"/>
          <w:b/>
          <w:color w:val="000000"/>
          <w:sz w:val="26"/>
        </w:rPr>
        <w:t>Genmab Announces Net Sales of DARZALEX</w:t>
      </w:r>
      <w:r>
        <w:rPr>
          <w:rFonts w:ascii="Arial;sans-serif" w:hAnsi="Arial;sans-serif"/>
          <w:b/>
          <w:color w:val="000000"/>
          <w:sz w:val="13"/>
        </w:rPr>
        <w:t>®</w:t>
      </w:r>
      <w:r>
        <w:rPr>
          <w:color w:val="000000"/>
        </w:rPr>
        <w:t xml:space="preserve"> </w:t>
      </w:r>
      <w:r>
        <w:rPr>
          <w:rFonts w:ascii="Arial;sans-serif" w:hAnsi="Arial;sans-serif"/>
          <w:b/>
          <w:color w:val="000000"/>
          <w:sz w:val="26"/>
        </w:rPr>
        <w:t>(daratumumab) for Second Quarter of 2026</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Company Announcement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Net sales of DARZALEX</w:t>
      </w:r>
      <w:r>
        <w:rPr>
          <w:rFonts w:ascii="Arial;sans-serif" w:hAnsi="Arial;sans-serif"/>
          <w:b/>
          <w:color w:val="000000"/>
          <w:sz w:val="13"/>
        </w:rPr>
        <w:t>®</w:t>
      </w:r>
      <w:r>
        <w:rPr>
          <w:color w:val="000000"/>
        </w:rPr>
        <w:t xml:space="preserve"> </w:t>
      </w:r>
      <w:r>
        <w:rPr>
          <w:rFonts w:ascii="Arial;sans-serif" w:hAnsi="Arial;sans-serif"/>
          <w:b/>
          <w:color w:val="000000"/>
          <w:sz w:val="20"/>
        </w:rPr>
        <w:t>in the second quarter of 2026 totaled USD 4,207 million</w:t>
      </w:r>
    </w:p>
    <w:p>
      <w:pPr>
        <w:pStyle w:val="TextBody"/>
        <w:bidi w:val="0"/>
        <w:spacing w:lineRule="auto" w:line="268" w:before="0" w:after="0"/>
        <w:ind w:left="0" w:right="0" w:hanging="360"/>
        <w:jc w:val="left"/>
        <w:rPr/>
      </w:pPr>
      <w:r>
        <w:rPr>
          <w:color w:val="000000"/>
        </w:rPr>
        <w:t>•</w:t>
      </w:r>
      <w:r>
        <w:rPr>
          <w:rFonts w:ascii="Arial;sans-serif" w:hAnsi="Arial;sans-serif"/>
          <w:b/>
          <w:color w:val="000000"/>
          <w:sz w:val="20"/>
        </w:rPr>
        <w:t xml:space="preserve">Genmab receives royalties on worldwide net sales from Johnson &amp; Johnson (J&amp;J, legal entity Janssen Biotech, Inc.)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rPr>
        <w:t xml:space="preserve">COPENHAGEN, Denmark; July 15, 2026 – Genmab A/S (Nasdaq: GMAB) announced today that worldwide net trade sales of DARZALEX (daratumumab), including sales of the subcutaneous (SC) product (daratumumab and hyaluronidase-fihj, sold under the tradename DARZALEX FASPRO® in the U.S.), as reported by J&amp;J were USD 4,207 million in the second quarter of 2026. </w:t>
      </w:r>
      <w:r>
        <w:rPr>
          <w:rFonts w:ascii="Arial;sans-serif" w:hAnsi="Arial;sans-serif"/>
          <w:b w:val="false"/>
          <w:color w:val="000000"/>
          <w:sz w:val="20"/>
        </w:rPr>
        <w:t xml:space="preserve">Net trade sales were USD 2,435 million in the U.S. and USD 1,772 million in the rest of the world. Genmab receives royalties on the worldwide net sales of DARZALEX, both the intravenous and SC products, under the exclusive worldwide license to J&amp;J to develop, manufacture and commercialize daratumumab.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About Genmab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Genmab is an international biotechnology company dedicated to improving the lives of people with cancer and other serious diseases through innovative antibody medicines. For over 25 years, its passionate, innovative and collaborative team has advanced a broad range of antibody-based therapeutic formats, including bispecific antibodies, antibody–drug conjugates (ADCs), immune-modulating antibodies and other next-generation modalities. Genmab’s science powers eight approved antibody medicines, and the company is advancing a strong late-stage clinical pipeline, including wholly owned programs, with the goal of delivering transformative medicines to patients.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20"/>
        </w:rPr>
        <w:t xml:space="preserve">Established in 1999, Genmab is headquartered in Copenhagen, Denmark, with international presence across North America, Europe and Asia Pacific. For more information, please visit </w:t>
      </w:r>
      <w:r>
        <w:rPr>
          <w:rFonts w:ascii="Arial;sans-serif" w:hAnsi="Arial;sans-serif"/>
          <w:b w:val="false"/>
          <w:color w:val="0000FF"/>
          <w:sz w:val="20"/>
          <w:u w:val="single"/>
        </w:rPr>
        <w:t>Genmab.com</w:t>
      </w:r>
      <w:r>
        <w:rPr>
          <w:color w:val="000000"/>
        </w:rPr>
        <w:t> </w:t>
      </w:r>
      <w:r>
        <w:rPr>
          <w:rFonts w:ascii="Arial;sans-serif" w:hAnsi="Arial;sans-serif"/>
          <w:b w:val="false"/>
          <w:color w:val="000000"/>
          <w:sz w:val="20"/>
        </w:rPr>
        <w:t xml:space="preserve">and follow us on </w:t>
      </w:r>
      <w:r>
        <w:rPr>
          <w:rFonts w:ascii="Arial;sans-serif" w:hAnsi="Arial;sans-serif"/>
          <w:b w:val="false"/>
          <w:color w:val="0000FF"/>
          <w:sz w:val="20"/>
          <w:u w:val="single"/>
        </w:rPr>
        <w:t>LinkedIn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FF"/>
          <w:sz w:val="20"/>
          <w:u w:val="single"/>
        </w:rPr>
        <w:t>X</w:t>
      </w:r>
      <w:r>
        <w:rPr>
          <w:rFonts w:ascii="Arial;sans-serif" w:hAnsi="Arial;sans-serif"/>
          <w:b w:val="false"/>
          <w:color w:val="000000"/>
          <w:sz w:val="20"/>
        </w:rPr>
        <w:t>.</w:t>
      </w:r>
    </w:p>
    <w:p>
      <w:pPr>
        <w:pStyle w:val="TextBody"/>
        <w:bidi w:val="0"/>
        <w:spacing w:lineRule="auto" w:line="288" w:before="0" w:after="0"/>
        <w:jc w:val="left"/>
        <w:rPr/>
      </w:pPr>
      <w:r>
        <w:rPr>
          <w:rFonts w:ascii="Arial;sans-serif" w:hAnsi="Arial;sans-serif"/>
          <w:b/>
          <w:color w:val="000000"/>
          <w:sz w:val="20"/>
        </w:rPr>
        <w:t>Contact:    </w:t>
        <w:br/>
      </w:r>
      <w:r>
        <w:rPr>
          <w:rFonts w:ascii="Arial;sans-serif" w:hAnsi="Arial;sans-serif"/>
          <w:b w:val="false"/>
          <w:color w:val="000000"/>
          <w:sz w:val="20"/>
        </w:rPr>
        <w:t>Marisol Peron, Senior Vice President, Global Communications &amp; Corporate Affairs</w:t>
      </w:r>
    </w:p>
    <w:p>
      <w:pPr>
        <w:pStyle w:val="TextBody"/>
        <w:bidi w:val="0"/>
        <w:spacing w:lineRule="auto" w:line="288" w:before="0" w:after="0"/>
        <w:jc w:val="left"/>
        <w:rPr/>
      </w:pPr>
      <w:r>
        <w:rPr>
          <w:rFonts w:ascii="Arial;sans-serif" w:hAnsi="Arial;sans-serif"/>
          <w:b w:val="false"/>
          <w:color w:val="000000"/>
          <w:sz w:val="20"/>
        </w:rPr>
        <w:t xml:space="preserve">T: +1 609 524 0065; E: </w:t>
      </w:r>
      <w:r>
        <w:rPr>
          <w:rFonts w:ascii="Arial;sans-serif" w:hAnsi="Arial;sans-serif"/>
          <w:b w:val="false"/>
          <w:color w:val="0000FF"/>
          <w:sz w:val="20"/>
          <w:u w:val="single"/>
        </w:rPr>
        <w:t>mmp@genmab.com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Andrew Carlsen, Vice President, Head of Investor Relations</w:t>
      </w:r>
    </w:p>
    <w:p>
      <w:pPr>
        <w:pStyle w:val="TextBody"/>
        <w:bidi w:val="0"/>
        <w:spacing w:lineRule="auto" w:line="288" w:before="0" w:after="0"/>
        <w:jc w:val="left"/>
        <w:rPr/>
      </w:pPr>
      <w:r>
        <w:rPr>
          <w:rFonts w:ascii="Arial;sans-serif" w:hAnsi="Arial;sans-serif"/>
          <w:b w:val="false"/>
          <w:color w:val="000000"/>
          <w:sz w:val="20"/>
        </w:rPr>
        <w:t xml:space="preserve">T: +45 3377 9558; E: </w:t>
      </w:r>
      <w:r>
        <w:rPr>
          <w:rFonts w:ascii="Arial;sans-serif" w:hAnsi="Arial;sans-serif"/>
          <w:b w:val="false"/>
          <w:color w:val="0000FF"/>
          <w:sz w:val="20"/>
          <w:u w:val="single"/>
        </w:rPr>
        <w:t>acn@genmab.com</w:t>
      </w:r>
      <w:r>
        <w:rPr>
          <w:color w:val="000000"/>
        </w:rPr>
        <w:t xml:space="preserve"> </w:t>
      </w:r>
    </w:p>
    <w:p>
      <w:pPr>
        <w:pStyle w:val="TextBody"/>
        <w:bidi w:val="0"/>
        <w:spacing w:lineRule="auto" w:line="288" w:before="0" w:after="0"/>
        <w:jc w:val="left"/>
        <w:rPr/>
      </w:pPr>
      <w:r>
        <w:rPr>
          <w:rFonts w:ascii="Arial;sans-serif" w:hAnsi="Arial;sans-serif"/>
          <w:b w:val="false"/>
          <w:color w:val="000000"/>
          <w:sz w:val="20"/>
        </w:rPr>
        <w:br/>
      </w:r>
      <w:r>
        <w:rPr>
          <w:rFonts w:ascii="Arial;sans-serif" w:hAnsi="Arial;sans-serif"/>
          <w:b w:val="false"/>
          <w:i/>
          <w:color w:val="000000"/>
          <w:sz w:val="16"/>
        </w:rPr>
        <w:t xml:space="preserve">The Company Announcement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pre-clinical and clinical development of products, uncertainties related to the outcome and conduct of clinical trials including unforeseen safety issues, uncertainties related to product manufacturing, the lack of market acceptance of our products, our inability to manage growth, the competitive environment in relation to our business area and markets, our inability to attract and retain suitably qualified personnel, the unenforceability or lack of protection of our patents and proprietary rights, our relationships with affiliated entities, changes and developments in technology which may render our products or technologies obsolete, and other factors. For a further discussion of these risks, please refer to the risk management sections in Genmab’s most recent financial reports, which are available on </w:t>
      </w:r>
      <w:r>
        <w:rPr>
          <w:rFonts w:ascii="Arial;sans-serif" w:hAnsi="Arial;sans-serif"/>
          <w:b w:val="false"/>
          <w:i/>
          <w:color w:val="0000FF"/>
          <w:sz w:val="16"/>
          <w:u w:val="single"/>
        </w:rPr>
        <w:t xml:space="preserve">www.genmab.com </w:t>
      </w:r>
      <w:r>
        <w:rPr>
          <w:rFonts w:ascii="Arial;sans-serif" w:hAnsi="Arial;sans-serif"/>
          <w:b w:val="false"/>
          <w:i/>
          <w:color w:val="000000"/>
          <w:sz w:val="16"/>
        </w:rPr>
        <w:t xml:space="preserve">and the risk factors included in Genmab’s most recent Annual Report on Form 20-F and other filings with the U.S. Securities and Exchange Commission (SEC), which are available at </w:t>
      </w:r>
      <w:r>
        <w:rPr>
          <w:rFonts w:ascii="Arial;sans-serif" w:hAnsi="Arial;sans-serif"/>
          <w:b w:val="false"/>
          <w:i/>
          <w:color w:val="0000FF"/>
          <w:sz w:val="16"/>
          <w:u w:val="single"/>
        </w:rPr>
        <w:t>www.sec.gov</w:t>
      </w:r>
      <w:r>
        <w:rPr>
          <w:rFonts w:ascii="Arial;sans-serif" w:hAnsi="Arial;sans-serif"/>
          <w:b w:val="false"/>
          <w:i/>
          <w:color w:val="000000"/>
          <w:sz w:val="16"/>
        </w:rPr>
        <w:t xml:space="preserve">. Genmab does not undertake any obligation to update or revise forward looking statements in the Company Announcement nor to confirm such statements to reflect subsequent events or circumstances after the date made or in relation to actual results, unless required by law. </w:t>
      </w:r>
    </w:p>
    <w:p>
      <w:pPr>
        <w:pStyle w:val="TextBody"/>
        <w:bidi w:val="0"/>
        <w:spacing w:lineRule="auto" w:line="288" w:before="0" w:after="0"/>
        <w:jc w:val="left"/>
        <w:rPr/>
      </w:pPr>
      <w:r>
        <w:rPr>
          <w:rFonts w:ascii="Arial;sans-serif" w:hAnsi="Arial;sans-serif"/>
          <w:b w:val="false"/>
          <w:color w:val="000000"/>
          <w:sz w:val="16"/>
        </w:rPr>
        <w:br/>
      </w:r>
      <w:r>
        <w:rPr>
          <w:rFonts w:ascii="Arial;sans-serif" w:hAnsi="Arial;sans-serif"/>
          <w:b w:val="false"/>
          <w:i/>
          <w:color w:val="000000"/>
          <w:sz w:val="16"/>
        </w:rPr>
        <w:t>Genmab A/S and/or its subsidiaries own the following trademarks: Genmab</w:t>
      </w:r>
      <w:r>
        <w:rPr>
          <w:rFonts w:ascii="Arial;sans-serif" w:hAnsi="Arial;sans-serif"/>
          <w:b w:val="false"/>
          <w:i/>
          <w:color w:val="000000"/>
          <w:sz w:val="10"/>
        </w:rPr>
        <w:t>®</w:t>
      </w:r>
      <w:r>
        <w:rPr>
          <w:rFonts w:ascii="Arial;sans-serif" w:hAnsi="Arial;sans-serif"/>
          <w:b w:val="false"/>
          <w:i/>
          <w:color w:val="000000"/>
          <w:sz w:val="16"/>
        </w:rPr>
        <w:t>; the Y-shaped Genmab logo</w:t>
      </w:r>
      <w:r>
        <w:rPr>
          <w:rFonts w:ascii="Arial;sans-serif" w:hAnsi="Arial;sans-serif"/>
          <w:b w:val="false"/>
          <w:i/>
          <w:color w:val="000000"/>
          <w:sz w:val="10"/>
        </w:rPr>
        <w:t>®</w:t>
      </w:r>
      <w:r>
        <w:rPr>
          <w:rFonts w:ascii="Arial;sans-serif" w:hAnsi="Arial;sans-serif"/>
          <w:b w:val="false"/>
          <w:i/>
          <w:color w:val="000000"/>
          <w:sz w:val="16"/>
        </w:rPr>
        <w:t>; Genmab in combination with the Y-shaped Genmab logo</w:t>
      </w:r>
      <w:r>
        <w:rPr>
          <w:rFonts w:ascii="Arial;sans-serif" w:hAnsi="Arial;sans-serif"/>
          <w:b w:val="false"/>
          <w:i/>
          <w:color w:val="000000"/>
          <w:sz w:val="10"/>
        </w:rPr>
        <w:t>®</w:t>
      </w:r>
      <w:r>
        <w:rPr>
          <w:rFonts w:ascii="Arial;sans-serif" w:hAnsi="Arial;sans-serif"/>
          <w:b w:val="false"/>
          <w:i/>
          <w:color w:val="000000"/>
          <w:sz w:val="16"/>
        </w:rPr>
        <w:t>; HuMax</w:t>
      </w:r>
      <w:r>
        <w:rPr>
          <w:rFonts w:ascii="Arial;sans-serif" w:hAnsi="Arial;sans-serif"/>
          <w:b w:val="false"/>
          <w:i/>
          <w:color w:val="000000"/>
          <w:sz w:val="10"/>
        </w:rPr>
        <w:t>®</w:t>
      </w:r>
      <w:r>
        <w:rPr>
          <w:rFonts w:ascii="Arial;sans-serif" w:hAnsi="Arial;sans-serif"/>
          <w:b w:val="false"/>
          <w:i/>
          <w:color w:val="000000"/>
          <w:sz w:val="16"/>
        </w:rPr>
        <w:t>; DuoBody</w:t>
      </w:r>
      <w:r>
        <w:rPr>
          <w:rFonts w:ascii="Arial;sans-serif" w:hAnsi="Arial;sans-serif"/>
          <w:b w:val="false"/>
          <w:i/>
          <w:color w:val="000000"/>
          <w:sz w:val="10"/>
        </w:rPr>
        <w:t>®</w:t>
      </w:r>
      <w:r>
        <w:rPr>
          <w:rFonts w:ascii="Arial;sans-serif" w:hAnsi="Arial;sans-serif"/>
          <w:b w:val="false"/>
          <w:i/>
          <w:color w:val="000000"/>
          <w:sz w:val="16"/>
        </w:rPr>
        <w:t>; HexaBody</w:t>
      </w:r>
      <w:r>
        <w:rPr>
          <w:rFonts w:ascii="Arial;sans-serif" w:hAnsi="Arial;sans-serif"/>
          <w:b w:val="false"/>
          <w:i/>
          <w:color w:val="000000"/>
          <w:sz w:val="10"/>
        </w:rPr>
        <w:t>®</w:t>
      </w:r>
      <w:r>
        <w:rPr>
          <w:rFonts w:ascii="Arial;sans-serif" w:hAnsi="Arial;sans-serif"/>
          <w:b w:val="false"/>
          <w:i/>
          <w:color w:val="000000"/>
          <w:sz w:val="16"/>
        </w:rPr>
        <w:t>; DuoHexaBody</w:t>
      </w:r>
      <w:r>
        <w:rPr>
          <w:rFonts w:ascii="Arial;sans-serif" w:hAnsi="Arial;sans-serif"/>
          <w:b w:val="false"/>
          <w:i/>
          <w:color w:val="000000"/>
          <w:sz w:val="10"/>
        </w:rPr>
        <w:t>®</w:t>
      </w:r>
      <w:r>
        <w:rPr>
          <w:rFonts w:ascii="Arial;sans-serif" w:hAnsi="Arial;sans-serif"/>
          <w:b w:val="false"/>
          <w:i/>
          <w:color w:val="000000"/>
          <w:sz w:val="16"/>
        </w:rPr>
        <w:t>, HexElect</w:t>
      </w:r>
      <w:r>
        <w:rPr>
          <w:rFonts w:ascii="Arial;sans-serif" w:hAnsi="Arial;sans-serif"/>
          <w:b w:val="false"/>
          <w:i/>
          <w:color w:val="000000"/>
          <w:sz w:val="10"/>
        </w:rPr>
        <w:t xml:space="preserve">® </w:t>
      </w:r>
      <w:r>
        <w:rPr>
          <w:rFonts w:ascii="Arial;sans-serif" w:hAnsi="Arial;sans-serif"/>
          <w:b w:val="false"/>
          <w:i/>
          <w:color w:val="000000"/>
          <w:sz w:val="16"/>
        </w:rPr>
        <w:t>and KYSO</w:t>
      </w:r>
      <w:r>
        <w:rPr>
          <w:rFonts w:ascii="Arial;sans-serif" w:hAnsi="Arial;sans-serif"/>
          <w:b w:val="false"/>
          <w:color w:val="000000"/>
          <w:sz w:val="13"/>
        </w:rPr>
        <w:t>®</w:t>
      </w:r>
      <w:r>
        <w:rPr>
          <w:rFonts w:ascii="Arial;sans-serif" w:hAnsi="Arial;sans-serif"/>
          <w:b w:val="false"/>
          <w:i/>
          <w:color w:val="000000"/>
          <w:sz w:val="16"/>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56740"/>
                <wp:effectExtent l="0" t="0" r="0" b="0"/>
                <wp:wrapNone/>
                <wp:docPr id="5" name="Frame4"/>
                <a:graphic xmlns:a="http://schemas.openxmlformats.org/drawingml/2006/main">
                  <a:graphicData uri="http://schemas.microsoft.com/office/word/2010/wordprocessingShape">
                    <wps:wsp>
                      <wps:cNvSpPr txBox="1"/>
                      <wps:spPr>
                        <a:xfrm>
                          <a:off x="0" y="0"/>
                          <a:ext cx="6480175" cy="185674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33</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1/1</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2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33</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1/1</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818</Words>
  <Characters>4742</Characters>
  <CharactersWithSpaces>5526</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