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AUGUST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and 333-284876)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1379220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20" w:type="dxa"/>
            <w:vAlign w:val="bottom"/>
          </w:tcPr>
          <w:p>
            <w:pPr>
              <w:ind w:left="1740"/>
              <w:spacing w:after="0"/>
              <w:rPr>
                <w:sz w:val="20"/>
                <w:szCs w:val="20"/>
                <w:color w:val="auto"/>
              </w:rPr>
            </w:pPr>
            <w:r>
              <w:rPr>
                <w:rFonts w:ascii="Arial" w:cs="Arial" w:eastAsia="Arial" w:hAnsi="Arial"/>
                <w:sz w:val="18"/>
                <w:szCs w:val="18"/>
                <w:b w:val="1"/>
                <w:bCs w:val="1"/>
                <w:color w:val="auto"/>
              </w:rPr>
              <w:t>EXHIBIT INDEX</w:t>
            </w:r>
          </w:p>
        </w:tc>
      </w:tr>
      <w:tr>
        <w:trPr>
          <w:trHeight w:val="690"/>
        </w:trPr>
        <w:tc>
          <w:tcPr>
            <w:tcW w:w="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461"/>
        </w:trPr>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4"/>
                <w:szCs w:val="24"/>
                <w:color w:val="auto"/>
              </w:rPr>
            </w:pPr>
          </w:p>
        </w:tc>
        <w:tc>
          <w:tcPr>
            <w:tcW w:w="10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Interim Report Dated August 07, 2025</w:t>
            </w:r>
          </w:p>
        </w:tc>
      </w:tr>
      <w:tr>
        <w:trPr>
          <w:trHeight w:val="230"/>
        </w:trPr>
        <w:tc>
          <w:tcPr>
            <w:tcW w:w="8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8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8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8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8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8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059"/>
        </w:trPr>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40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Anthony Pagano</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Executive Vice President &amp; Chief Financial Officer</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August 07,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86360</wp:posOffset>
            </wp:positionV>
            <wp:extent cx="173164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Genmab Announces Financial Results for the First Half of 2025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August 7, 2025 Copenhagen, Denmark;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Report for the First Half Ended June 30, 2025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Highlights</w:t>
      </w:r>
    </w:p>
    <w:p>
      <w:pPr>
        <w:ind w:left="660" w:right="460" w:hanging="328"/>
        <w:spacing w:after="0" w:line="206" w:lineRule="auto"/>
        <w:tabs>
          <w:tab w:leader="none" w:pos="6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Epcoritamab advancing to earlier lines of therapy with the submission of a sBLA to the FDA for epcoritamab plus R</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in patients with relapsed or refractory FL</w:t>
      </w:r>
    </w:p>
    <w:p>
      <w:pPr>
        <w:ind w:left="660" w:right="60" w:hanging="328"/>
        <w:spacing w:after="0" w:line="206" w:lineRule="auto"/>
        <w:tabs>
          <w:tab w:leader="none" w:pos="6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Rinatabart sesutecan (Rina-S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continues to progress, demonstrating encouraging antitumor activity in endometrial cancer in data presented at the 2025 ASCO Annual Meeting</w:t>
      </w:r>
    </w:p>
    <w:p>
      <w:pPr>
        <w:ind w:left="660" w:right="760" w:hanging="328"/>
        <w:spacing w:after="0" w:line="234" w:lineRule="auto"/>
        <w:tabs>
          <w:tab w:leader="none" w:pos="6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Data from over 40 abstracts highlighting the depth, breadth and strength of Genmab’s comprehensive epcoritamab development program presented at multiple medical conferences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Genmab revenue increased 19% compared to the first six months of 2024, to $1,640 million</w:t>
      </w:r>
    </w:p>
    <w:p>
      <w:pPr>
        <w:spacing w:after="0" w:line="221" w:lineRule="exact"/>
        <w:rPr>
          <w:sz w:val="20"/>
          <w:szCs w:val="20"/>
          <w:color w:val="auto"/>
        </w:rPr>
      </w:pPr>
    </w:p>
    <w:p>
      <w:pPr>
        <w:ind w:right="300"/>
        <w:spacing w:after="0" w:line="230" w:lineRule="auto"/>
        <w:rPr>
          <w:sz w:val="20"/>
          <w:szCs w:val="20"/>
          <w:color w:val="auto"/>
        </w:rPr>
      </w:pPr>
      <w:r>
        <w:rPr>
          <w:rFonts w:ascii="Arial" w:cs="Arial" w:eastAsia="Arial" w:hAnsi="Arial"/>
          <w:sz w:val="18"/>
          <w:szCs w:val="18"/>
          <w:color w:val="auto"/>
        </w:rPr>
        <w:t>“In the first half of the year we continued to make progress towards our strategic priorities as we strive towards our goal of bringing our innovative therapies to additional patients in need. We further maximized the potential of our commercialized medicines with an additional sBLA submission for EPKINLY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(epcoritamab-bysp) and the launch of Tivdak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(tisotumab vedotin) in Japan. We also accelerated the development of our late-stage pipeline through both encouraging data presentations and, for Rina-S, the announcement of additional planned Phase 3 clinical trials,” said Jan van de Winkel, Ph.D., Chief Executive Officer of Genmab.</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Financial Performance First Half of 2025</w:t>
      </w:r>
    </w:p>
    <w:p>
      <w:pPr>
        <w:spacing w:after="0" w:line="14" w:lineRule="exact"/>
        <w:rPr>
          <w:sz w:val="20"/>
          <w:szCs w:val="20"/>
          <w:color w:val="auto"/>
        </w:rPr>
      </w:pPr>
    </w:p>
    <w:p>
      <w:pPr>
        <w:jc w:val="both"/>
        <w:ind w:left="660" w:right="60" w:hanging="328"/>
        <w:spacing w:after="0" w:line="226"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Revenue was $1,640 million for the first six months of 2025 compared to $1,382 million for the first six months of 2024. The increase of $258 million, or 19%, was primarily driven by higher DARZALEX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Kesimpta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royalties achieved under our collaborations with Johnson &amp; Johnson (J&amp;J) and Novartis Pharma AG (Novartis), respectively, and higher EPKINLY net product sales.</w:t>
      </w:r>
    </w:p>
    <w:p>
      <w:pPr>
        <w:spacing w:after="0" w:line="1" w:lineRule="exact"/>
        <w:rPr>
          <w:rFonts w:ascii="Arial" w:cs="Arial" w:eastAsia="Arial" w:hAnsi="Arial"/>
          <w:sz w:val="17"/>
          <w:szCs w:val="17"/>
          <w:color w:val="auto"/>
        </w:rPr>
      </w:pPr>
    </w:p>
    <w:p>
      <w:pPr>
        <w:ind w:left="660" w:right="50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Royalty revenue was $1,378 million in the first six months of 2025 compared to $1,111 million in the first six months of 2024, an increase of $267 million, or 24%. The increase in royalties was driven by higher net sales of DARZALEX and Kesimpta.</w:t>
      </w:r>
    </w:p>
    <w:p>
      <w:pPr>
        <w:spacing w:after="0" w:line="1" w:lineRule="exact"/>
        <w:rPr>
          <w:rFonts w:ascii="Arial" w:cs="Arial" w:eastAsia="Arial" w:hAnsi="Arial"/>
          <w:sz w:val="18"/>
          <w:szCs w:val="18"/>
          <w:color w:val="auto"/>
        </w:rPr>
      </w:pPr>
    </w:p>
    <w:p>
      <w:pPr>
        <w:ind w:left="660" w:right="80" w:hanging="328"/>
        <w:spacing w:after="0" w:line="21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sales of DARZALEX (daratumumab), including sales of the subcutaneous (SC) product (daratumumab and hyaluronidase-fihj, sold under the tradename DARZALEX FASPRO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U.S.) by J&amp;J were $6,776 million in the first six months of 2025 compared to $5,570 million in the first six months of 2024, an increase of $1,206 million or 22%.</w:t>
      </w:r>
    </w:p>
    <w:p>
      <w:pPr>
        <w:spacing w:after="0" w:line="2" w:lineRule="exact"/>
        <w:rPr>
          <w:rFonts w:ascii="Arial" w:cs="Arial" w:eastAsia="Arial" w:hAnsi="Arial"/>
          <w:sz w:val="18"/>
          <w:szCs w:val="18"/>
          <w:color w:val="auto"/>
        </w:rPr>
      </w:pPr>
    </w:p>
    <w:p>
      <w:pPr>
        <w:ind w:left="660" w:right="180" w:hanging="328"/>
        <w:spacing w:after="0" w:line="23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costs and operating expenses were $1,092 million in the first six months of 2025 compared to $1,030 million in the first six months of 2024. The increase of $62 million, or 6%, was driven by the expansion of our product pipeline, including advancement of Rina-S, the continued development of Genmab’s broader organizational capabilities as well as profit-sharing amounts payable to AbbVie Inc. (AbbVie) related to EPKINLY sales.</w:t>
      </w:r>
    </w:p>
    <w:p>
      <w:pPr>
        <w:spacing w:after="0" w:line="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profit was $548 million in the first six months of 2025 compared to $352 million in the first six months of 2024.</w:t>
      </w:r>
    </w:p>
    <w:p>
      <w:pPr>
        <w:ind w:left="660" w:right="160" w:hanging="328"/>
        <w:spacing w:after="0"/>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financial items resulted in income of $119 million for the first six months of 2025 compared to $204 million in the first six months of 2024. The decrease was primarily due to a decrease in foreign exchange impacts driven by the change in functional currency of Genmab A/S on January 1, 2025, as well as a decrease in interest income for the first six months of 2025 compared to the first six months of 2024 related to average lower cash balances.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Outlook</w:t>
      </w:r>
    </w:p>
    <w:p>
      <w:pPr>
        <w:spacing w:after="0" w:line="27"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Genmab is updating its revenue and operating profit guidance for 2025. The improved guidance is driven by higher total royalty revenues from DARZALEX.</w:t>
      </w:r>
    </w:p>
    <w:p>
      <w:pPr>
        <w:sectPr>
          <w:pgSz w:w="11900" w:h="16838" w:orient="portrait"/>
          <w:cols w:equalWidth="0" w:num="1">
            <w:col w:w="11240"/>
          </w:cols>
          <w:pgMar w:left="320" w:top="1255" w:right="339" w:bottom="56" w:gutter="0" w:footer="0" w:header="0"/>
        </w:sectPr>
      </w:pPr>
    </w:p>
    <w:bookmarkStart w:id="3" w:name="page4"/>
    <w:bookmarkEnd w:id="3"/>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311785</wp:posOffset>
            </wp:positionV>
            <wp:extent cx="17316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ind w:right="4220"/>
        <w:spacing w:after="0" w:line="351" w:lineRule="auto"/>
        <w:rPr>
          <w:sz w:val="20"/>
          <w:szCs w:val="20"/>
          <w:color w:val="auto"/>
        </w:rPr>
      </w:pPr>
      <w:r>
        <w:rPr>
          <w:rFonts w:ascii="Arial" w:cs="Arial" w:eastAsia="Arial" w:hAnsi="Arial"/>
          <w:sz w:val="23"/>
          <w:szCs w:val="23"/>
          <w:b w:val="1"/>
          <w:bCs w:val="1"/>
          <w:color w:val="auto"/>
        </w:rPr>
        <w:t xml:space="preserve">Genmab Announces Financial Results for the First Half of 2025 </w:t>
      </w:r>
      <w:r>
        <w:rPr>
          <w:rFonts w:ascii="Arial" w:cs="Arial" w:eastAsia="Arial" w:hAnsi="Arial"/>
          <w:sz w:val="19"/>
          <w:szCs w:val="19"/>
          <w:b w:val="1"/>
          <w:bCs w:val="1"/>
          <w:color w:val="029C93"/>
        </w:rPr>
        <w:t>2025 FULL YEAR OUTLOOK</w:t>
      </w:r>
    </w:p>
    <w:tbl>
      <w:tblPr>
        <w:tblLayout w:type="fixed"/>
        <w:tblInd w:w="0" w:type="dxa"/>
        <w:tblCellMar>
          <w:top w:w="0" w:type="dxa"/>
          <w:left w:w="0" w:type="dxa"/>
          <w:bottom w:w="0" w:type="dxa"/>
          <w:right w:w="0" w:type="dxa"/>
        </w:tblCellMar>
      </w:tblPr>
      <w:tr>
        <w:trPr>
          <w:trHeight w:val="164"/>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(USD million)</w:t>
            </w:r>
          </w:p>
        </w:tc>
        <w:tc>
          <w:tcPr>
            <w:tcW w:w="1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Revised Guidance</w:t>
            </w:r>
          </w:p>
        </w:tc>
        <w:tc>
          <w:tcPr>
            <w:tcW w:w="13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Revised Mid-</w:t>
            </w:r>
          </w:p>
        </w:tc>
        <w:tc>
          <w:tcPr>
            <w:tcW w:w="18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Previous Guidance</w:t>
            </w:r>
          </w:p>
        </w:tc>
        <w:tc>
          <w:tcPr>
            <w:tcW w:w="14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Guidance Mid-</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gridSpan w:val="2"/>
            <w:vMerge w:val="continue"/>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Point</w:t>
            </w:r>
          </w:p>
        </w:tc>
        <w:tc>
          <w:tcPr>
            <w:tcW w:w="1840" w:type="dxa"/>
            <w:vAlign w:val="bottom"/>
            <w:tcBorders>
              <w:bottom w:val="single" w:sz="8" w:color="auto"/>
            </w:tcBorders>
            <w:gridSpan w:val="2"/>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Point</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3,500</w:t>
            </w:r>
          </w:p>
        </w:tc>
        <w:tc>
          <w:tcPr>
            <w:tcW w:w="1020" w:type="dxa"/>
            <w:vAlign w:val="bottom"/>
          </w:tcPr>
          <w:p>
            <w:pPr>
              <w:ind w:left="40"/>
              <w:spacing w:after="0"/>
              <w:rPr>
                <w:sz w:val="20"/>
                <w:szCs w:val="20"/>
                <w:color w:val="auto"/>
              </w:rPr>
            </w:pPr>
            <w:r>
              <w:rPr>
                <w:rFonts w:ascii="Arial" w:cs="Arial" w:eastAsia="Arial" w:hAnsi="Arial"/>
                <w:sz w:val="18"/>
                <w:szCs w:val="18"/>
                <w:color w:val="auto"/>
              </w:rPr>
              <w:t>- 3,700</w:t>
            </w:r>
          </w:p>
        </w:tc>
        <w:tc>
          <w:tcPr>
            <w:tcW w:w="1340" w:type="dxa"/>
            <w:vAlign w:val="bottom"/>
          </w:tcPr>
          <w:p>
            <w:pPr>
              <w:jc w:val="center"/>
              <w:spacing w:after="0"/>
              <w:rPr>
                <w:sz w:val="20"/>
                <w:szCs w:val="20"/>
                <w:color w:val="auto"/>
              </w:rPr>
            </w:pPr>
            <w:r>
              <w:rPr>
                <w:rFonts w:ascii="Arial" w:cs="Arial" w:eastAsia="Arial" w:hAnsi="Arial"/>
                <w:sz w:val="18"/>
                <w:szCs w:val="18"/>
                <w:color w:val="auto"/>
              </w:rPr>
              <w:t>3,600</w:t>
            </w:r>
          </w:p>
        </w:tc>
        <w:tc>
          <w:tcPr>
            <w:tcW w:w="860" w:type="dxa"/>
            <w:vAlign w:val="bottom"/>
          </w:tcPr>
          <w:p>
            <w:pPr>
              <w:jc w:val="right"/>
              <w:spacing w:after="0"/>
              <w:rPr>
                <w:sz w:val="20"/>
                <w:szCs w:val="20"/>
                <w:color w:val="auto"/>
              </w:rPr>
            </w:pPr>
            <w:r>
              <w:rPr>
                <w:rFonts w:ascii="Arial" w:cs="Arial" w:eastAsia="Arial" w:hAnsi="Arial"/>
                <w:sz w:val="18"/>
                <w:szCs w:val="18"/>
                <w:color w:val="auto"/>
              </w:rPr>
              <w:t>3,340</w:t>
            </w:r>
          </w:p>
        </w:tc>
        <w:tc>
          <w:tcPr>
            <w:tcW w:w="980" w:type="dxa"/>
            <w:vAlign w:val="bottom"/>
          </w:tcPr>
          <w:p>
            <w:pPr>
              <w:ind w:left="20"/>
              <w:spacing w:after="0"/>
              <w:rPr>
                <w:sz w:val="20"/>
                <w:szCs w:val="20"/>
                <w:color w:val="auto"/>
              </w:rPr>
            </w:pPr>
            <w:r>
              <w:rPr>
                <w:rFonts w:ascii="Arial" w:cs="Arial" w:eastAsia="Arial" w:hAnsi="Arial"/>
                <w:sz w:val="18"/>
                <w:szCs w:val="18"/>
                <w:color w:val="auto"/>
              </w:rPr>
              <w:t>- 3,660</w:t>
            </w:r>
          </w:p>
        </w:tc>
        <w:tc>
          <w:tcPr>
            <w:tcW w:w="1420" w:type="dxa"/>
            <w:vAlign w:val="bottom"/>
          </w:tcPr>
          <w:p>
            <w:pPr>
              <w:jc w:val="center"/>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4680" w:type="dxa"/>
            <w:vAlign w:val="bottom"/>
            <w:shd w:val="clear" w:color="auto" w:fill="F2F2F2"/>
          </w:tcPr>
          <w:p>
            <w:pPr>
              <w:ind w:left="120"/>
              <w:spacing w:after="0"/>
              <w:rPr>
                <w:sz w:val="20"/>
                <w:szCs w:val="20"/>
                <w:color w:val="auto"/>
              </w:rPr>
            </w:pPr>
            <w:r>
              <w:rPr>
                <w:rFonts w:ascii="Arial" w:cs="Arial" w:eastAsia="Arial" w:hAnsi="Arial"/>
                <w:sz w:val="18"/>
                <w:szCs w:val="18"/>
                <w:i w:val="1"/>
                <w:iCs w:val="1"/>
                <w:color w:val="auto"/>
              </w:rPr>
              <w:t>Royalties</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2,945</w:t>
            </w:r>
          </w:p>
        </w:tc>
        <w:tc>
          <w:tcPr>
            <w:tcW w:w="1020" w:type="dxa"/>
            <w:vAlign w:val="bottom"/>
            <w:shd w:val="clear" w:color="auto" w:fill="F2F2F2"/>
          </w:tcPr>
          <w:p>
            <w:pPr>
              <w:ind w:left="40"/>
              <w:spacing w:after="0"/>
              <w:rPr>
                <w:sz w:val="20"/>
                <w:szCs w:val="20"/>
                <w:color w:val="auto"/>
              </w:rPr>
            </w:pPr>
            <w:r>
              <w:rPr>
                <w:rFonts w:ascii="Arial" w:cs="Arial" w:eastAsia="Arial" w:hAnsi="Arial"/>
                <w:sz w:val="18"/>
                <w:szCs w:val="18"/>
                <w:i w:val="1"/>
                <w:iCs w:val="1"/>
                <w:color w:val="auto"/>
              </w:rPr>
              <w:t>- 3,090</w:t>
            </w:r>
          </w:p>
        </w:tc>
        <w:tc>
          <w:tcPr>
            <w:tcW w:w="134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rPr>
              <w:t>3,017</w:t>
            </w:r>
          </w:p>
        </w:tc>
        <w:tc>
          <w:tcPr>
            <w:tcW w:w="86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2,785</w:t>
            </w:r>
          </w:p>
        </w:tc>
        <w:tc>
          <w:tcPr>
            <w:tcW w:w="98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- 3,015</w:t>
            </w:r>
          </w:p>
        </w:tc>
        <w:tc>
          <w:tcPr>
            <w:tcW w:w="142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rPr>
              <w:t>2,900</w:t>
            </w:r>
          </w:p>
        </w:tc>
        <w:tc>
          <w:tcPr>
            <w:tcW w:w="0" w:type="dxa"/>
            <w:vAlign w:val="bottom"/>
          </w:tcPr>
          <w:p>
            <w:pPr>
              <w:spacing w:after="0"/>
              <w:rPr>
                <w:sz w:val="1"/>
                <w:szCs w:val="1"/>
                <w:color w:val="auto"/>
              </w:rPr>
            </w:pPr>
          </w:p>
        </w:tc>
      </w:tr>
      <w:tr>
        <w:trPr>
          <w:trHeight w:val="229"/>
        </w:trPr>
        <w:tc>
          <w:tcPr>
            <w:tcW w:w="4680" w:type="dxa"/>
            <w:vAlign w:val="bottom"/>
            <w:shd w:val="clear" w:color="auto" w:fill="F2F2F2"/>
          </w:tcPr>
          <w:p>
            <w:pPr>
              <w:ind w:left="120"/>
              <w:spacing w:after="0"/>
              <w:rPr>
                <w:sz w:val="20"/>
                <w:szCs w:val="20"/>
                <w:color w:val="auto"/>
              </w:rPr>
            </w:pPr>
            <w:r>
              <w:rPr>
                <w:rFonts w:ascii="Arial" w:cs="Arial" w:eastAsia="Arial" w:hAnsi="Arial"/>
                <w:sz w:val="18"/>
                <w:szCs w:val="18"/>
                <w:i w:val="1"/>
                <w:iCs w:val="1"/>
                <w:color w:val="auto"/>
              </w:rPr>
              <w:t>Net product sales/Collaboration revenue*</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425</w:t>
            </w:r>
          </w:p>
        </w:tc>
        <w:tc>
          <w:tcPr>
            <w:tcW w:w="1020" w:type="dxa"/>
            <w:vAlign w:val="bottom"/>
            <w:shd w:val="clear" w:color="auto" w:fill="F2F2F2"/>
          </w:tcPr>
          <w:p>
            <w:pPr>
              <w:ind w:left="40"/>
              <w:spacing w:after="0"/>
              <w:rPr>
                <w:sz w:val="20"/>
                <w:szCs w:val="20"/>
                <w:color w:val="auto"/>
              </w:rPr>
            </w:pPr>
            <w:r>
              <w:rPr>
                <w:rFonts w:ascii="Arial" w:cs="Arial" w:eastAsia="Arial" w:hAnsi="Arial"/>
                <w:sz w:val="18"/>
                <w:szCs w:val="18"/>
                <w:i w:val="1"/>
                <w:iCs w:val="1"/>
                <w:color w:val="auto"/>
              </w:rPr>
              <w:t>- 465</w:t>
            </w:r>
          </w:p>
        </w:tc>
        <w:tc>
          <w:tcPr>
            <w:tcW w:w="134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w w:val="99"/>
              </w:rPr>
              <w:t>445</w:t>
            </w:r>
          </w:p>
        </w:tc>
        <w:tc>
          <w:tcPr>
            <w:tcW w:w="86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415</w:t>
            </w:r>
          </w:p>
        </w:tc>
        <w:tc>
          <w:tcPr>
            <w:tcW w:w="98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- 460</w:t>
            </w:r>
          </w:p>
        </w:tc>
        <w:tc>
          <w:tcPr>
            <w:tcW w:w="142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w w:val="99"/>
              </w:rPr>
              <w:t>438</w:t>
            </w:r>
          </w:p>
        </w:tc>
        <w:tc>
          <w:tcPr>
            <w:tcW w:w="0" w:type="dxa"/>
            <w:vAlign w:val="bottom"/>
          </w:tcPr>
          <w:p>
            <w:pPr>
              <w:spacing w:after="0"/>
              <w:rPr>
                <w:sz w:val="1"/>
                <w:szCs w:val="1"/>
                <w:color w:val="auto"/>
              </w:rPr>
            </w:pPr>
          </w:p>
        </w:tc>
      </w:tr>
      <w:tr>
        <w:trPr>
          <w:trHeight w:val="229"/>
        </w:trPr>
        <w:tc>
          <w:tcPr>
            <w:tcW w:w="4680" w:type="dxa"/>
            <w:vAlign w:val="bottom"/>
            <w:shd w:val="clear" w:color="auto" w:fill="F2F2F2"/>
          </w:tcPr>
          <w:p>
            <w:pPr>
              <w:ind w:left="120"/>
              <w:spacing w:after="0"/>
              <w:rPr>
                <w:sz w:val="20"/>
                <w:szCs w:val="20"/>
                <w:color w:val="auto"/>
              </w:rPr>
            </w:pPr>
            <w:r>
              <w:rPr>
                <w:rFonts w:ascii="Arial" w:cs="Arial" w:eastAsia="Arial" w:hAnsi="Arial"/>
                <w:sz w:val="18"/>
                <w:szCs w:val="18"/>
                <w:i w:val="1"/>
                <w:iCs w:val="1"/>
                <w:color w:val="auto"/>
              </w:rPr>
              <w:t>Milestones/Reimbursement revenue</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130</w:t>
            </w:r>
          </w:p>
        </w:tc>
        <w:tc>
          <w:tcPr>
            <w:tcW w:w="1020" w:type="dxa"/>
            <w:vAlign w:val="bottom"/>
            <w:shd w:val="clear" w:color="auto" w:fill="F2F2F2"/>
          </w:tcPr>
          <w:p>
            <w:pPr>
              <w:ind w:left="40"/>
              <w:spacing w:after="0"/>
              <w:rPr>
                <w:sz w:val="20"/>
                <w:szCs w:val="20"/>
                <w:color w:val="auto"/>
              </w:rPr>
            </w:pPr>
            <w:r>
              <w:rPr>
                <w:rFonts w:ascii="Arial" w:cs="Arial" w:eastAsia="Arial" w:hAnsi="Arial"/>
                <w:sz w:val="18"/>
                <w:szCs w:val="18"/>
                <w:i w:val="1"/>
                <w:iCs w:val="1"/>
                <w:color w:val="auto"/>
              </w:rPr>
              <w:t>- 145</w:t>
            </w:r>
          </w:p>
        </w:tc>
        <w:tc>
          <w:tcPr>
            <w:tcW w:w="134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w w:val="99"/>
              </w:rPr>
              <w:t>138</w:t>
            </w:r>
          </w:p>
        </w:tc>
        <w:tc>
          <w:tcPr>
            <w:tcW w:w="86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140</w:t>
            </w:r>
          </w:p>
        </w:tc>
        <w:tc>
          <w:tcPr>
            <w:tcW w:w="98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- 185</w:t>
            </w:r>
          </w:p>
        </w:tc>
        <w:tc>
          <w:tcPr>
            <w:tcW w:w="142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w w:val="99"/>
              </w:rPr>
              <w:t>162</w:t>
            </w:r>
          </w:p>
        </w:tc>
        <w:tc>
          <w:tcPr>
            <w:tcW w:w="0" w:type="dxa"/>
            <w:vAlign w:val="bottom"/>
          </w:tcPr>
          <w:p>
            <w:pPr>
              <w:spacing w:after="0"/>
              <w:rPr>
                <w:sz w:val="1"/>
                <w:szCs w:val="1"/>
                <w:color w:val="auto"/>
              </w:rPr>
            </w:pPr>
          </w:p>
        </w:tc>
      </w:tr>
      <w:tr>
        <w:trPr>
          <w:trHeight w:val="224"/>
        </w:trPr>
        <w:tc>
          <w:tcPr>
            <w:tcW w:w="4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tcPr>
          <w:p>
            <w:pPr>
              <w:jc w:val="right"/>
              <w:spacing w:after="0"/>
              <w:rPr>
                <w:sz w:val="20"/>
                <w:szCs w:val="20"/>
                <w:color w:val="auto"/>
              </w:rPr>
            </w:pPr>
            <w:r>
              <w:rPr>
                <w:rFonts w:ascii="Arial" w:cs="Arial" w:eastAsia="Arial" w:hAnsi="Arial"/>
                <w:sz w:val="18"/>
                <w:szCs w:val="18"/>
                <w:color w:val="auto"/>
              </w:rPr>
              <w:t>3,280</w:t>
            </w:r>
          </w:p>
        </w:tc>
        <w:tc>
          <w:tcPr>
            <w:tcW w:w="1020" w:type="dxa"/>
            <w:vAlign w:val="bottom"/>
          </w:tcPr>
          <w:p>
            <w:pPr>
              <w:ind w:left="40"/>
              <w:spacing w:after="0"/>
              <w:rPr>
                <w:sz w:val="20"/>
                <w:szCs w:val="20"/>
                <w:color w:val="auto"/>
              </w:rPr>
            </w:pPr>
            <w:r>
              <w:rPr>
                <w:rFonts w:ascii="Arial" w:cs="Arial" w:eastAsia="Arial" w:hAnsi="Arial"/>
                <w:sz w:val="18"/>
                <w:szCs w:val="18"/>
                <w:color w:val="auto"/>
              </w:rPr>
              <w:t>- 3,460</w:t>
            </w:r>
          </w:p>
        </w:tc>
        <w:tc>
          <w:tcPr>
            <w:tcW w:w="1340" w:type="dxa"/>
            <w:vAlign w:val="bottom"/>
          </w:tcPr>
          <w:p>
            <w:pPr>
              <w:jc w:val="center"/>
              <w:spacing w:after="0"/>
              <w:rPr>
                <w:sz w:val="20"/>
                <w:szCs w:val="20"/>
                <w:color w:val="auto"/>
              </w:rPr>
            </w:pPr>
            <w:r>
              <w:rPr>
                <w:rFonts w:ascii="Arial" w:cs="Arial" w:eastAsia="Arial" w:hAnsi="Arial"/>
                <w:sz w:val="18"/>
                <w:szCs w:val="18"/>
                <w:color w:val="auto"/>
              </w:rPr>
              <w:t>3,370</w:t>
            </w:r>
          </w:p>
        </w:tc>
        <w:tc>
          <w:tcPr>
            <w:tcW w:w="860" w:type="dxa"/>
            <w:vAlign w:val="bottom"/>
          </w:tcPr>
          <w:p>
            <w:pPr>
              <w:jc w:val="right"/>
              <w:spacing w:after="0"/>
              <w:rPr>
                <w:sz w:val="20"/>
                <w:szCs w:val="20"/>
                <w:color w:val="auto"/>
              </w:rPr>
            </w:pPr>
            <w:r>
              <w:rPr>
                <w:rFonts w:ascii="Arial" w:cs="Arial" w:eastAsia="Arial" w:hAnsi="Arial"/>
                <w:sz w:val="18"/>
                <w:szCs w:val="18"/>
                <w:color w:val="auto"/>
              </w:rPr>
              <w:t>3,120</w:t>
            </w:r>
          </w:p>
        </w:tc>
        <w:tc>
          <w:tcPr>
            <w:tcW w:w="980" w:type="dxa"/>
            <w:vAlign w:val="bottom"/>
          </w:tcPr>
          <w:p>
            <w:pPr>
              <w:ind w:left="20"/>
              <w:spacing w:after="0"/>
              <w:rPr>
                <w:sz w:val="20"/>
                <w:szCs w:val="20"/>
                <w:color w:val="auto"/>
              </w:rPr>
            </w:pPr>
            <w:r>
              <w:rPr>
                <w:rFonts w:ascii="Arial" w:cs="Arial" w:eastAsia="Arial" w:hAnsi="Arial"/>
                <w:sz w:val="18"/>
                <w:szCs w:val="18"/>
                <w:color w:val="auto"/>
              </w:rPr>
              <w:t>- 3,420</w:t>
            </w:r>
          </w:p>
        </w:tc>
        <w:tc>
          <w:tcPr>
            <w:tcW w:w="1420" w:type="dxa"/>
            <w:vAlign w:val="bottom"/>
          </w:tcPr>
          <w:p>
            <w:pPr>
              <w:jc w:val="center"/>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(2,055)</w:t>
            </w:r>
          </w:p>
        </w:tc>
        <w:tc>
          <w:tcPr>
            <w:tcW w:w="1020" w:type="dxa"/>
            <w:vAlign w:val="bottom"/>
          </w:tcPr>
          <w:p>
            <w:pPr>
              <w:ind w:left="40"/>
              <w:spacing w:after="0"/>
              <w:rPr>
                <w:sz w:val="20"/>
                <w:szCs w:val="20"/>
                <w:color w:val="auto"/>
              </w:rPr>
            </w:pPr>
            <w:r>
              <w:rPr>
                <w:rFonts w:ascii="Arial" w:cs="Arial" w:eastAsia="Arial" w:hAnsi="Arial"/>
                <w:sz w:val="18"/>
                <w:szCs w:val="18"/>
                <w:color w:val="auto"/>
              </w:rPr>
              <w:t>- (2,225)</w:t>
            </w:r>
          </w:p>
        </w:tc>
        <w:tc>
          <w:tcPr>
            <w:tcW w:w="1340" w:type="dxa"/>
            <w:vAlign w:val="bottom"/>
          </w:tcPr>
          <w:p>
            <w:pPr>
              <w:jc w:val="center"/>
              <w:spacing w:after="0"/>
              <w:rPr>
                <w:sz w:val="20"/>
                <w:szCs w:val="20"/>
                <w:color w:val="auto"/>
              </w:rPr>
            </w:pPr>
            <w:r>
              <w:rPr>
                <w:rFonts w:ascii="Arial" w:cs="Arial" w:eastAsia="Arial" w:hAnsi="Arial"/>
                <w:sz w:val="18"/>
                <w:szCs w:val="18"/>
                <w:color w:val="auto"/>
              </w:rPr>
              <w:t>(2,140)</w:t>
            </w:r>
          </w:p>
        </w:tc>
        <w:tc>
          <w:tcPr>
            <w:tcW w:w="860" w:type="dxa"/>
            <w:vAlign w:val="bottom"/>
          </w:tcPr>
          <w:p>
            <w:pPr>
              <w:jc w:val="right"/>
              <w:spacing w:after="0"/>
              <w:rPr>
                <w:sz w:val="20"/>
                <w:szCs w:val="20"/>
                <w:color w:val="auto"/>
              </w:rPr>
            </w:pPr>
            <w:r>
              <w:rPr>
                <w:rFonts w:ascii="Arial" w:cs="Arial" w:eastAsia="Arial" w:hAnsi="Arial"/>
                <w:sz w:val="18"/>
                <w:szCs w:val="18"/>
                <w:color w:val="auto"/>
              </w:rPr>
              <w:t>(2,055)</w:t>
            </w:r>
          </w:p>
        </w:tc>
        <w:tc>
          <w:tcPr>
            <w:tcW w:w="980" w:type="dxa"/>
            <w:vAlign w:val="bottom"/>
          </w:tcPr>
          <w:p>
            <w:pPr>
              <w:ind w:left="20"/>
              <w:spacing w:after="0"/>
              <w:rPr>
                <w:sz w:val="20"/>
                <w:szCs w:val="20"/>
                <w:color w:val="auto"/>
              </w:rPr>
            </w:pPr>
            <w:r>
              <w:rPr>
                <w:rFonts w:ascii="Arial" w:cs="Arial" w:eastAsia="Arial" w:hAnsi="Arial"/>
                <w:sz w:val="18"/>
                <w:szCs w:val="18"/>
                <w:color w:val="auto"/>
              </w:rPr>
              <w:t>- (2,225)</w:t>
            </w:r>
          </w:p>
        </w:tc>
        <w:tc>
          <w:tcPr>
            <w:tcW w:w="1420" w:type="dxa"/>
            <w:vAlign w:val="bottom"/>
          </w:tcPr>
          <w:p>
            <w:pPr>
              <w:jc w:val="center"/>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900" w:type="dxa"/>
            <w:vAlign w:val="bottom"/>
          </w:tcPr>
          <w:p>
            <w:pPr>
              <w:jc w:val="right"/>
              <w:spacing w:after="0"/>
              <w:rPr>
                <w:sz w:val="20"/>
                <w:szCs w:val="20"/>
                <w:color w:val="auto"/>
              </w:rPr>
            </w:pPr>
            <w:r>
              <w:rPr>
                <w:rFonts w:ascii="Arial" w:cs="Arial" w:eastAsia="Arial" w:hAnsi="Arial"/>
                <w:sz w:val="18"/>
                <w:szCs w:val="18"/>
                <w:color w:val="auto"/>
              </w:rPr>
              <w:t>1,055</w:t>
            </w:r>
          </w:p>
        </w:tc>
        <w:tc>
          <w:tcPr>
            <w:tcW w:w="1020" w:type="dxa"/>
            <w:vAlign w:val="bottom"/>
          </w:tcPr>
          <w:p>
            <w:pPr>
              <w:ind w:left="40"/>
              <w:spacing w:after="0"/>
              <w:rPr>
                <w:sz w:val="20"/>
                <w:szCs w:val="20"/>
                <w:color w:val="auto"/>
              </w:rPr>
            </w:pPr>
            <w:r>
              <w:rPr>
                <w:rFonts w:ascii="Arial" w:cs="Arial" w:eastAsia="Arial" w:hAnsi="Arial"/>
                <w:sz w:val="18"/>
                <w:szCs w:val="18"/>
                <w:color w:val="auto"/>
              </w:rPr>
              <w:t>- 1,405</w:t>
            </w:r>
          </w:p>
        </w:tc>
        <w:tc>
          <w:tcPr>
            <w:tcW w:w="1340" w:type="dxa"/>
            <w:vAlign w:val="bottom"/>
          </w:tcPr>
          <w:p>
            <w:pPr>
              <w:jc w:val="center"/>
              <w:spacing w:after="0"/>
              <w:rPr>
                <w:sz w:val="20"/>
                <w:szCs w:val="20"/>
                <w:color w:val="auto"/>
              </w:rPr>
            </w:pPr>
            <w:r>
              <w:rPr>
                <w:rFonts w:ascii="Arial" w:cs="Arial" w:eastAsia="Arial" w:hAnsi="Arial"/>
                <w:sz w:val="18"/>
                <w:szCs w:val="18"/>
                <w:color w:val="auto"/>
              </w:rPr>
              <w:t>1,230</w:t>
            </w:r>
          </w:p>
        </w:tc>
        <w:tc>
          <w:tcPr>
            <w:tcW w:w="1840" w:type="dxa"/>
            <w:vAlign w:val="bottom"/>
            <w:gridSpan w:val="2"/>
          </w:tcPr>
          <w:p>
            <w:pPr>
              <w:jc w:val="right"/>
              <w:ind w:right="370"/>
              <w:spacing w:after="0"/>
              <w:rPr>
                <w:sz w:val="20"/>
                <w:szCs w:val="20"/>
                <w:color w:val="auto"/>
              </w:rPr>
            </w:pPr>
            <w:r>
              <w:rPr>
                <w:rFonts w:ascii="Arial" w:cs="Arial" w:eastAsia="Arial" w:hAnsi="Arial"/>
                <w:sz w:val="18"/>
                <w:szCs w:val="18"/>
                <w:color w:val="auto"/>
              </w:rPr>
              <w:t>895 - 1,365</w:t>
            </w:r>
          </w:p>
        </w:tc>
        <w:tc>
          <w:tcPr>
            <w:tcW w:w="1420" w:type="dxa"/>
            <w:vAlign w:val="bottom"/>
          </w:tcPr>
          <w:p>
            <w:pPr>
              <w:jc w:val="center"/>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0" w:right="220" w:hanging="80"/>
        <w:spacing w:after="0" w:line="270" w:lineRule="auto"/>
        <w:rPr>
          <w:sz w:val="20"/>
          <w:szCs w:val="20"/>
          <w:color w:val="auto"/>
        </w:rPr>
      </w:pPr>
      <w:r>
        <w:rPr>
          <w:rFonts w:ascii="Arial" w:cs="Arial" w:eastAsia="Arial" w:hAnsi="Arial"/>
          <w:sz w:val="14"/>
          <w:szCs w:val="14"/>
          <w:i w:val="1"/>
          <w:iCs w:val="1"/>
          <w:color w:val="auto"/>
        </w:rPr>
        <w:t>*Net Product Sales and Collaboration Revenue consists of EPKINLY Net Product Sales in the U.S. and Japan and Tivdak (Genmab’s share of net profits) in the U.S. and Net Product Sales in Japan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Operating Expenses Range excludes Cost of Product Sales Range, which is included in Gross Profit Range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Other Matters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Both the functional currency of the Genmab A/S legal entity and the presentation currency of the condensed consolidated financials statements have been changed from DKK to USD effective January 1, 2025. The change in functional currency has been implemented with prospective effect. The change in presentation currency has been implemented with retrospective effect. Comparative figures for prior periods have been restated accordingly.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Conference Call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Genmab will hold a conference call to discuss the results for the first half of 2025 today, Thursday, August 7, at 6:00 pm CEST, 5:00 pm BST or 12:00 pm EDT. To join the call please use the below registration link. Registered participants will receive an email with a link to access dial-in information as well as a unique personal PIN: </w:t>
      </w:r>
      <w:r>
        <w:rPr>
          <w:rFonts w:ascii="Arial" w:cs="Arial" w:eastAsia="Arial" w:hAnsi="Arial"/>
          <w:sz w:val="18"/>
          <w:szCs w:val="18"/>
          <w:color w:val="029C93"/>
        </w:rPr>
        <w:t>https://register-conf.media-server.com/register/BI28443f2e11ba47dba51e3a14d0c7a98f</w:t>
      </w:r>
      <w:r>
        <w:rPr>
          <w:rFonts w:ascii="Arial" w:cs="Arial" w:eastAsia="Arial" w:hAnsi="Arial"/>
          <w:sz w:val="18"/>
          <w:szCs w:val="18"/>
          <w:color w:val="auto"/>
        </w:rPr>
        <w:t xml:space="preserve">. A live and archived webcast of the call and relevant slides will be available at </w:t>
      </w:r>
      <w:r>
        <w:rPr>
          <w:rFonts w:ascii="Arial" w:cs="Arial" w:eastAsia="Arial" w:hAnsi="Arial"/>
          <w:sz w:val="18"/>
          <w:szCs w:val="18"/>
          <w:color w:val="029C93"/>
        </w:rPr>
        <w:t>www.genmab.com/investor-relations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Contact</w:t>
      </w:r>
    </w:p>
    <w:p>
      <w:pPr>
        <w:spacing w:after="0" w:line="14" w:lineRule="exact"/>
        <w:rPr>
          <w:sz w:val="20"/>
          <w:szCs w:val="20"/>
          <w:color w:val="auto"/>
        </w:rPr>
      </w:pPr>
    </w:p>
    <w:p>
      <w:pPr>
        <w:ind w:right="4700"/>
        <w:spacing w:after="0" w:line="250"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color w:val="029C93"/>
        </w:rPr>
        <w:t>mmp@genmab.com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color w:val="029C93"/>
        </w:rPr>
        <w:t>acn@genmab.com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*sBLA = supplemental Biologics License Application, FDA = U.S. Food and Drug Administration, R</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rituximab and lenalidomide, FL = follicular lymphoma, ASCO = American Society of Clinical Oncology</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29C93"/>
        </w:rPr>
        <w:t>CONTENTS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29C93"/>
        </w:rPr>
        <w:t>MANAGEMENT’S REVIEW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40" w:type="dxa"/>
            <w:vAlign w:val="bottom"/>
          </w:tcPr>
          <w:p>
            <w:pPr>
              <w:ind w:left="20"/>
              <w:spacing w:after="0"/>
              <w:rPr>
                <w:sz w:val="20"/>
                <w:szCs w:val="20"/>
                <w:color w:val="auto"/>
              </w:rPr>
            </w:pPr>
            <w:r>
              <w:rPr>
                <w:rFonts w:ascii="Arial" w:cs="Arial" w:eastAsia="Arial" w:hAnsi="Arial"/>
                <w:sz w:val="18"/>
                <w:szCs w:val="18"/>
                <w:b w:val="1"/>
                <w:bCs w:val="1"/>
                <w:color w:val="029C93"/>
              </w:rPr>
              <w:t>CONSOLIDATED KEY FIGURES</w:t>
            </w:r>
          </w:p>
        </w:tc>
        <w:tc>
          <w:tcPr>
            <w:tcW w:w="4080" w:type="dxa"/>
            <w:vAlign w:val="bottom"/>
          </w:tcPr>
          <w:p>
            <w:pPr>
              <w:spacing w:after="0"/>
              <w:rPr>
                <w:sz w:val="21"/>
                <w:szCs w:val="21"/>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3740" w:type="dxa"/>
            <w:vAlign w:val="bottom"/>
          </w:tcPr>
          <w:p>
            <w:pPr>
              <w:ind w:left="20"/>
              <w:spacing w:after="0"/>
              <w:rPr>
                <w:sz w:val="20"/>
                <w:szCs w:val="20"/>
                <w:color w:val="auto"/>
              </w:rPr>
            </w:pPr>
            <w:r>
              <w:rPr>
                <w:rFonts w:ascii="Arial" w:cs="Arial" w:eastAsia="Arial" w:hAnsi="Arial"/>
                <w:sz w:val="18"/>
                <w:szCs w:val="18"/>
                <w:b w:val="1"/>
                <w:bCs w:val="1"/>
                <w:color w:val="029C93"/>
              </w:rPr>
              <w:t>OUTLOOK</w:t>
            </w:r>
          </w:p>
        </w:tc>
        <w:tc>
          <w:tcPr>
            <w:tcW w:w="408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7820" w:type="dxa"/>
            <w:vAlign w:val="bottom"/>
            <w:gridSpan w:val="2"/>
          </w:tcPr>
          <w:p>
            <w:pPr>
              <w:ind w:left="20"/>
              <w:spacing w:after="0"/>
              <w:rPr>
                <w:sz w:val="20"/>
                <w:szCs w:val="20"/>
                <w:color w:val="auto"/>
              </w:rPr>
            </w:pPr>
            <w:r>
              <w:rPr>
                <w:rFonts w:ascii="Arial" w:cs="Arial" w:eastAsia="Arial" w:hAnsi="Arial"/>
                <w:sz w:val="18"/>
                <w:szCs w:val="18"/>
                <w:b w:val="1"/>
                <w:bCs w:val="1"/>
                <w:color w:val="029C93"/>
              </w:rPr>
              <w:t>PRODUCT PIPELINE AND TECHNOLOGY PROGRESS FIRST HALF OF 2025</w:t>
            </w:r>
          </w:p>
        </w:tc>
        <w:tc>
          <w:tcPr>
            <w:tcW w:w="3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3740" w:type="dxa"/>
            <w:vAlign w:val="bottom"/>
          </w:tcPr>
          <w:p>
            <w:pPr>
              <w:ind w:left="20"/>
              <w:spacing w:after="0"/>
              <w:rPr>
                <w:sz w:val="20"/>
                <w:szCs w:val="20"/>
                <w:color w:val="auto"/>
              </w:rPr>
            </w:pPr>
            <w:r>
              <w:rPr>
                <w:rFonts w:ascii="Arial" w:cs="Arial" w:eastAsia="Arial" w:hAnsi="Arial"/>
                <w:sz w:val="18"/>
                <w:szCs w:val="18"/>
                <w:b w:val="1"/>
                <w:bCs w:val="1"/>
                <w:color w:val="029C93"/>
                <w:w w:val="99"/>
              </w:rPr>
              <w:t>SIGNIFICANT RISKS AND UNCERTAINTIES</w:t>
            </w:r>
          </w:p>
        </w:tc>
        <w:tc>
          <w:tcPr>
            <w:tcW w:w="408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3740" w:type="dxa"/>
            <w:vAlign w:val="bottom"/>
          </w:tcPr>
          <w:p>
            <w:pPr>
              <w:ind w:left="20"/>
              <w:spacing w:after="0"/>
              <w:rPr>
                <w:sz w:val="20"/>
                <w:szCs w:val="20"/>
                <w:color w:val="auto"/>
              </w:rPr>
            </w:pPr>
            <w:r>
              <w:rPr>
                <w:rFonts w:ascii="Arial" w:cs="Arial" w:eastAsia="Arial" w:hAnsi="Arial"/>
                <w:sz w:val="18"/>
                <w:szCs w:val="18"/>
                <w:b w:val="1"/>
                <w:bCs w:val="1"/>
                <w:color w:val="029C93"/>
              </w:rPr>
              <w:t>FINANCIAL REVIEW</w:t>
            </w:r>
          </w:p>
        </w:tc>
        <w:tc>
          <w:tcPr>
            <w:tcW w:w="408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7820" w:type="dxa"/>
            <w:vAlign w:val="bottom"/>
            <w:gridSpan w:val="2"/>
          </w:tcPr>
          <w:p>
            <w:pPr>
              <w:ind w:left="20"/>
              <w:spacing w:after="0"/>
              <w:rPr>
                <w:sz w:val="20"/>
                <w:szCs w:val="20"/>
                <w:color w:val="auto"/>
              </w:rPr>
            </w:pPr>
            <w:r>
              <w:rPr>
                <w:rFonts w:ascii="Arial" w:cs="Arial" w:eastAsia="Arial" w:hAnsi="Arial"/>
                <w:sz w:val="18"/>
                <w:szCs w:val="18"/>
                <w:b w:val="1"/>
                <w:bCs w:val="1"/>
                <w:color w:val="029C93"/>
              </w:rPr>
              <w:t>CONDENSED CONSOLIDATED FINANCIAL STATEMENTS</w:t>
            </w:r>
          </w:p>
        </w:tc>
        <w:tc>
          <w:tcPr>
            <w:tcW w:w="34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7820" w:type="dxa"/>
            <w:vAlign w:val="bottom"/>
            <w:gridSpan w:val="2"/>
          </w:tcPr>
          <w:p>
            <w:pPr>
              <w:ind w:left="20"/>
              <w:spacing w:after="0"/>
              <w:rPr>
                <w:sz w:val="20"/>
                <w:szCs w:val="20"/>
                <w:color w:val="auto"/>
              </w:rPr>
            </w:pPr>
            <w:r>
              <w:rPr>
                <w:rFonts w:ascii="Arial" w:cs="Arial" w:eastAsia="Arial" w:hAnsi="Arial"/>
                <w:sz w:val="18"/>
                <w:szCs w:val="18"/>
                <w:b w:val="1"/>
                <w:bCs w:val="1"/>
                <w:color w:val="029C93"/>
              </w:rPr>
              <w:t>NOTES TO THE CONDENSED CONSOLIDATED FINANCIAL STATEMENTS</w:t>
            </w:r>
          </w:p>
        </w:tc>
        <w:tc>
          <w:tcPr>
            <w:tcW w:w="34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3740" w:type="dxa"/>
            <w:vAlign w:val="bottom"/>
          </w:tcPr>
          <w:p>
            <w:pPr>
              <w:ind w:left="20"/>
              <w:spacing w:after="0"/>
              <w:rPr>
                <w:sz w:val="20"/>
                <w:szCs w:val="20"/>
                <w:color w:val="auto"/>
              </w:rPr>
            </w:pPr>
            <w:r>
              <w:rPr>
                <w:rFonts w:ascii="Arial" w:cs="Arial" w:eastAsia="Arial" w:hAnsi="Arial"/>
                <w:sz w:val="18"/>
                <w:szCs w:val="18"/>
                <w:b w:val="1"/>
                <w:bCs w:val="1"/>
                <w:color w:val="029C93"/>
              </w:rPr>
              <w:t>ABOUT GENMAB</w:t>
            </w:r>
          </w:p>
        </w:tc>
        <w:tc>
          <w:tcPr>
            <w:tcW w:w="408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7820" w:type="dxa"/>
            <w:vAlign w:val="bottom"/>
            <w:gridSpan w:val="2"/>
          </w:tcPr>
          <w:p>
            <w:pPr>
              <w:ind w:left="20"/>
              <w:spacing w:after="0"/>
              <w:rPr>
                <w:sz w:val="20"/>
                <w:szCs w:val="20"/>
                <w:color w:val="auto"/>
              </w:rPr>
            </w:pPr>
            <w:r>
              <w:rPr>
                <w:rFonts w:ascii="Arial" w:cs="Arial" w:eastAsia="Arial" w:hAnsi="Arial"/>
                <w:sz w:val="18"/>
                <w:szCs w:val="18"/>
                <w:b w:val="1"/>
                <w:bCs w:val="1"/>
                <w:color w:val="029C93"/>
              </w:rPr>
              <w:t>DIRECTORS’ AND MANAGEMENT’S STATEMENT ON THE INTERIM REPORT</w:t>
            </w:r>
          </w:p>
        </w:tc>
        <w:tc>
          <w:tcPr>
            <w:tcW w:w="3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744"/>
        </w:trPr>
        <w:tc>
          <w:tcPr>
            <w:tcW w:w="374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080" w:type="dxa"/>
            <w:vAlign w:val="bottom"/>
          </w:tcPr>
          <w:p>
            <w:pPr>
              <w:ind w:left="20"/>
              <w:spacing w:after="0"/>
              <w:rPr>
                <w:sz w:val="20"/>
                <w:szCs w:val="20"/>
                <w:color w:val="auto"/>
              </w:rPr>
            </w:pPr>
            <w:r>
              <w:rPr>
                <w:rFonts w:ascii="Arial" w:cs="Arial" w:eastAsia="Arial" w:hAnsi="Arial"/>
                <w:sz w:val="14"/>
                <w:szCs w:val="14"/>
                <w:color w:val="auto"/>
              </w:rPr>
              <w:t>Tel: +45 7020 2728</w:t>
            </w:r>
          </w:p>
        </w:tc>
        <w:tc>
          <w:tcPr>
            <w:tcW w:w="3420" w:type="dxa"/>
            <w:vAlign w:val="bottom"/>
          </w:tcPr>
          <w:p>
            <w:pPr>
              <w:jc w:val="right"/>
              <w:ind w:right="15"/>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080" w:type="dxa"/>
            <w:vAlign w:val="bottom"/>
          </w:tcPr>
          <w:p>
            <w:pPr>
              <w:ind w:left="20"/>
              <w:spacing w:after="0"/>
              <w:rPr>
                <w:sz w:val="20"/>
                <w:szCs w:val="20"/>
                <w:color w:val="auto"/>
              </w:rPr>
            </w:pPr>
            <w:r>
              <w:rPr>
                <w:rFonts w:ascii="Arial" w:cs="Arial" w:eastAsia="Arial" w:hAnsi="Arial"/>
                <w:sz w:val="14"/>
                <w:szCs w:val="14"/>
                <w:color w:val="auto"/>
              </w:rPr>
              <w:t>www.genmab.com</w:t>
            </w:r>
          </w:p>
        </w:tc>
        <w:tc>
          <w:tcPr>
            <w:tcW w:w="3420" w:type="dxa"/>
            <w:vAlign w:val="bottom"/>
          </w:tcPr>
          <w:p>
            <w:pPr>
              <w:jc w:val="right"/>
              <w:ind w:right="15"/>
              <w:spacing w:after="0"/>
              <w:rPr>
                <w:sz w:val="20"/>
                <w:szCs w:val="20"/>
                <w:color w:val="auto"/>
              </w:rPr>
            </w:pPr>
            <w:r>
              <w:rPr>
                <w:rFonts w:ascii="Arial" w:cs="Arial" w:eastAsia="Arial" w:hAnsi="Arial"/>
                <w:sz w:val="14"/>
                <w:szCs w:val="14"/>
                <w:color w:val="auto"/>
              </w:rPr>
              <w:t>Page 3/44</w:t>
            </w: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080" w:type="dxa"/>
            <w:vAlign w:val="bottom"/>
          </w:tcPr>
          <w:p>
            <w:pPr>
              <w:spacing w:after="0"/>
              <w:rPr>
                <w:sz w:val="15"/>
                <w:szCs w:val="15"/>
                <w:color w:val="auto"/>
              </w:rPr>
            </w:pPr>
          </w:p>
        </w:tc>
        <w:tc>
          <w:tcPr>
            <w:tcW w:w="3420" w:type="dxa"/>
            <w:vAlign w:val="bottom"/>
            <w:vMerge w:val="restart"/>
          </w:tcPr>
          <w:p>
            <w:pPr>
              <w:jc w:val="right"/>
              <w:ind w:right="15"/>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37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3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740" w:type="dxa"/>
            <w:vAlign w:val="bottom"/>
            <w:tcBorders>
              <w:bottom w:val="single" w:sz="8" w:color="9A9A9A"/>
            </w:tcBorders>
          </w:tcPr>
          <w:p>
            <w:pPr>
              <w:spacing w:after="0"/>
              <w:rPr>
                <w:sz w:val="18"/>
                <w:szCs w:val="18"/>
                <w:color w:val="auto"/>
              </w:rPr>
            </w:pPr>
          </w:p>
        </w:tc>
        <w:tc>
          <w:tcPr>
            <w:tcW w:w="4080" w:type="dxa"/>
            <w:vAlign w:val="bottom"/>
            <w:tcBorders>
              <w:bottom w:val="single" w:sz="8" w:color="9A9A9A"/>
            </w:tcBorders>
          </w:tcPr>
          <w:p>
            <w:pPr>
              <w:spacing w:after="0"/>
              <w:rPr>
                <w:sz w:val="18"/>
                <w:szCs w:val="18"/>
                <w:color w:val="auto"/>
              </w:rPr>
            </w:pPr>
          </w:p>
        </w:tc>
        <w:tc>
          <w:tcPr>
            <w:tcW w:w="3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CONSOLIDATED KEY FIGURES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(USD million, unless otherwise indicated)</w:t>
            </w:r>
          </w:p>
        </w:tc>
        <w:tc>
          <w:tcPr>
            <w:tcW w:w="100" w:type="dxa"/>
            <w:vAlign w:val="bottom"/>
          </w:tcPr>
          <w:p>
            <w:pPr>
              <w:spacing w:after="0"/>
              <w:rPr>
                <w:sz w:val="13"/>
                <w:szCs w:val="13"/>
                <w:color w:val="auto"/>
              </w:rPr>
            </w:pPr>
          </w:p>
        </w:tc>
        <w:tc>
          <w:tcPr>
            <w:tcW w:w="2980" w:type="dxa"/>
            <w:vAlign w:val="bottom"/>
            <w:gridSpan w:val="3"/>
          </w:tcPr>
          <w:p>
            <w:pPr>
              <w:jc w:val="right"/>
              <w:ind w:right="997"/>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Arial" w:cs="Arial" w:eastAsia="Arial" w:hAnsi="Arial"/>
                <w:sz w:val="13"/>
                <w:szCs w:val="13"/>
                <w:b w:val="1"/>
                <w:bCs w:val="1"/>
                <w:color w:val="auto"/>
              </w:rPr>
              <w:t>Six Months Ended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Full Year</w:t>
            </w:r>
          </w:p>
        </w:tc>
        <w:tc>
          <w:tcPr>
            <w:tcW w:w="0" w:type="dxa"/>
            <w:vAlign w:val="bottom"/>
          </w:tcPr>
          <w:p>
            <w:pPr>
              <w:spacing w:after="0"/>
              <w:rPr>
                <w:sz w:val="1"/>
                <w:szCs w:val="1"/>
                <w:color w:val="auto"/>
              </w:rPr>
            </w:pPr>
          </w:p>
        </w:tc>
      </w:tr>
      <w:tr>
        <w:trPr>
          <w:trHeight w:val="181"/>
        </w:trPr>
        <w:tc>
          <w:tcPr>
            <w:tcW w:w="3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June 30,</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right"/>
              <w:ind w:right="277"/>
              <w:spacing w:after="0"/>
              <w:rPr>
                <w:sz w:val="20"/>
                <w:szCs w:val="20"/>
                <w:color w:val="auto"/>
              </w:rPr>
            </w:pPr>
            <w:r>
              <w:rPr>
                <w:rFonts w:ascii="Arial" w:cs="Arial" w:eastAsia="Arial" w:hAnsi="Arial"/>
                <w:sz w:val="13"/>
                <w:szCs w:val="13"/>
                <w:b w:val="1"/>
                <w:bCs w:val="1"/>
                <w:color w:val="auto"/>
              </w:rPr>
              <w:t>June 30,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Income Statement</w:t>
            </w:r>
          </w:p>
        </w:tc>
        <w:tc>
          <w:tcPr>
            <w:tcW w:w="100" w:type="dxa"/>
            <w:vAlign w:val="bottom"/>
            <w:tcBorders>
              <w:bottom w:val="single" w:sz="8" w:color="auto"/>
            </w:tcBorders>
            <w:shd w:val="clear" w:color="auto" w:fill="E6E6E6"/>
          </w:tcPr>
          <w:p>
            <w:pPr>
              <w:spacing w:after="0"/>
              <w:rPr>
                <w:sz w:val="15"/>
                <w:szCs w:val="15"/>
                <w:color w:val="auto"/>
              </w:rPr>
            </w:pPr>
          </w:p>
        </w:tc>
        <w:tc>
          <w:tcPr>
            <w:tcW w:w="1260" w:type="dxa"/>
            <w:vAlign w:val="bottom"/>
            <w:tcBorders>
              <w:bottom w:val="single" w:sz="8" w:color="auto"/>
            </w:tcBorders>
            <w:shd w:val="clear" w:color="auto" w:fill="E6E6E6"/>
          </w:tcPr>
          <w:p>
            <w:pPr>
              <w:jc w:val="right"/>
              <w:ind w:right="477"/>
              <w:spacing w:after="0"/>
              <w:rPr>
                <w:sz w:val="20"/>
                <w:szCs w:val="20"/>
                <w:color w:val="auto"/>
              </w:rPr>
            </w:pPr>
            <w:r>
              <w:rPr>
                <w:rFonts w:ascii="Arial" w:cs="Arial" w:eastAsia="Arial" w:hAnsi="Arial"/>
                <w:sz w:val="13"/>
                <w:szCs w:val="13"/>
                <w:b w:val="1"/>
                <w:bCs w:val="1"/>
                <w:color w:val="auto"/>
              </w:rPr>
              <w:t>2025</w:t>
            </w: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5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shd w:val="clear" w:color="auto" w:fill="E6E6E6"/>
          </w:tcPr>
          <w:p>
            <w:pPr>
              <w:spacing w:after="0"/>
              <w:rPr>
                <w:sz w:val="15"/>
                <w:szCs w:val="15"/>
                <w:color w:val="auto"/>
              </w:rPr>
            </w:pPr>
          </w:p>
        </w:tc>
        <w:tc>
          <w:tcPr>
            <w:tcW w:w="1240" w:type="dxa"/>
            <w:vAlign w:val="bottom"/>
            <w:tcBorders>
              <w:bottom w:val="single" w:sz="8" w:color="auto"/>
            </w:tcBorders>
            <w:shd w:val="clear" w:color="auto" w:fill="E6E6E6"/>
          </w:tcPr>
          <w:p>
            <w:pPr>
              <w:jc w:val="right"/>
              <w:ind w:right="457"/>
              <w:spacing w:after="0"/>
              <w:rPr>
                <w:sz w:val="20"/>
                <w:szCs w:val="20"/>
                <w:color w:val="auto"/>
              </w:rPr>
            </w:pPr>
            <w:r>
              <w:rPr>
                <w:rFonts w:ascii="Arial" w:cs="Arial" w:eastAsia="Arial" w:hAnsi="Arial"/>
                <w:sz w:val="13"/>
                <w:szCs w:val="13"/>
                <w:b w:val="1"/>
                <w:bCs w:val="1"/>
                <w:color w:val="auto"/>
              </w:rPr>
              <w:t>2025</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shd w:val="clear" w:color="auto" w:fill="E6E6E6"/>
          </w:tcPr>
          <w:p>
            <w:pPr>
              <w:spacing w:after="0"/>
              <w:rPr>
                <w:sz w:val="15"/>
                <w:szCs w:val="15"/>
                <w:color w:val="auto"/>
              </w:rPr>
            </w:pPr>
          </w:p>
        </w:tc>
        <w:tc>
          <w:tcPr>
            <w:tcW w:w="1260" w:type="dxa"/>
            <w:vAlign w:val="bottom"/>
            <w:tcBorders>
              <w:bottom w:val="single" w:sz="8" w:color="auto"/>
            </w:tcBorders>
            <w:shd w:val="clear" w:color="auto" w:fill="E6E6E6"/>
          </w:tcPr>
          <w:p>
            <w:pPr>
              <w:jc w:val="right"/>
              <w:ind w:right="477"/>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84"/>
        </w:trPr>
        <w:tc>
          <w:tcPr>
            <w:tcW w:w="3720" w:type="dxa"/>
            <w:vAlign w:val="bottom"/>
          </w:tcPr>
          <w:p>
            <w:pPr>
              <w:ind w:left="2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925</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779</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1,640</w:t>
            </w:r>
          </w:p>
        </w:tc>
        <w:tc>
          <w:tcPr>
            <w:tcW w:w="6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1,382</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3,121</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Cost of product sales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(57)</w:t>
            </w:r>
          </w:p>
        </w:tc>
        <w:tc>
          <w:tcPr>
            <w:tcW w:w="460" w:type="dxa"/>
            <w:vAlign w:val="bottom"/>
          </w:tcPr>
          <w:p>
            <w:pPr>
              <w:spacing w:after="0"/>
              <w:rPr>
                <w:sz w:val="17"/>
                <w:szCs w:val="17"/>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(99)</w:t>
            </w:r>
          </w:p>
        </w:tc>
        <w:tc>
          <w:tcPr>
            <w:tcW w:w="64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color w:val="auto"/>
              </w:rPr>
              <w:t>(55)</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Research and Development expenses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(364)</w:t>
            </w:r>
          </w:p>
        </w:tc>
        <w:tc>
          <w:tcPr>
            <w:tcW w:w="460" w:type="dxa"/>
            <w:vAlign w:val="bottom"/>
          </w:tcPr>
          <w:p>
            <w:pPr>
              <w:spacing w:after="0"/>
              <w:rPr>
                <w:sz w:val="17"/>
                <w:szCs w:val="17"/>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(723)</w:t>
            </w:r>
          </w:p>
        </w:tc>
        <w:tc>
          <w:tcPr>
            <w:tcW w:w="64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color w:val="auto"/>
              </w:rPr>
              <w:t>(696)</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(1,414)</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(144)</w:t>
            </w:r>
          </w:p>
        </w:tc>
        <w:tc>
          <w:tcPr>
            <w:tcW w:w="460" w:type="dxa"/>
            <w:vAlign w:val="bottom"/>
          </w:tcPr>
          <w:p>
            <w:pPr>
              <w:spacing w:after="0"/>
              <w:rPr>
                <w:sz w:val="17"/>
                <w:szCs w:val="17"/>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(270)</w:t>
            </w:r>
          </w:p>
        </w:tc>
        <w:tc>
          <w:tcPr>
            <w:tcW w:w="64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Acquisition and integration related charges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7"/>
                <w:szCs w:val="17"/>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Total costs and operating expenses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(565)</w:t>
            </w:r>
          </w:p>
        </w:tc>
        <w:tc>
          <w:tcPr>
            <w:tcW w:w="460" w:type="dxa"/>
            <w:vAlign w:val="bottom"/>
          </w:tcPr>
          <w:p>
            <w:pPr>
              <w:spacing w:after="0"/>
              <w:rPr>
                <w:sz w:val="17"/>
                <w:szCs w:val="17"/>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(1,092)</w:t>
            </w:r>
          </w:p>
        </w:tc>
        <w:tc>
          <w:tcPr>
            <w:tcW w:w="64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color w:val="auto"/>
              </w:rPr>
              <w:t>(1,030)</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(2,149)</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Operating profit</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360</w:t>
            </w:r>
          </w:p>
        </w:tc>
        <w:tc>
          <w:tcPr>
            <w:tcW w:w="460" w:type="dxa"/>
            <w:vAlign w:val="bottom"/>
          </w:tcPr>
          <w:p>
            <w:pPr>
              <w:spacing w:after="0"/>
              <w:rPr>
                <w:sz w:val="17"/>
                <w:szCs w:val="17"/>
                <w:color w:val="auto"/>
              </w:rPr>
            </w:pP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548</w:t>
            </w:r>
          </w:p>
        </w:tc>
        <w:tc>
          <w:tcPr>
            <w:tcW w:w="640" w:type="dxa"/>
            <w:vAlign w:val="bottom"/>
          </w:tcPr>
          <w:p>
            <w:pPr>
              <w:spacing w:after="0"/>
              <w:rPr>
                <w:sz w:val="17"/>
                <w:szCs w:val="17"/>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972</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Net financial items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63</w:t>
            </w:r>
          </w:p>
        </w:tc>
        <w:tc>
          <w:tcPr>
            <w:tcW w:w="460" w:type="dxa"/>
            <w:vAlign w:val="bottom"/>
          </w:tcPr>
          <w:p>
            <w:pPr>
              <w:spacing w:after="0"/>
              <w:rPr>
                <w:sz w:val="17"/>
                <w:szCs w:val="17"/>
                <w:color w:val="auto"/>
              </w:rPr>
            </w:pP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71</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119</w:t>
            </w:r>
          </w:p>
        </w:tc>
        <w:tc>
          <w:tcPr>
            <w:tcW w:w="640" w:type="dxa"/>
            <w:vAlign w:val="bottom"/>
          </w:tcPr>
          <w:p>
            <w:pPr>
              <w:spacing w:after="0"/>
              <w:rPr>
                <w:sz w:val="17"/>
                <w:szCs w:val="17"/>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Net profit</w:t>
            </w:r>
          </w:p>
        </w:tc>
        <w:tc>
          <w:tcPr>
            <w:tcW w:w="100" w:type="dxa"/>
            <w:vAlign w:val="bottom"/>
            <w:tcBorders>
              <w:bottom w:val="single" w:sz="8" w:color="auto"/>
            </w:tcBorders>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E6E6E6"/>
          </w:tcPr>
          <w:p>
            <w:pPr>
              <w:jc w:val="right"/>
              <w:ind w:right="117"/>
              <w:spacing w:after="0"/>
              <w:rPr>
                <w:sz w:val="20"/>
                <w:szCs w:val="20"/>
                <w:color w:val="auto"/>
              </w:rPr>
            </w:pPr>
            <w:r>
              <w:rPr>
                <w:rFonts w:ascii="Arial" w:cs="Arial" w:eastAsia="Arial" w:hAnsi="Arial"/>
                <w:sz w:val="13"/>
                <w:szCs w:val="13"/>
                <w:color w:val="auto"/>
              </w:rPr>
              <w:t>336</w:t>
            </w:r>
          </w:p>
        </w:tc>
        <w:tc>
          <w:tcPr>
            <w:tcW w:w="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203</w:t>
            </w:r>
          </w:p>
        </w:tc>
        <w:tc>
          <w:tcPr>
            <w:tcW w:w="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E6E6E6"/>
          </w:tcPr>
          <w:p>
            <w:pPr>
              <w:jc w:val="right"/>
              <w:ind w:right="97"/>
              <w:spacing w:after="0"/>
              <w:rPr>
                <w:sz w:val="20"/>
                <w:szCs w:val="20"/>
                <w:color w:val="auto"/>
              </w:rPr>
            </w:pPr>
            <w:r>
              <w:rPr>
                <w:rFonts w:ascii="Arial" w:cs="Arial" w:eastAsia="Arial" w:hAnsi="Arial"/>
                <w:sz w:val="13"/>
                <w:szCs w:val="13"/>
                <w:color w:val="auto"/>
              </w:rPr>
              <w:t>531</w:t>
            </w:r>
          </w:p>
        </w:tc>
        <w:tc>
          <w:tcPr>
            <w:tcW w:w="6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395</w:t>
            </w:r>
          </w:p>
        </w:tc>
        <w:tc>
          <w:tcPr>
            <w:tcW w:w="100" w:type="dxa"/>
            <w:vAlign w:val="bottom"/>
            <w:tcBorders>
              <w:bottom w:val="single" w:sz="8" w:color="auto"/>
            </w:tcBorders>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E6E6E6"/>
          </w:tcPr>
          <w:p>
            <w:pPr>
              <w:jc w:val="right"/>
              <w:ind w:right="97"/>
              <w:spacing w:after="0"/>
              <w:rPr>
                <w:sz w:val="20"/>
                <w:szCs w:val="20"/>
                <w:color w:val="auto"/>
              </w:rPr>
            </w:pPr>
            <w:r>
              <w:rPr>
                <w:rFonts w:ascii="Arial" w:cs="Arial" w:eastAsia="Arial" w:hAnsi="Arial"/>
                <w:sz w:val="13"/>
                <w:szCs w:val="13"/>
                <w:color w:val="auto"/>
              </w:rPr>
              <w:t>1,133</w:t>
            </w:r>
          </w:p>
        </w:tc>
        <w:tc>
          <w:tcPr>
            <w:tcW w:w="0" w:type="dxa"/>
            <w:vAlign w:val="bottom"/>
          </w:tcPr>
          <w:p>
            <w:pPr>
              <w:spacing w:after="0"/>
              <w:rPr>
                <w:sz w:val="1"/>
                <w:szCs w:val="1"/>
                <w:color w:val="auto"/>
              </w:rPr>
            </w:pPr>
          </w:p>
        </w:tc>
      </w:tr>
      <w:tr>
        <w:trPr>
          <w:trHeight w:val="32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Sheet</w:t>
            </w:r>
          </w:p>
        </w:tc>
        <w:tc>
          <w:tcPr>
            <w:tcW w:w="1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20" w:type="dxa"/>
            <w:vAlign w:val="bottom"/>
          </w:tcPr>
          <w:p>
            <w:pPr>
              <w:ind w:left="20"/>
              <w:spacing w:after="0"/>
              <w:rPr>
                <w:sz w:val="20"/>
                <w:szCs w:val="20"/>
                <w:color w:val="auto"/>
              </w:rPr>
            </w:pPr>
            <w:r>
              <w:rPr>
                <w:rFonts w:ascii="Arial" w:cs="Arial" w:eastAsia="Arial" w:hAnsi="Arial"/>
                <w:sz w:val="13"/>
                <w:szCs w:val="13"/>
                <w:color w:val="auto"/>
              </w:rPr>
              <w:t>Marketable securities</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1,603</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1,637</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1,603</w:t>
            </w:r>
          </w:p>
        </w:tc>
        <w:tc>
          <w:tcPr>
            <w:tcW w:w="6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1,637</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1,574</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1,296</w:t>
            </w:r>
          </w:p>
        </w:tc>
        <w:tc>
          <w:tcPr>
            <w:tcW w:w="460" w:type="dxa"/>
            <w:vAlign w:val="bottom"/>
          </w:tcPr>
          <w:p>
            <w:pPr>
              <w:spacing w:after="0"/>
              <w:rPr>
                <w:sz w:val="17"/>
                <w:szCs w:val="17"/>
                <w:color w:val="auto"/>
              </w:rPr>
            </w:pP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622</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1,296</w:t>
            </w:r>
          </w:p>
        </w:tc>
        <w:tc>
          <w:tcPr>
            <w:tcW w:w="640" w:type="dxa"/>
            <w:vAlign w:val="bottom"/>
          </w:tcPr>
          <w:p>
            <w:pPr>
              <w:spacing w:after="0"/>
              <w:rPr>
                <w:sz w:val="17"/>
                <w:szCs w:val="17"/>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622</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1,380</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Total non-current assets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2,554</w:t>
            </w:r>
          </w:p>
        </w:tc>
        <w:tc>
          <w:tcPr>
            <w:tcW w:w="460" w:type="dxa"/>
            <w:vAlign w:val="bottom"/>
          </w:tcPr>
          <w:p>
            <w:pPr>
              <w:spacing w:after="0"/>
              <w:rPr>
                <w:sz w:val="17"/>
                <w:szCs w:val="17"/>
                <w:color w:val="auto"/>
              </w:rPr>
            </w:pP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2,395</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2,554</w:t>
            </w:r>
          </w:p>
        </w:tc>
        <w:tc>
          <w:tcPr>
            <w:tcW w:w="640" w:type="dxa"/>
            <w:vAlign w:val="bottom"/>
          </w:tcPr>
          <w:p>
            <w:pPr>
              <w:spacing w:after="0"/>
              <w:rPr>
                <w:sz w:val="17"/>
                <w:szCs w:val="17"/>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2,395</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2,514</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6,464</w:t>
            </w:r>
          </w:p>
        </w:tc>
        <w:tc>
          <w:tcPr>
            <w:tcW w:w="460" w:type="dxa"/>
            <w:vAlign w:val="bottom"/>
          </w:tcPr>
          <w:p>
            <w:pPr>
              <w:spacing w:after="0"/>
              <w:rPr>
                <w:sz w:val="17"/>
                <w:szCs w:val="17"/>
                <w:color w:val="auto"/>
              </w:rPr>
            </w:pP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5,544</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6,464</w:t>
            </w:r>
          </w:p>
        </w:tc>
        <w:tc>
          <w:tcPr>
            <w:tcW w:w="640" w:type="dxa"/>
            <w:vAlign w:val="bottom"/>
          </w:tcPr>
          <w:p>
            <w:pPr>
              <w:spacing w:after="0"/>
              <w:rPr>
                <w:sz w:val="17"/>
                <w:szCs w:val="17"/>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5,544</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6,414</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Shareholders' equity</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5,302</w:t>
            </w:r>
          </w:p>
        </w:tc>
        <w:tc>
          <w:tcPr>
            <w:tcW w:w="460" w:type="dxa"/>
            <w:vAlign w:val="bottom"/>
          </w:tcPr>
          <w:p>
            <w:pPr>
              <w:spacing w:after="0"/>
              <w:rPr>
                <w:sz w:val="17"/>
                <w:szCs w:val="17"/>
                <w:color w:val="auto"/>
              </w:rPr>
            </w:pP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4,445</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5,302</w:t>
            </w:r>
          </w:p>
        </w:tc>
        <w:tc>
          <w:tcPr>
            <w:tcW w:w="640" w:type="dxa"/>
            <w:vAlign w:val="bottom"/>
          </w:tcPr>
          <w:p>
            <w:pPr>
              <w:spacing w:after="0"/>
              <w:rPr>
                <w:sz w:val="17"/>
                <w:szCs w:val="17"/>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4,445</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5,137</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 capital</w:t>
            </w:r>
          </w:p>
        </w:tc>
        <w:tc>
          <w:tcPr>
            <w:tcW w:w="100" w:type="dxa"/>
            <w:vAlign w:val="bottom"/>
            <w:tcBorders>
              <w:bottom w:val="single" w:sz="8" w:color="auto"/>
            </w:tcBorders>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E6E6E6"/>
          </w:tcPr>
          <w:p>
            <w:pPr>
              <w:jc w:val="right"/>
              <w:ind w:right="117"/>
              <w:spacing w:after="0"/>
              <w:rPr>
                <w:sz w:val="20"/>
                <w:szCs w:val="20"/>
                <w:color w:val="auto"/>
              </w:rPr>
            </w:pPr>
            <w:r>
              <w:rPr>
                <w:rFonts w:ascii="Arial" w:cs="Arial" w:eastAsia="Arial" w:hAnsi="Arial"/>
                <w:sz w:val="13"/>
                <w:szCs w:val="13"/>
                <w:color w:val="auto"/>
              </w:rPr>
              <w:t>10</w:t>
            </w:r>
          </w:p>
        </w:tc>
        <w:tc>
          <w:tcPr>
            <w:tcW w:w="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E6E6E6"/>
          </w:tcPr>
          <w:p>
            <w:pPr>
              <w:jc w:val="right"/>
              <w:ind w:right="97"/>
              <w:spacing w:after="0"/>
              <w:rPr>
                <w:sz w:val="20"/>
                <w:szCs w:val="20"/>
                <w:color w:val="auto"/>
              </w:rPr>
            </w:pPr>
            <w:r>
              <w:rPr>
                <w:rFonts w:ascii="Arial" w:cs="Arial" w:eastAsia="Arial" w:hAnsi="Arial"/>
                <w:sz w:val="13"/>
                <w:szCs w:val="13"/>
                <w:color w:val="auto"/>
              </w:rPr>
              <w:t>10</w:t>
            </w:r>
          </w:p>
        </w:tc>
        <w:tc>
          <w:tcPr>
            <w:tcW w:w="6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auto"/>
            </w:tcBorders>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E6E6E6"/>
          </w:tcPr>
          <w:p>
            <w:pPr>
              <w:jc w:val="right"/>
              <w:ind w:right="9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32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Flow Statement</w:t>
            </w:r>
          </w:p>
        </w:tc>
        <w:tc>
          <w:tcPr>
            <w:tcW w:w="1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2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62</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349</w:t>
            </w:r>
          </w:p>
        </w:tc>
        <w:tc>
          <w:tcPr>
            <w:tcW w:w="6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438</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1,126</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26</w:t>
            </w:r>
          </w:p>
        </w:tc>
        <w:tc>
          <w:tcPr>
            <w:tcW w:w="460" w:type="dxa"/>
            <w:vAlign w:val="bottom"/>
          </w:tcPr>
          <w:p>
            <w:pPr>
              <w:spacing w:after="0"/>
              <w:rPr>
                <w:sz w:val="17"/>
                <w:szCs w:val="17"/>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(1,270)</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(17)</w:t>
            </w:r>
          </w:p>
        </w:tc>
        <w:tc>
          <w:tcPr>
            <w:tcW w:w="64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color w:val="auto"/>
              </w:rPr>
              <w:t>(1,480)</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(1,447)</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(406)</w:t>
            </w:r>
          </w:p>
        </w:tc>
        <w:tc>
          <w:tcPr>
            <w:tcW w:w="460" w:type="dxa"/>
            <w:vAlign w:val="bottom"/>
          </w:tcPr>
          <w:p>
            <w:pPr>
              <w:spacing w:after="0"/>
              <w:rPr>
                <w:sz w:val="17"/>
                <w:szCs w:val="17"/>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(440)</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(419)</w:t>
            </w:r>
          </w:p>
        </w:tc>
        <w:tc>
          <w:tcPr>
            <w:tcW w:w="64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color w:val="auto"/>
              </w:rPr>
              <w:t>(525)</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Investment in intangible assets</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7"/>
                <w:szCs w:val="17"/>
                <w:color w:val="auto"/>
              </w:rPr>
            </w:pP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(18)</w:t>
            </w:r>
          </w:p>
        </w:tc>
        <w:tc>
          <w:tcPr>
            <w:tcW w:w="640" w:type="dxa"/>
            <w:vAlign w:val="bottom"/>
          </w:tcPr>
          <w:p>
            <w:pPr>
              <w:spacing w:after="0"/>
              <w:rPr>
                <w:sz w:val="17"/>
                <w:szCs w:val="17"/>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Investment in tangible assets</w:t>
            </w:r>
          </w:p>
        </w:tc>
        <w:tc>
          <w:tcPr>
            <w:tcW w:w="100" w:type="dxa"/>
            <w:vAlign w:val="bottom"/>
            <w:tcBorders>
              <w:bottom w:val="single" w:sz="8" w:color="auto"/>
            </w:tcBorders>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E6E6E6"/>
          </w:tcPr>
          <w:p>
            <w:pPr>
              <w:jc w:val="right"/>
              <w:ind w:right="77"/>
              <w:spacing w:after="0"/>
              <w:rPr>
                <w:sz w:val="20"/>
                <w:szCs w:val="20"/>
                <w:color w:val="auto"/>
              </w:rPr>
            </w:pPr>
            <w:r>
              <w:rPr>
                <w:rFonts w:ascii="Arial" w:cs="Arial" w:eastAsia="Arial" w:hAnsi="Arial"/>
                <w:sz w:val="13"/>
                <w:szCs w:val="13"/>
                <w:color w:val="auto"/>
              </w:rPr>
              <w:t>(10)</w:t>
            </w:r>
          </w:p>
        </w:tc>
        <w:tc>
          <w:tcPr>
            <w:tcW w:w="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E6E6E6"/>
          </w:tcPr>
          <w:p>
            <w:pPr>
              <w:jc w:val="right"/>
              <w:ind w:right="57"/>
              <w:spacing w:after="0"/>
              <w:rPr>
                <w:sz w:val="20"/>
                <w:szCs w:val="20"/>
                <w:color w:val="auto"/>
              </w:rPr>
            </w:pPr>
            <w:r>
              <w:rPr>
                <w:rFonts w:ascii="Arial" w:cs="Arial" w:eastAsia="Arial" w:hAnsi="Arial"/>
                <w:sz w:val="13"/>
                <w:szCs w:val="13"/>
                <w:color w:val="auto"/>
              </w:rPr>
              <w:t>(22)</w:t>
            </w:r>
          </w:p>
        </w:tc>
        <w:tc>
          <w:tcPr>
            <w:tcW w:w="6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auto"/>
            </w:tcBorders>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E6E6E6"/>
          </w:tcPr>
          <w:p>
            <w:pPr>
              <w:jc w:val="right"/>
              <w:ind w:right="7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32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Financial Ratios and Other Information</w:t>
            </w:r>
          </w:p>
        </w:tc>
        <w:tc>
          <w:tcPr>
            <w:tcW w:w="1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E6E6E6"/>
          </w:tcPr>
          <w:p>
            <w:pPr>
              <w:spacing w:after="0"/>
              <w:rPr>
                <w:sz w:val="24"/>
                <w:szCs w:val="24"/>
                <w:color w:val="auto"/>
              </w:rPr>
            </w:pPr>
          </w:p>
        </w:tc>
        <w:tc>
          <w:tcPr>
            <w:tcW w:w="1240" w:type="dxa"/>
            <w:vAlign w:val="bottom"/>
            <w:tcBorders>
              <w:bottom w:val="single" w:sz="8" w:color="auto"/>
            </w:tcBorders>
            <w:shd w:val="clear" w:color="auto" w:fill="E6E6E6"/>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20" w:type="dxa"/>
            <w:vAlign w:val="bottom"/>
          </w:tcPr>
          <w:p>
            <w:pPr>
              <w:ind w:left="20"/>
              <w:spacing w:after="0"/>
              <w:rPr>
                <w:sz w:val="20"/>
                <w:szCs w:val="20"/>
                <w:color w:val="auto"/>
              </w:rPr>
            </w:pPr>
            <w:r>
              <w:rPr>
                <w:rFonts w:ascii="Arial" w:cs="Arial" w:eastAsia="Arial" w:hAnsi="Arial"/>
                <w:sz w:val="13"/>
                <w:szCs w:val="13"/>
                <w:color w:val="auto"/>
              </w:rPr>
              <w:t>Basic net profit per share</w:t>
            </w:r>
          </w:p>
        </w:tc>
        <w:tc>
          <w:tcPr>
            <w:tcW w:w="100" w:type="dxa"/>
            <w:vAlign w:val="bottom"/>
            <w:shd w:val="clear" w:color="auto" w:fill="E7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7E6E6"/>
          </w:tcPr>
          <w:p>
            <w:pPr>
              <w:jc w:val="right"/>
              <w:ind w:right="117"/>
              <w:spacing w:after="0"/>
              <w:rPr>
                <w:sz w:val="20"/>
                <w:szCs w:val="20"/>
                <w:color w:val="auto"/>
              </w:rPr>
            </w:pPr>
            <w:r>
              <w:rPr>
                <w:rFonts w:ascii="Arial" w:cs="Arial" w:eastAsia="Arial" w:hAnsi="Arial"/>
                <w:sz w:val="13"/>
                <w:szCs w:val="13"/>
                <w:color w:val="auto"/>
              </w:rPr>
              <w:t>5.44</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3.15</w:t>
            </w:r>
          </w:p>
        </w:tc>
        <w:tc>
          <w:tcPr>
            <w:tcW w:w="100" w:type="dxa"/>
            <w:vAlign w:val="bottom"/>
            <w:shd w:val="clear" w:color="auto" w:fill="E7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8.47</w:t>
            </w:r>
          </w:p>
        </w:tc>
        <w:tc>
          <w:tcPr>
            <w:tcW w:w="6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17.74</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Diluted net profit per share</w:t>
            </w:r>
          </w:p>
        </w:tc>
        <w:tc>
          <w:tcPr>
            <w:tcW w:w="100" w:type="dxa"/>
            <w:vAlign w:val="bottom"/>
            <w:shd w:val="clear" w:color="auto" w:fill="E7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7E6E6"/>
          </w:tcPr>
          <w:p>
            <w:pPr>
              <w:jc w:val="right"/>
              <w:ind w:right="117"/>
              <w:spacing w:after="0"/>
              <w:rPr>
                <w:sz w:val="20"/>
                <w:szCs w:val="20"/>
                <w:color w:val="auto"/>
              </w:rPr>
            </w:pPr>
            <w:r>
              <w:rPr>
                <w:rFonts w:ascii="Arial" w:cs="Arial" w:eastAsia="Arial" w:hAnsi="Arial"/>
                <w:sz w:val="13"/>
                <w:szCs w:val="13"/>
                <w:color w:val="auto"/>
              </w:rPr>
              <w:t>5.42</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E7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8.45</w:t>
            </w:r>
          </w:p>
        </w:tc>
        <w:tc>
          <w:tcPr>
            <w:tcW w:w="6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17.61</w:t>
            </w:r>
          </w:p>
        </w:tc>
        <w:tc>
          <w:tcPr>
            <w:tcW w:w="0" w:type="dxa"/>
            <w:vAlign w:val="bottom"/>
          </w:tcPr>
          <w:p>
            <w:pPr>
              <w:spacing w:after="0"/>
              <w:rPr>
                <w:sz w:val="1"/>
                <w:szCs w:val="1"/>
                <w:color w:val="auto"/>
              </w:rPr>
            </w:pPr>
          </w:p>
        </w:tc>
      </w:tr>
      <w:tr>
        <w:trPr>
          <w:trHeight w:val="217"/>
        </w:trPr>
        <w:tc>
          <w:tcPr>
            <w:tcW w:w="3720" w:type="dxa"/>
            <w:vAlign w:val="bottom"/>
          </w:tcPr>
          <w:p>
            <w:pPr>
              <w:ind w:left="20"/>
              <w:spacing w:after="0"/>
              <w:rPr>
                <w:sz w:val="20"/>
                <w:szCs w:val="20"/>
                <w:color w:val="auto"/>
              </w:rPr>
            </w:pPr>
            <w:r>
              <w:rPr>
                <w:rFonts w:ascii="Arial" w:cs="Arial" w:eastAsia="Arial" w:hAnsi="Arial"/>
                <w:sz w:val="13"/>
                <w:szCs w:val="13"/>
                <w:color w:val="auto"/>
              </w:rPr>
              <w:t>Period-end share market price (DKK per share)</w:t>
            </w:r>
          </w:p>
        </w:tc>
        <w:tc>
          <w:tcPr>
            <w:tcW w:w="100" w:type="dxa"/>
            <w:vAlign w:val="bottom"/>
            <w:shd w:val="clear" w:color="auto" w:fill="E7E6E6"/>
          </w:tcPr>
          <w:p>
            <w:pPr>
              <w:spacing w:after="0"/>
              <w:rPr>
                <w:sz w:val="18"/>
                <w:szCs w:val="18"/>
                <w:color w:val="auto"/>
              </w:rPr>
            </w:pPr>
          </w:p>
        </w:tc>
        <w:tc>
          <w:tcPr>
            <w:tcW w:w="1260" w:type="dxa"/>
            <w:vAlign w:val="bottom"/>
            <w:shd w:val="clear" w:color="auto" w:fill="E7E6E6"/>
          </w:tcPr>
          <w:p>
            <w:pPr>
              <w:jc w:val="right"/>
              <w:ind w:right="117"/>
              <w:spacing w:after="0"/>
              <w:rPr>
                <w:sz w:val="20"/>
                <w:szCs w:val="20"/>
                <w:color w:val="auto"/>
              </w:rPr>
            </w:pPr>
            <w:r>
              <w:rPr>
                <w:rFonts w:ascii="Arial" w:cs="Arial" w:eastAsia="Arial" w:hAnsi="Arial"/>
                <w:sz w:val="13"/>
                <w:szCs w:val="13"/>
                <w:color w:val="auto"/>
              </w:rPr>
              <w:t>1,315</w:t>
            </w:r>
          </w:p>
        </w:tc>
        <w:tc>
          <w:tcPr>
            <w:tcW w:w="460" w:type="dxa"/>
            <w:vAlign w:val="bottom"/>
          </w:tcPr>
          <w:p>
            <w:pPr>
              <w:spacing w:after="0"/>
              <w:rPr>
                <w:sz w:val="18"/>
                <w:szCs w:val="18"/>
                <w:color w:val="auto"/>
              </w:rPr>
            </w:pP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1,745</w:t>
            </w:r>
          </w:p>
        </w:tc>
        <w:tc>
          <w:tcPr>
            <w:tcW w:w="100" w:type="dxa"/>
            <w:vAlign w:val="bottom"/>
            <w:shd w:val="clear" w:color="auto" w:fill="E7E6E6"/>
          </w:tcPr>
          <w:p>
            <w:pPr>
              <w:spacing w:after="0"/>
              <w:rPr>
                <w:sz w:val="18"/>
                <w:szCs w:val="18"/>
                <w:color w:val="auto"/>
              </w:rPr>
            </w:pPr>
          </w:p>
        </w:tc>
        <w:tc>
          <w:tcPr>
            <w:tcW w:w="124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1,315</w:t>
            </w:r>
          </w:p>
        </w:tc>
        <w:tc>
          <w:tcPr>
            <w:tcW w:w="640" w:type="dxa"/>
            <w:vAlign w:val="bottom"/>
          </w:tcPr>
          <w:p>
            <w:pPr>
              <w:spacing w:after="0"/>
              <w:rPr>
                <w:sz w:val="18"/>
                <w:szCs w:val="18"/>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1,745</w:t>
            </w:r>
          </w:p>
        </w:tc>
        <w:tc>
          <w:tcPr>
            <w:tcW w:w="100" w:type="dxa"/>
            <w:vAlign w:val="bottom"/>
            <w:shd w:val="clear" w:color="auto" w:fill="E6E6E6"/>
          </w:tcPr>
          <w:p>
            <w:pPr>
              <w:spacing w:after="0"/>
              <w:rPr>
                <w:sz w:val="18"/>
                <w:szCs w:val="18"/>
                <w:color w:val="auto"/>
              </w:rPr>
            </w:pPr>
          </w:p>
        </w:tc>
        <w:tc>
          <w:tcPr>
            <w:tcW w:w="126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1,493</w:t>
            </w:r>
          </w:p>
        </w:tc>
        <w:tc>
          <w:tcPr>
            <w:tcW w:w="0" w:type="dxa"/>
            <w:vAlign w:val="bottom"/>
          </w:tcPr>
          <w:p>
            <w:pPr>
              <w:spacing w:after="0"/>
              <w:rPr>
                <w:sz w:val="1"/>
                <w:szCs w:val="1"/>
                <w:color w:val="auto"/>
              </w:rPr>
            </w:pPr>
          </w:p>
        </w:tc>
      </w:tr>
      <w:tr>
        <w:trPr>
          <w:trHeight w:val="188"/>
        </w:trPr>
        <w:tc>
          <w:tcPr>
            <w:tcW w:w="3720" w:type="dxa"/>
            <w:vAlign w:val="bottom"/>
          </w:tcPr>
          <w:p>
            <w:pPr>
              <w:ind w:left="20"/>
              <w:spacing w:after="0"/>
              <w:rPr>
                <w:sz w:val="20"/>
                <w:szCs w:val="20"/>
                <w:color w:val="auto"/>
              </w:rPr>
            </w:pPr>
            <w:r>
              <w:rPr>
                <w:rFonts w:ascii="Arial" w:cs="Arial" w:eastAsia="Arial" w:hAnsi="Arial"/>
                <w:sz w:val="13"/>
                <w:szCs w:val="13"/>
                <w:color w:val="auto"/>
              </w:rPr>
              <w:t>Price / book value</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2.48</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3.93</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2.48</w:t>
            </w:r>
          </w:p>
        </w:tc>
        <w:tc>
          <w:tcPr>
            <w:tcW w:w="6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3.93</w:t>
            </w:r>
          </w:p>
        </w:tc>
        <w:tc>
          <w:tcPr>
            <w:tcW w:w="100" w:type="dxa"/>
            <w:vAlign w:val="bottom"/>
            <w:shd w:val="clear" w:color="auto" w:fill="E7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Shareholders' equity per share</w:t>
            </w:r>
          </w:p>
        </w:tc>
        <w:tc>
          <w:tcPr>
            <w:tcW w:w="100" w:type="dxa"/>
            <w:vAlign w:val="bottom"/>
            <w:shd w:val="clear" w:color="auto" w:fill="E6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6E6E6"/>
          </w:tcPr>
          <w:p>
            <w:pPr>
              <w:jc w:val="right"/>
              <w:ind w:right="117"/>
              <w:spacing w:after="0"/>
              <w:rPr>
                <w:sz w:val="20"/>
                <w:szCs w:val="20"/>
                <w:color w:val="auto"/>
              </w:rPr>
            </w:pPr>
            <w:r>
              <w:rPr>
                <w:rFonts w:ascii="Arial" w:cs="Arial" w:eastAsia="Arial" w:hAnsi="Arial"/>
                <w:sz w:val="13"/>
                <w:szCs w:val="13"/>
                <w:color w:val="auto"/>
              </w:rPr>
              <w:t>530.20</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97"/>
              <w:spacing w:after="0"/>
              <w:rPr>
                <w:sz w:val="20"/>
                <w:szCs w:val="20"/>
                <w:color w:val="auto"/>
              </w:rPr>
            </w:pPr>
            <w:r>
              <w:rPr>
                <w:rFonts w:ascii="Arial" w:cs="Arial" w:eastAsia="Arial" w:hAnsi="Arial"/>
                <w:sz w:val="13"/>
                <w:szCs w:val="13"/>
                <w:color w:val="auto"/>
              </w:rPr>
              <w:t>444.50</w:t>
            </w:r>
          </w:p>
        </w:tc>
        <w:tc>
          <w:tcPr>
            <w:tcW w:w="100" w:type="dxa"/>
            <w:vAlign w:val="bottom"/>
            <w:shd w:val="clear" w:color="auto" w:fill="E6E6E6"/>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E6E6E6"/>
          </w:tcPr>
          <w:p>
            <w:pPr>
              <w:jc w:val="right"/>
              <w:ind w:right="97"/>
              <w:spacing w:after="0"/>
              <w:rPr>
                <w:sz w:val="20"/>
                <w:szCs w:val="20"/>
                <w:color w:val="auto"/>
              </w:rPr>
            </w:pPr>
            <w:r>
              <w:rPr>
                <w:rFonts w:ascii="Arial" w:cs="Arial" w:eastAsia="Arial" w:hAnsi="Arial"/>
                <w:sz w:val="13"/>
                <w:szCs w:val="13"/>
                <w:color w:val="auto"/>
              </w:rPr>
              <w:t>530.20</w:t>
            </w:r>
          </w:p>
        </w:tc>
        <w:tc>
          <w:tcPr>
            <w:tcW w:w="6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444.50</w:t>
            </w:r>
          </w:p>
        </w:tc>
        <w:tc>
          <w:tcPr>
            <w:tcW w:w="100" w:type="dxa"/>
            <w:vAlign w:val="bottom"/>
            <w:shd w:val="clear" w:color="auto" w:fill="E7E6E6"/>
          </w:tcPr>
          <w:p>
            <w:pPr>
              <w:ind w:left="20"/>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E7E6E6"/>
          </w:tcPr>
          <w:p>
            <w:pPr>
              <w:jc w:val="right"/>
              <w:ind w:right="97"/>
              <w:spacing w:after="0"/>
              <w:rPr>
                <w:sz w:val="20"/>
                <w:szCs w:val="20"/>
                <w:color w:val="auto"/>
              </w:rPr>
            </w:pPr>
            <w:r>
              <w:rPr>
                <w:rFonts w:ascii="Arial" w:cs="Arial" w:eastAsia="Arial" w:hAnsi="Arial"/>
                <w:sz w:val="13"/>
                <w:szCs w:val="13"/>
                <w:color w:val="auto"/>
              </w:rPr>
              <w:t>513.70</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3"/>
                <w:szCs w:val="13"/>
                <w:color w:val="auto"/>
              </w:rPr>
              <w:t>Equity ratio</w:t>
            </w:r>
          </w:p>
        </w:tc>
        <w:tc>
          <w:tcPr>
            <w:tcW w:w="10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82 %</w:t>
            </w:r>
          </w:p>
        </w:tc>
        <w:tc>
          <w:tcPr>
            <w:tcW w:w="460" w:type="dxa"/>
            <w:vAlign w:val="bottom"/>
          </w:tcPr>
          <w:p>
            <w:pPr>
              <w:spacing w:after="0"/>
              <w:rPr>
                <w:sz w:val="18"/>
                <w:szCs w:val="18"/>
                <w:color w:val="auto"/>
              </w:rPr>
            </w:pP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80 %</w:t>
            </w:r>
          </w:p>
        </w:tc>
        <w:tc>
          <w:tcPr>
            <w:tcW w:w="100" w:type="dxa"/>
            <w:vAlign w:val="bottom"/>
            <w:shd w:val="clear" w:color="auto" w:fill="E6E6E6"/>
          </w:tcPr>
          <w:p>
            <w:pPr>
              <w:spacing w:after="0"/>
              <w:rPr>
                <w:sz w:val="18"/>
                <w:szCs w:val="18"/>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82 %</w:t>
            </w:r>
          </w:p>
        </w:tc>
        <w:tc>
          <w:tcPr>
            <w:tcW w:w="640" w:type="dxa"/>
            <w:vAlign w:val="bottom"/>
          </w:tcPr>
          <w:p>
            <w:pPr>
              <w:spacing w:after="0"/>
              <w:rPr>
                <w:sz w:val="18"/>
                <w:szCs w:val="18"/>
                <w:color w:val="auto"/>
              </w:rPr>
            </w:pP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80 %</w:t>
            </w:r>
          </w:p>
        </w:tc>
        <w:tc>
          <w:tcPr>
            <w:tcW w:w="100" w:type="dxa"/>
            <w:vAlign w:val="bottom"/>
            <w:shd w:val="clear" w:color="auto" w:fill="E7E6E6"/>
          </w:tcPr>
          <w:p>
            <w:pPr>
              <w:spacing w:after="0"/>
              <w:rPr>
                <w:sz w:val="18"/>
                <w:szCs w:val="18"/>
                <w:color w:val="auto"/>
              </w:rPr>
            </w:pPr>
          </w:p>
        </w:tc>
        <w:tc>
          <w:tcPr>
            <w:tcW w:w="1260" w:type="dxa"/>
            <w:vAlign w:val="bottom"/>
            <w:shd w:val="clear" w:color="auto" w:fill="E7E6E6"/>
          </w:tcPr>
          <w:p>
            <w:pPr>
              <w:jc w:val="right"/>
              <w:spacing w:after="0"/>
              <w:rPr>
                <w:sz w:val="20"/>
                <w:szCs w:val="20"/>
                <w:color w:val="auto"/>
              </w:rPr>
            </w:pPr>
            <w:r>
              <w:rPr>
                <w:rFonts w:ascii="Arial" w:cs="Arial" w:eastAsia="Arial" w:hAnsi="Arial"/>
                <w:sz w:val="13"/>
                <w:szCs w:val="13"/>
                <w:color w:val="auto"/>
              </w:rPr>
              <w:t>80 %</w:t>
            </w:r>
          </w:p>
        </w:tc>
        <w:tc>
          <w:tcPr>
            <w:tcW w:w="0" w:type="dxa"/>
            <w:vAlign w:val="bottom"/>
          </w:tcPr>
          <w:p>
            <w:pPr>
              <w:spacing w:after="0"/>
              <w:rPr>
                <w:sz w:val="1"/>
                <w:szCs w:val="1"/>
                <w:color w:val="auto"/>
              </w:rPr>
            </w:pPr>
          </w:p>
        </w:tc>
      </w:tr>
      <w:tr>
        <w:trPr>
          <w:trHeight w:val="195"/>
        </w:trPr>
        <w:tc>
          <w:tcPr>
            <w:tcW w:w="3720" w:type="dxa"/>
            <w:vAlign w:val="bottom"/>
          </w:tcPr>
          <w:p>
            <w:pPr>
              <w:ind w:left="20"/>
              <w:spacing w:after="0"/>
              <w:rPr>
                <w:sz w:val="20"/>
                <w:szCs w:val="20"/>
                <w:color w:val="auto"/>
              </w:rPr>
            </w:pPr>
            <w:r>
              <w:rPr>
                <w:rFonts w:ascii="Arial" w:cs="Arial" w:eastAsia="Arial" w:hAnsi="Arial"/>
                <w:sz w:val="13"/>
                <w:szCs w:val="13"/>
                <w:color w:val="auto"/>
              </w:rPr>
              <w:t>Shares outstanding</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64,154,254</w:t>
            </w:r>
          </w:p>
        </w:tc>
        <w:tc>
          <w:tcPr>
            <w:tcW w:w="460" w:type="dxa"/>
            <w:vAlign w:val="bottom"/>
          </w:tcPr>
          <w:p>
            <w:pPr>
              <w:spacing w:after="0"/>
              <w:rPr>
                <w:sz w:val="17"/>
                <w:szCs w:val="17"/>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66,136,909</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64,154,254</w:t>
            </w:r>
          </w:p>
        </w:tc>
        <w:tc>
          <w:tcPr>
            <w:tcW w:w="64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color w:val="auto"/>
              </w:rPr>
              <w:t>66,136,909</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66,187,186</w:t>
            </w: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3"/>
                <w:szCs w:val="13"/>
                <w:color w:val="auto"/>
              </w:rPr>
              <w:t>Average number of employees (FTE*)</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77"/>
              <w:spacing w:after="0"/>
              <w:rPr>
                <w:sz w:val="20"/>
                <w:szCs w:val="20"/>
                <w:color w:val="auto"/>
              </w:rPr>
            </w:pPr>
            <w:r>
              <w:rPr>
                <w:rFonts w:ascii="Arial" w:cs="Arial" w:eastAsia="Arial" w:hAnsi="Arial"/>
                <w:sz w:val="13"/>
                <w:szCs w:val="13"/>
                <w:color w:val="auto"/>
              </w:rPr>
              <w:t>2,638</w:t>
            </w:r>
          </w:p>
        </w:tc>
        <w:tc>
          <w:tcPr>
            <w:tcW w:w="460" w:type="dxa"/>
            <w:vAlign w:val="bottom"/>
          </w:tcPr>
          <w:p>
            <w:pPr>
              <w:spacing w:after="0"/>
              <w:rPr>
                <w:sz w:val="17"/>
                <w:szCs w:val="17"/>
                <w:color w:val="auto"/>
              </w:rPr>
            </w:pPr>
          </w:p>
        </w:tc>
        <w:tc>
          <w:tcPr>
            <w:tcW w:w="1260" w:type="dxa"/>
            <w:vAlign w:val="bottom"/>
          </w:tcPr>
          <w:p>
            <w:pPr>
              <w:jc w:val="right"/>
              <w:ind w:right="357"/>
              <w:spacing w:after="0"/>
              <w:rPr>
                <w:sz w:val="20"/>
                <w:szCs w:val="20"/>
                <w:color w:val="auto"/>
              </w:rPr>
            </w:pPr>
            <w:r>
              <w:rPr>
                <w:rFonts w:ascii="Arial" w:cs="Arial" w:eastAsia="Arial" w:hAnsi="Arial"/>
                <w:sz w:val="13"/>
                <w:szCs w:val="13"/>
                <w:color w:val="auto"/>
              </w:rPr>
              <w:t>2,449</w:t>
            </w:r>
          </w:p>
        </w:tc>
        <w:tc>
          <w:tcPr>
            <w:tcW w:w="10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2,653</w:t>
            </w:r>
          </w:p>
        </w:tc>
        <w:tc>
          <w:tcPr>
            <w:tcW w:w="640" w:type="dxa"/>
            <w:vAlign w:val="bottom"/>
          </w:tcPr>
          <w:p>
            <w:pPr>
              <w:spacing w:after="0"/>
              <w:rPr>
                <w:sz w:val="17"/>
                <w:szCs w:val="17"/>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color w:val="auto"/>
              </w:rPr>
              <w:t>2,358</w:t>
            </w:r>
          </w:p>
        </w:tc>
        <w:tc>
          <w:tcPr>
            <w:tcW w:w="100" w:type="dxa"/>
            <w:vAlign w:val="bottom"/>
            <w:shd w:val="clear" w:color="auto" w:fill="E6E6E6"/>
          </w:tcPr>
          <w:p>
            <w:pPr>
              <w:spacing w:after="0"/>
              <w:rPr>
                <w:sz w:val="17"/>
                <w:szCs w:val="17"/>
                <w:color w:val="auto"/>
              </w:rPr>
            </w:pPr>
          </w:p>
        </w:tc>
        <w:tc>
          <w:tcPr>
            <w:tcW w:w="12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2,535</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Number of employees (FTE) at the end of the period</w:t>
            </w:r>
          </w:p>
        </w:tc>
        <w:tc>
          <w:tcPr>
            <w:tcW w:w="100" w:type="dxa"/>
            <w:vAlign w:val="bottom"/>
            <w:tcBorders>
              <w:bottom w:val="single" w:sz="8" w:color="auto"/>
            </w:tcBorders>
            <w:shd w:val="clear" w:color="auto" w:fill="E6E6E6"/>
          </w:tcPr>
          <w:p>
            <w:pPr>
              <w:spacing w:after="0"/>
              <w:rPr>
                <w:sz w:val="18"/>
                <w:szCs w:val="18"/>
                <w:color w:val="auto"/>
              </w:rPr>
            </w:pPr>
          </w:p>
        </w:tc>
        <w:tc>
          <w:tcPr>
            <w:tcW w:w="1260" w:type="dxa"/>
            <w:vAlign w:val="bottom"/>
            <w:tcBorders>
              <w:bottom w:val="single" w:sz="8" w:color="auto"/>
            </w:tcBorders>
            <w:shd w:val="clear" w:color="auto" w:fill="E6E6E6"/>
          </w:tcPr>
          <w:p>
            <w:pPr>
              <w:jc w:val="right"/>
              <w:ind w:right="77"/>
              <w:spacing w:after="0"/>
              <w:rPr>
                <w:sz w:val="20"/>
                <w:szCs w:val="20"/>
                <w:color w:val="auto"/>
              </w:rPr>
            </w:pPr>
            <w:r>
              <w:rPr>
                <w:rFonts w:ascii="Arial" w:cs="Arial" w:eastAsia="Arial" w:hAnsi="Arial"/>
                <w:sz w:val="13"/>
                <w:szCs w:val="13"/>
                <w:color w:val="auto"/>
              </w:rPr>
              <w:t>2,639</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2,526</w:t>
            </w:r>
          </w:p>
        </w:tc>
        <w:tc>
          <w:tcPr>
            <w:tcW w:w="100" w:type="dxa"/>
            <w:vAlign w:val="bottom"/>
            <w:tcBorders>
              <w:bottom w:val="single" w:sz="8" w:color="auto"/>
            </w:tcBorders>
            <w:shd w:val="clear" w:color="auto" w:fill="E6E6E6"/>
          </w:tcPr>
          <w:p>
            <w:pPr>
              <w:spacing w:after="0"/>
              <w:rPr>
                <w:sz w:val="18"/>
                <w:szCs w:val="18"/>
                <w:color w:val="auto"/>
              </w:rPr>
            </w:pPr>
          </w:p>
        </w:tc>
        <w:tc>
          <w:tcPr>
            <w:tcW w:w="1240" w:type="dxa"/>
            <w:vAlign w:val="bottom"/>
            <w:tcBorders>
              <w:bottom w:val="single" w:sz="8" w:color="auto"/>
            </w:tcBorders>
            <w:shd w:val="clear" w:color="auto" w:fill="E6E6E6"/>
          </w:tcPr>
          <w:p>
            <w:pPr>
              <w:jc w:val="right"/>
              <w:ind w:right="57"/>
              <w:spacing w:after="0"/>
              <w:rPr>
                <w:sz w:val="20"/>
                <w:szCs w:val="20"/>
                <w:color w:val="auto"/>
              </w:rPr>
            </w:pPr>
            <w:r>
              <w:rPr>
                <w:rFonts w:ascii="Arial" w:cs="Arial" w:eastAsia="Arial" w:hAnsi="Arial"/>
                <w:sz w:val="13"/>
                <w:szCs w:val="13"/>
                <w:color w:val="auto"/>
              </w:rPr>
              <w:t>2,639</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2,526</w:t>
            </w:r>
          </w:p>
        </w:tc>
        <w:tc>
          <w:tcPr>
            <w:tcW w:w="100" w:type="dxa"/>
            <w:vAlign w:val="bottom"/>
            <w:tcBorders>
              <w:bottom w:val="single" w:sz="8" w:color="auto"/>
            </w:tcBorders>
            <w:shd w:val="clear" w:color="auto" w:fill="E6E6E6"/>
          </w:tcPr>
          <w:p>
            <w:pPr>
              <w:spacing w:after="0"/>
              <w:rPr>
                <w:sz w:val="18"/>
                <w:szCs w:val="18"/>
                <w:color w:val="auto"/>
              </w:rPr>
            </w:pPr>
          </w:p>
        </w:tc>
        <w:tc>
          <w:tcPr>
            <w:tcW w:w="1260" w:type="dxa"/>
            <w:vAlign w:val="bottom"/>
            <w:tcBorders>
              <w:bottom w:val="single" w:sz="8" w:color="auto"/>
            </w:tcBorders>
            <w:shd w:val="clear" w:color="auto" w:fill="E6E6E6"/>
          </w:tcPr>
          <w:p>
            <w:pPr>
              <w:jc w:val="right"/>
              <w:ind w:right="57"/>
              <w:spacing w:after="0"/>
              <w:rPr>
                <w:sz w:val="20"/>
                <w:szCs w:val="20"/>
                <w:color w:val="auto"/>
              </w:rPr>
            </w:pPr>
            <w:r>
              <w:rPr>
                <w:rFonts w:ascii="Arial" w:cs="Arial" w:eastAsia="Arial" w:hAnsi="Arial"/>
                <w:sz w:val="13"/>
                <w:szCs w:val="13"/>
                <w:color w:val="auto"/>
              </w:rPr>
              <w:t>2,682</w:t>
            </w:r>
          </w:p>
        </w:tc>
        <w:tc>
          <w:tcPr>
            <w:tcW w:w="0" w:type="dxa"/>
            <w:vAlign w:val="bottom"/>
          </w:tcPr>
          <w:p>
            <w:pPr>
              <w:spacing w:after="0"/>
              <w:rPr>
                <w:sz w:val="1"/>
                <w:szCs w:val="1"/>
                <w:color w:val="auto"/>
              </w:rPr>
            </w:pPr>
          </w:p>
        </w:tc>
      </w:tr>
      <w:tr>
        <w:trPr>
          <w:trHeight w:val="674"/>
        </w:trPr>
        <w:tc>
          <w:tcPr>
            <w:tcW w:w="3720" w:type="dxa"/>
            <w:vAlign w:val="bottom"/>
          </w:tcPr>
          <w:p>
            <w:pPr>
              <w:spacing w:after="0"/>
              <w:rPr>
                <w:sz w:val="20"/>
                <w:szCs w:val="20"/>
                <w:color w:val="auto"/>
              </w:rPr>
            </w:pPr>
            <w:r>
              <w:rPr>
                <w:rFonts w:ascii="Arial" w:cs="Arial" w:eastAsia="Arial" w:hAnsi="Arial"/>
                <w:sz w:val="13"/>
                <w:szCs w:val="13"/>
                <w:color w:val="auto"/>
              </w:rPr>
              <w:t>* Full-time equivalent or team members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3720" w:type="dxa"/>
            <w:vAlign w:val="bottom"/>
          </w:tcPr>
          <w:p>
            <w:pPr>
              <w:ind w:left="20"/>
              <w:spacing w:after="0"/>
              <w:rPr>
                <w:sz w:val="20"/>
                <w:szCs w:val="20"/>
                <w:color w:val="auto"/>
              </w:rPr>
            </w:pPr>
            <w:r>
              <w:rPr>
                <w:rFonts w:ascii="Arial" w:cs="Arial" w:eastAsia="Arial" w:hAnsi="Arial"/>
                <w:sz w:val="14"/>
                <w:szCs w:val="14"/>
                <w:color w:val="auto"/>
              </w:rPr>
              <w:t>Genmab A/S</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Tel: +45 7020 2728</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60" w:type="dxa"/>
            <w:vAlign w:val="bottom"/>
            <w:gridSpan w:val="3"/>
          </w:tcPr>
          <w:p>
            <w:pPr>
              <w:jc w:val="right"/>
              <w:ind w:right="37"/>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www.genmab.com</w:t>
            </w: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37"/>
              <w:spacing w:after="0"/>
              <w:rPr>
                <w:sz w:val="20"/>
                <w:szCs w:val="20"/>
                <w:color w:val="auto"/>
              </w:rPr>
            </w:pPr>
            <w:r>
              <w:rPr>
                <w:rFonts w:ascii="Arial" w:cs="Arial" w:eastAsia="Arial" w:hAnsi="Arial"/>
                <w:sz w:val="14"/>
                <w:szCs w:val="14"/>
                <w:color w:val="auto"/>
              </w:rPr>
              <w:t>Page 4/44</w:t>
            </w:r>
          </w:p>
        </w:tc>
        <w:tc>
          <w:tcPr>
            <w:tcW w:w="0" w:type="dxa"/>
            <w:vAlign w:val="bottom"/>
          </w:tcPr>
          <w:p>
            <w:pPr>
              <w:spacing w:after="0"/>
              <w:rPr>
                <w:sz w:val="1"/>
                <w:szCs w:val="1"/>
                <w:color w:val="auto"/>
              </w:rPr>
            </w:pPr>
          </w:p>
        </w:tc>
      </w:tr>
      <w:tr>
        <w:trPr>
          <w:trHeight w:val="176"/>
        </w:trPr>
        <w:tc>
          <w:tcPr>
            <w:tcW w:w="372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7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2025 FULL YEAR OUTLOOK</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(USD million)</w:t>
            </w:r>
          </w:p>
        </w:tc>
        <w:tc>
          <w:tcPr>
            <w:tcW w:w="1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Revised Guidance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Revised Mid-</w:t>
            </w:r>
          </w:p>
        </w:tc>
        <w:tc>
          <w:tcPr>
            <w:tcW w:w="18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Previous Guidance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9"/>
              </w:rPr>
              <w:t>Guidance Mid-</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gridSpan w:val="2"/>
            <w:vMerge w:val="continue"/>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Point</w:t>
            </w:r>
          </w:p>
        </w:tc>
        <w:tc>
          <w:tcPr>
            <w:tcW w:w="1840" w:type="dxa"/>
            <w:vAlign w:val="bottom"/>
            <w:tcBorders>
              <w:bottom w:val="single" w:sz="8" w:color="auto"/>
            </w:tcBorders>
            <w:gridSpan w:val="2"/>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Point</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3,500</w:t>
            </w:r>
          </w:p>
        </w:tc>
        <w:tc>
          <w:tcPr>
            <w:tcW w:w="1020" w:type="dxa"/>
            <w:vAlign w:val="bottom"/>
          </w:tcPr>
          <w:p>
            <w:pPr>
              <w:ind w:left="40"/>
              <w:spacing w:after="0"/>
              <w:rPr>
                <w:sz w:val="20"/>
                <w:szCs w:val="20"/>
                <w:color w:val="auto"/>
              </w:rPr>
            </w:pPr>
            <w:r>
              <w:rPr>
                <w:rFonts w:ascii="Arial" w:cs="Arial" w:eastAsia="Arial" w:hAnsi="Arial"/>
                <w:sz w:val="18"/>
                <w:szCs w:val="18"/>
                <w:color w:val="auto"/>
              </w:rPr>
              <w:t>- 3,700</w:t>
            </w:r>
          </w:p>
        </w:tc>
        <w:tc>
          <w:tcPr>
            <w:tcW w:w="1340" w:type="dxa"/>
            <w:vAlign w:val="bottom"/>
          </w:tcPr>
          <w:p>
            <w:pPr>
              <w:jc w:val="center"/>
              <w:spacing w:after="0"/>
              <w:rPr>
                <w:sz w:val="20"/>
                <w:szCs w:val="20"/>
                <w:color w:val="auto"/>
              </w:rPr>
            </w:pPr>
            <w:r>
              <w:rPr>
                <w:rFonts w:ascii="Arial" w:cs="Arial" w:eastAsia="Arial" w:hAnsi="Arial"/>
                <w:sz w:val="18"/>
                <w:szCs w:val="18"/>
                <w:color w:val="auto"/>
              </w:rPr>
              <w:t>3,600</w:t>
            </w:r>
          </w:p>
        </w:tc>
        <w:tc>
          <w:tcPr>
            <w:tcW w:w="860" w:type="dxa"/>
            <w:vAlign w:val="bottom"/>
          </w:tcPr>
          <w:p>
            <w:pPr>
              <w:jc w:val="right"/>
              <w:spacing w:after="0"/>
              <w:rPr>
                <w:sz w:val="20"/>
                <w:szCs w:val="20"/>
                <w:color w:val="auto"/>
              </w:rPr>
            </w:pPr>
            <w:r>
              <w:rPr>
                <w:rFonts w:ascii="Arial" w:cs="Arial" w:eastAsia="Arial" w:hAnsi="Arial"/>
                <w:sz w:val="18"/>
                <w:szCs w:val="18"/>
                <w:color w:val="auto"/>
              </w:rPr>
              <w:t>3,340</w:t>
            </w:r>
          </w:p>
        </w:tc>
        <w:tc>
          <w:tcPr>
            <w:tcW w:w="980" w:type="dxa"/>
            <w:vAlign w:val="bottom"/>
          </w:tcPr>
          <w:p>
            <w:pPr>
              <w:ind w:left="20"/>
              <w:spacing w:after="0"/>
              <w:rPr>
                <w:sz w:val="20"/>
                <w:szCs w:val="20"/>
                <w:color w:val="auto"/>
              </w:rPr>
            </w:pPr>
            <w:r>
              <w:rPr>
                <w:rFonts w:ascii="Arial" w:cs="Arial" w:eastAsia="Arial" w:hAnsi="Arial"/>
                <w:sz w:val="18"/>
                <w:szCs w:val="18"/>
                <w:color w:val="auto"/>
              </w:rPr>
              <w:t>- 3,660</w:t>
            </w:r>
          </w:p>
        </w:tc>
        <w:tc>
          <w:tcPr>
            <w:tcW w:w="1420" w:type="dxa"/>
            <w:vAlign w:val="bottom"/>
          </w:tcPr>
          <w:p>
            <w:pPr>
              <w:jc w:val="center"/>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4680" w:type="dxa"/>
            <w:vAlign w:val="bottom"/>
            <w:shd w:val="clear" w:color="auto" w:fill="F2F2F2"/>
          </w:tcPr>
          <w:p>
            <w:pPr>
              <w:ind w:left="120"/>
              <w:spacing w:after="0"/>
              <w:rPr>
                <w:sz w:val="20"/>
                <w:szCs w:val="20"/>
                <w:color w:val="auto"/>
              </w:rPr>
            </w:pPr>
            <w:r>
              <w:rPr>
                <w:rFonts w:ascii="Arial" w:cs="Arial" w:eastAsia="Arial" w:hAnsi="Arial"/>
                <w:sz w:val="18"/>
                <w:szCs w:val="18"/>
                <w:i w:val="1"/>
                <w:iCs w:val="1"/>
                <w:color w:val="auto"/>
              </w:rPr>
              <w:t>Royalties</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2,945</w:t>
            </w:r>
          </w:p>
        </w:tc>
        <w:tc>
          <w:tcPr>
            <w:tcW w:w="1020" w:type="dxa"/>
            <w:vAlign w:val="bottom"/>
            <w:shd w:val="clear" w:color="auto" w:fill="F2F2F2"/>
          </w:tcPr>
          <w:p>
            <w:pPr>
              <w:ind w:left="40"/>
              <w:spacing w:after="0"/>
              <w:rPr>
                <w:sz w:val="20"/>
                <w:szCs w:val="20"/>
                <w:color w:val="auto"/>
              </w:rPr>
            </w:pPr>
            <w:r>
              <w:rPr>
                <w:rFonts w:ascii="Arial" w:cs="Arial" w:eastAsia="Arial" w:hAnsi="Arial"/>
                <w:sz w:val="18"/>
                <w:szCs w:val="18"/>
                <w:i w:val="1"/>
                <w:iCs w:val="1"/>
                <w:color w:val="auto"/>
              </w:rPr>
              <w:t>- 3,090</w:t>
            </w:r>
          </w:p>
        </w:tc>
        <w:tc>
          <w:tcPr>
            <w:tcW w:w="134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rPr>
              <w:t>3,017</w:t>
            </w:r>
          </w:p>
        </w:tc>
        <w:tc>
          <w:tcPr>
            <w:tcW w:w="86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2,785</w:t>
            </w:r>
          </w:p>
        </w:tc>
        <w:tc>
          <w:tcPr>
            <w:tcW w:w="98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- 3,015</w:t>
            </w:r>
          </w:p>
        </w:tc>
        <w:tc>
          <w:tcPr>
            <w:tcW w:w="142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rPr>
              <w:t>2,900</w:t>
            </w:r>
          </w:p>
        </w:tc>
        <w:tc>
          <w:tcPr>
            <w:tcW w:w="0" w:type="dxa"/>
            <w:vAlign w:val="bottom"/>
          </w:tcPr>
          <w:p>
            <w:pPr>
              <w:spacing w:after="0"/>
              <w:rPr>
                <w:sz w:val="1"/>
                <w:szCs w:val="1"/>
                <w:color w:val="auto"/>
              </w:rPr>
            </w:pPr>
          </w:p>
        </w:tc>
      </w:tr>
      <w:tr>
        <w:trPr>
          <w:trHeight w:val="229"/>
        </w:trPr>
        <w:tc>
          <w:tcPr>
            <w:tcW w:w="4680" w:type="dxa"/>
            <w:vAlign w:val="bottom"/>
            <w:shd w:val="clear" w:color="auto" w:fill="F2F2F2"/>
          </w:tcPr>
          <w:p>
            <w:pPr>
              <w:ind w:left="120"/>
              <w:spacing w:after="0"/>
              <w:rPr>
                <w:sz w:val="20"/>
                <w:szCs w:val="20"/>
                <w:color w:val="auto"/>
              </w:rPr>
            </w:pPr>
            <w:r>
              <w:rPr>
                <w:rFonts w:ascii="Arial" w:cs="Arial" w:eastAsia="Arial" w:hAnsi="Arial"/>
                <w:sz w:val="18"/>
                <w:szCs w:val="18"/>
                <w:i w:val="1"/>
                <w:iCs w:val="1"/>
                <w:color w:val="auto"/>
              </w:rPr>
              <w:t>Net product sales/Collaboration revenue*</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425</w:t>
            </w:r>
          </w:p>
        </w:tc>
        <w:tc>
          <w:tcPr>
            <w:tcW w:w="1020" w:type="dxa"/>
            <w:vAlign w:val="bottom"/>
            <w:shd w:val="clear" w:color="auto" w:fill="F2F2F2"/>
          </w:tcPr>
          <w:p>
            <w:pPr>
              <w:ind w:left="40"/>
              <w:spacing w:after="0"/>
              <w:rPr>
                <w:sz w:val="20"/>
                <w:szCs w:val="20"/>
                <w:color w:val="auto"/>
              </w:rPr>
            </w:pPr>
            <w:r>
              <w:rPr>
                <w:rFonts w:ascii="Arial" w:cs="Arial" w:eastAsia="Arial" w:hAnsi="Arial"/>
                <w:sz w:val="18"/>
                <w:szCs w:val="18"/>
                <w:i w:val="1"/>
                <w:iCs w:val="1"/>
                <w:color w:val="auto"/>
              </w:rPr>
              <w:t>- 465</w:t>
            </w:r>
          </w:p>
        </w:tc>
        <w:tc>
          <w:tcPr>
            <w:tcW w:w="134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w w:val="99"/>
              </w:rPr>
              <w:t>445</w:t>
            </w:r>
          </w:p>
        </w:tc>
        <w:tc>
          <w:tcPr>
            <w:tcW w:w="86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415</w:t>
            </w:r>
          </w:p>
        </w:tc>
        <w:tc>
          <w:tcPr>
            <w:tcW w:w="98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- 460</w:t>
            </w:r>
          </w:p>
        </w:tc>
        <w:tc>
          <w:tcPr>
            <w:tcW w:w="142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w w:val="99"/>
              </w:rPr>
              <w:t>438</w:t>
            </w:r>
          </w:p>
        </w:tc>
        <w:tc>
          <w:tcPr>
            <w:tcW w:w="0" w:type="dxa"/>
            <w:vAlign w:val="bottom"/>
          </w:tcPr>
          <w:p>
            <w:pPr>
              <w:spacing w:after="0"/>
              <w:rPr>
                <w:sz w:val="1"/>
                <w:szCs w:val="1"/>
                <w:color w:val="auto"/>
              </w:rPr>
            </w:pPr>
          </w:p>
        </w:tc>
      </w:tr>
      <w:tr>
        <w:trPr>
          <w:trHeight w:val="230"/>
        </w:trPr>
        <w:tc>
          <w:tcPr>
            <w:tcW w:w="4680" w:type="dxa"/>
            <w:vAlign w:val="bottom"/>
            <w:shd w:val="clear" w:color="auto" w:fill="F2F2F2"/>
          </w:tcPr>
          <w:p>
            <w:pPr>
              <w:ind w:left="120"/>
              <w:spacing w:after="0"/>
              <w:rPr>
                <w:sz w:val="20"/>
                <w:szCs w:val="20"/>
                <w:color w:val="auto"/>
              </w:rPr>
            </w:pPr>
            <w:r>
              <w:rPr>
                <w:rFonts w:ascii="Arial" w:cs="Arial" w:eastAsia="Arial" w:hAnsi="Arial"/>
                <w:sz w:val="18"/>
                <w:szCs w:val="18"/>
                <w:i w:val="1"/>
                <w:iCs w:val="1"/>
                <w:color w:val="auto"/>
              </w:rPr>
              <w:t>Milestones/Reimbursement revenue</w:t>
            </w:r>
          </w:p>
        </w:tc>
        <w:tc>
          <w:tcPr>
            <w:tcW w:w="90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130</w:t>
            </w:r>
          </w:p>
        </w:tc>
        <w:tc>
          <w:tcPr>
            <w:tcW w:w="1020" w:type="dxa"/>
            <w:vAlign w:val="bottom"/>
            <w:shd w:val="clear" w:color="auto" w:fill="F2F2F2"/>
          </w:tcPr>
          <w:p>
            <w:pPr>
              <w:ind w:left="40"/>
              <w:spacing w:after="0"/>
              <w:rPr>
                <w:sz w:val="20"/>
                <w:szCs w:val="20"/>
                <w:color w:val="auto"/>
              </w:rPr>
            </w:pPr>
            <w:r>
              <w:rPr>
                <w:rFonts w:ascii="Arial" w:cs="Arial" w:eastAsia="Arial" w:hAnsi="Arial"/>
                <w:sz w:val="18"/>
                <w:szCs w:val="18"/>
                <w:i w:val="1"/>
                <w:iCs w:val="1"/>
                <w:color w:val="auto"/>
              </w:rPr>
              <w:t>- 145</w:t>
            </w:r>
          </w:p>
        </w:tc>
        <w:tc>
          <w:tcPr>
            <w:tcW w:w="134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w w:val="99"/>
              </w:rPr>
              <w:t>138</w:t>
            </w:r>
          </w:p>
        </w:tc>
        <w:tc>
          <w:tcPr>
            <w:tcW w:w="860" w:type="dxa"/>
            <w:vAlign w:val="bottom"/>
            <w:shd w:val="clear" w:color="auto" w:fill="F2F2F2"/>
          </w:tcPr>
          <w:p>
            <w:pPr>
              <w:jc w:val="right"/>
              <w:spacing w:after="0"/>
              <w:rPr>
                <w:sz w:val="20"/>
                <w:szCs w:val="20"/>
                <w:color w:val="auto"/>
              </w:rPr>
            </w:pPr>
            <w:r>
              <w:rPr>
                <w:rFonts w:ascii="Arial" w:cs="Arial" w:eastAsia="Arial" w:hAnsi="Arial"/>
                <w:sz w:val="18"/>
                <w:szCs w:val="18"/>
                <w:i w:val="1"/>
                <w:iCs w:val="1"/>
                <w:color w:val="auto"/>
              </w:rPr>
              <w:t>140</w:t>
            </w:r>
          </w:p>
        </w:tc>
        <w:tc>
          <w:tcPr>
            <w:tcW w:w="980" w:type="dxa"/>
            <w:vAlign w:val="bottom"/>
            <w:shd w:val="clear" w:color="auto" w:fill="F2F2F2"/>
          </w:tcPr>
          <w:p>
            <w:pPr>
              <w:ind w:left="20"/>
              <w:spacing w:after="0"/>
              <w:rPr>
                <w:sz w:val="20"/>
                <w:szCs w:val="20"/>
                <w:color w:val="auto"/>
              </w:rPr>
            </w:pPr>
            <w:r>
              <w:rPr>
                <w:rFonts w:ascii="Arial" w:cs="Arial" w:eastAsia="Arial" w:hAnsi="Arial"/>
                <w:sz w:val="18"/>
                <w:szCs w:val="18"/>
                <w:i w:val="1"/>
                <w:iCs w:val="1"/>
                <w:color w:val="auto"/>
              </w:rPr>
              <w:t>- 185</w:t>
            </w:r>
          </w:p>
        </w:tc>
        <w:tc>
          <w:tcPr>
            <w:tcW w:w="1420" w:type="dxa"/>
            <w:vAlign w:val="bottom"/>
            <w:shd w:val="clear" w:color="auto" w:fill="F2F2F2"/>
          </w:tcPr>
          <w:p>
            <w:pPr>
              <w:jc w:val="center"/>
              <w:spacing w:after="0"/>
              <w:rPr>
                <w:sz w:val="20"/>
                <w:szCs w:val="20"/>
                <w:color w:val="auto"/>
              </w:rPr>
            </w:pPr>
            <w:r>
              <w:rPr>
                <w:rFonts w:ascii="Arial" w:cs="Arial" w:eastAsia="Arial" w:hAnsi="Arial"/>
                <w:sz w:val="18"/>
                <w:szCs w:val="18"/>
                <w:i w:val="1"/>
                <w:iCs w:val="1"/>
                <w:color w:val="auto"/>
                <w:w w:val="99"/>
              </w:rPr>
              <w:t>162</w:t>
            </w:r>
          </w:p>
        </w:tc>
        <w:tc>
          <w:tcPr>
            <w:tcW w:w="0" w:type="dxa"/>
            <w:vAlign w:val="bottom"/>
          </w:tcPr>
          <w:p>
            <w:pPr>
              <w:spacing w:after="0"/>
              <w:rPr>
                <w:sz w:val="1"/>
                <w:szCs w:val="1"/>
                <w:color w:val="auto"/>
              </w:rPr>
            </w:pPr>
          </w:p>
        </w:tc>
      </w:tr>
      <w:tr>
        <w:trPr>
          <w:trHeight w:val="224"/>
        </w:trPr>
        <w:tc>
          <w:tcPr>
            <w:tcW w:w="4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tcPr>
          <w:p>
            <w:pPr>
              <w:jc w:val="right"/>
              <w:spacing w:after="0"/>
              <w:rPr>
                <w:sz w:val="20"/>
                <w:szCs w:val="20"/>
                <w:color w:val="auto"/>
              </w:rPr>
            </w:pPr>
            <w:r>
              <w:rPr>
                <w:rFonts w:ascii="Arial" w:cs="Arial" w:eastAsia="Arial" w:hAnsi="Arial"/>
                <w:sz w:val="18"/>
                <w:szCs w:val="18"/>
                <w:color w:val="auto"/>
              </w:rPr>
              <w:t>3,280</w:t>
            </w:r>
          </w:p>
        </w:tc>
        <w:tc>
          <w:tcPr>
            <w:tcW w:w="1020" w:type="dxa"/>
            <w:vAlign w:val="bottom"/>
          </w:tcPr>
          <w:p>
            <w:pPr>
              <w:ind w:left="40"/>
              <w:spacing w:after="0"/>
              <w:rPr>
                <w:sz w:val="20"/>
                <w:szCs w:val="20"/>
                <w:color w:val="auto"/>
              </w:rPr>
            </w:pPr>
            <w:r>
              <w:rPr>
                <w:rFonts w:ascii="Arial" w:cs="Arial" w:eastAsia="Arial" w:hAnsi="Arial"/>
                <w:sz w:val="18"/>
                <w:szCs w:val="18"/>
                <w:color w:val="auto"/>
              </w:rPr>
              <w:t>- 3,460</w:t>
            </w:r>
          </w:p>
        </w:tc>
        <w:tc>
          <w:tcPr>
            <w:tcW w:w="1340" w:type="dxa"/>
            <w:vAlign w:val="bottom"/>
          </w:tcPr>
          <w:p>
            <w:pPr>
              <w:jc w:val="center"/>
              <w:spacing w:after="0"/>
              <w:rPr>
                <w:sz w:val="20"/>
                <w:szCs w:val="20"/>
                <w:color w:val="auto"/>
              </w:rPr>
            </w:pPr>
            <w:r>
              <w:rPr>
                <w:rFonts w:ascii="Arial" w:cs="Arial" w:eastAsia="Arial" w:hAnsi="Arial"/>
                <w:sz w:val="18"/>
                <w:szCs w:val="18"/>
                <w:color w:val="auto"/>
              </w:rPr>
              <w:t>3,370</w:t>
            </w:r>
          </w:p>
        </w:tc>
        <w:tc>
          <w:tcPr>
            <w:tcW w:w="860" w:type="dxa"/>
            <w:vAlign w:val="bottom"/>
          </w:tcPr>
          <w:p>
            <w:pPr>
              <w:jc w:val="right"/>
              <w:spacing w:after="0"/>
              <w:rPr>
                <w:sz w:val="20"/>
                <w:szCs w:val="20"/>
                <w:color w:val="auto"/>
              </w:rPr>
            </w:pPr>
            <w:r>
              <w:rPr>
                <w:rFonts w:ascii="Arial" w:cs="Arial" w:eastAsia="Arial" w:hAnsi="Arial"/>
                <w:sz w:val="18"/>
                <w:szCs w:val="18"/>
                <w:color w:val="auto"/>
              </w:rPr>
              <w:t>3,120</w:t>
            </w:r>
          </w:p>
        </w:tc>
        <w:tc>
          <w:tcPr>
            <w:tcW w:w="980" w:type="dxa"/>
            <w:vAlign w:val="bottom"/>
          </w:tcPr>
          <w:p>
            <w:pPr>
              <w:ind w:left="20"/>
              <w:spacing w:after="0"/>
              <w:rPr>
                <w:sz w:val="20"/>
                <w:szCs w:val="20"/>
                <w:color w:val="auto"/>
              </w:rPr>
            </w:pPr>
            <w:r>
              <w:rPr>
                <w:rFonts w:ascii="Arial" w:cs="Arial" w:eastAsia="Arial" w:hAnsi="Arial"/>
                <w:sz w:val="18"/>
                <w:szCs w:val="18"/>
                <w:color w:val="auto"/>
              </w:rPr>
              <w:t>- 3,420</w:t>
            </w:r>
          </w:p>
        </w:tc>
        <w:tc>
          <w:tcPr>
            <w:tcW w:w="1420" w:type="dxa"/>
            <w:vAlign w:val="bottom"/>
          </w:tcPr>
          <w:p>
            <w:pPr>
              <w:jc w:val="center"/>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(2,055)</w:t>
            </w:r>
          </w:p>
        </w:tc>
        <w:tc>
          <w:tcPr>
            <w:tcW w:w="1020" w:type="dxa"/>
            <w:vAlign w:val="bottom"/>
          </w:tcPr>
          <w:p>
            <w:pPr>
              <w:ind w:left="40"/>
              <w:spacing w:after="0"/>
              <w:rPr>
                <w:sz w:val="20"/>
                <w:szCs w:val="20"/>
                <w:color w:val="auto"/>
              </w:rPr>
            </w:pPr>
            <w:r>
              <w:rPr>
                <w:rFonts w:ascii="Arial" w:cs="Arial" w:eastAsia="Arial" w:hAnsi="Arial"/>
                <w:sz w:val="18"/>
                <w:szCs w:val="18"/>
                <w:color w:val="auto"/>
              </w:rPr>
              <w:t>- (2,225)</w:t>
            </w:r>
          </w:p>
        </w:tc>
        <w:tc>
          <w:tcPr>
            <w:tcW w:w="1340" w:type="dxa"/>
            <w:vAlign w:val="bottom"/>
          </w:tcPr>
          <w:p>
            <w:pPr>
              <w:jc w:val="center"/>
              <w:spacing w:after="0"/>
              <w:rPr>
                <w:sz w:val="20"/>
                <w:szCs w:val="20"/>
                <w:color w:val="auto"/>
              </w:rPr>
            </w:pPr>
            <w:r>
              <w:rPr>
                <w:rFonts w:ascii="Arial" w:cs="Arial" w:eastAsia="Arial" w:hAnsi="Arial"/>
                <w:sz w:val="18"/>
                <w:szCs w:val="18"/>
                <w:color w:val="auto"/>
              </w:rPr>
              <w:t>(2,140)</w:t>
            </w:r>
          </w:p>
        </w:tc>
        <w:tc>
          <w:tcPr>
            <w:tcW w:w="860" w:type="dxa"/>
            <w:vAlign w:val="bottom"/>
          </w:tcPr>
          <w:p>
            <w:pPr>
              <w:jc w:val="right"/>
              <w:spacing w:after="0"/>
              <w:rPr>
                <w:sz w:val="20"/>
                <w:szCs w:val="20"/>
                <w:color w:val="auto"/>
              </w:rPr>
            </w:pPr>
            <w:r>
              <w:rPr>
                <w:rFonts w:ascii="Arial" w:cs="Arial" w:eastAsia="Arial" w:hAnsi="Arial"/>
                <w:sz w:val="18"/>
                <w:szCs w:val="18"/>
                <w:color w:val="auto"/>
              </w:rPr>
              <w:t>(2,055)</w:t>
            </w:r>
          </w:p>
        </w:tc>
        <w:tc>
          <w:tcPr>
            <w:tcW w:w="980" w:type="dxa"/>
            <w:vAlign w:val="bottom"/>
          </w:tcPr>
          <w:p>
            <w:pPr>
              <w:ind w:left="20"/>
              <w:spacing w:after="0"/>
              <w:rPr>
                <w:sz w:val="20"/>
                <w:szCs w:val="20"/>
                <w:color w:val="auto"/>
              </w:rPr>
            </w:pPr>
            <w:r>
              <w:rPr>
                <w:rFonts w:ascii="Arial" w:cs="Arial" w:eastAsia="Arial" w:hAnsi="Arial"/>
                <w:sz w:val="18"/>
                <w:szCs w:val="18"/>
                <w:color w:val="auto"/>
              </w:rPr>
              <w:t>- (2,225)</w:t>
            </w:r>
          </w:p>
        </w:tc>
        <w:tc>
          <w:tcPr>
            <w:tcW w:w="1420" w:type="dxa"/>
            <w:vAlign w:val="bottom"/>
          </w:tcPr>
          <w:p>
            <w:pPr>
              <w:jc w:val="center"/>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900" w:type="dxa"/>
            <w:vAlign w:val="bottom"/>
          </w:tcPr>
          <w:p>
            <w:pPr>
              <w:jc w:val="right"/>
              <w:spacing w:after="0"/>
              <w:rPr>
                <w:sz w:val="20"/>
                <w:szCs w:val="20"/>
                <w:color w:val="auto"/>
              </w:rPr>
            </w:pPr>
            <w:r>
              <w:rPr>
                <w:rFonts w:ascii="Arial" w:cs="Arial" w:eastAsia="Arial" w:hAnsi="Arial"/>
                <w:sz w:val="18"/>
                <w:szCs w:val="18"/>
                <w:color w:val="auto"/>
              </w:rPr>
              <w:t>1,055</w:t>
            </w:r>
          </w:p>
        </w:tc>
        <w:tc>
          <w:tcPr>
            <w:tcW w:w="1020" w:type="dxa"/>
            <w:vAlign w:val="bottom"/>
          </w:tcPr>
          <w:p>
            <w:pPr>
              <w:ind w:left="40"/>
              <w:spacing w:after="0"/>
              <w:rPr>
                <w:sz w:val="20"/>
                <w:szCs w:val="20"/>
                <w:color w:val="auto"/>
              </w:rPr>
            </w:pPr>
            <w:r>
              <w:rPr>
                <w:rFonts w:ascii="Arial" w:cs="Arial" w:eastAsia="Arial" w:hAnsi="Arial"/>
                <w:sz w:val="18"/>
                <w:szCs w:val="18"/>
                <w:color w:val="auto"/>
              </w:rPr>
              <w:t>- 1,405</w:t>
            </w:r>
          </w:p>
        </w:tc>
        <w:tc>
          <w:tcPr>
            <w:tcW w:w="1340" w:type="dxa"/>
            <w:vAlign w:val="bottom"/>
          </w:tcPr>
          <w:p>
            <w:pPr>
              <w:jc w:val="center"/>
              <w:spacing w:after="0"/>
              <w:rPr>
                <w:sz w:val="20"/>
                <w:szCs w:val="20"/>
                <w:color w:val="auto"/>
              </w:rPr>
            </w:pPr>
            <w:r>
              <w:rPr>
                <w:rFonts w:ascii="Arial" w:cs="Arial" w:eastAsia="Arial" w:hAnsi="Arial"/>
                <w:sz w:val="18"/>
                <w:szCs w:val="18"/>
                <w:color w:val="auto"/>
              </w:rPr>
              <w:t>1,230</w:t>
            </w:r>
          </w:p>
        </w:tc>
        <w:tc>
          <w:tcPr>
            <w:tcW w:w="1840" w:type="dxa"/>
            <w:vAlign w:val="bottom"/>
            <w:gridSpan w:val="2"/>
          </w:tcPr>
          <w:p>
            <w:pPr>
              <w:jc w:val="right"/>
              <w:ind w:right="370"/>
              <w:spacing w:after="0"/>
              <w:rPr>
                <w:sz w:val="20"/>
                <w:szCs w:val="20"/>
                <w:color w:val="auto"/>
              </w:rPr>
            </w:pPr>
            <w:r>
              <w:rPr>
                <w:rFonts w:ascii="Arial" w:cs="Arial" w:eastAsia="Arial" w:hAnsi="Arial"/>
                <w:sz w:val="18"/>
                <w:szCs w:val="18"/>
                <w:color w:val="auto"/>
              </w:rPr>
              <w:t>895 - 1,365</w:t>
            </w:r>
          </w:p>
        </w:tc>
        <w:tc>
          <w:tcPr>
            <w:tcW w:w="1420" w:type="dxa"/>
            <w:vAlign w:val="bottom"/>
          </w:tcPr>
          <w:p>
            <w:pPr>
              <w:jc w:val="center"/>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80" w:right="220" w:hanging="80"/>
        <w:spacing w:after="0" w:line="270" w:lineRule="auto"/>
        <w:rPr>
          <w:sz w:val="20"/>
          <w:szCs w:val="20"/>
          <w:color w:val="auto"/>
        </w:rPr>
      </w:pPr>
      <w:r>
        <w:rPr>
          <w:rFonts w:ascii="Arial" w:cs="Arial" w:eastAsia="Arial" w:hAnsi="Arial"/>
          <w:sz w:val="14"/>
          <w:szCs w:val="14"/>
          <w:i w:val="1"/>
          <w:iCs w:val="1"/>
          <w:color w:val="auto"/>
        </w:rPr>
        <w:t>*Net Product Sales and Collaboration Revenue consists of EPKINLY Net Product Sales in the U.S. and Japan and Tivdak (Genmab’s share of net profits) in the U.S. and Net Product Sales in Japan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Operating Expenses Range excludes Cost of Product Sales Range, which is included in Gross Profit Range</w:t>
      </w:r>
    </w:p>
    <w:p>
      <w:pPr>
        <w:spacing w:after="0" w:line="20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Genmab is updating its revenue and operating profit guidance for 2025. The improved guidance is driven by higher total royalty revenues from DARZALEX.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Genmab expects its 2025 revenue to be in the range of $3.5 - 3.7 billion, an increase to the previous guidance range of $3.3 - 3.7 billion.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Genmab’s projected revenue growth for 2025 is driven by higher royalties, net product sales and collaboration revenue.</w:t>
      </w:r>
    </w:p>
    <w:p>
      <w:pPr>
        <w:spacing w:after="0" w:line="234" w:lineRule="exact"/>
        <w:rPr>
          <w:sz w:val="20"/>
          <w:szCs w:val="20"/>
          <w:color w:val="auto"/>
        </w:rPr>
      </w:pPr>
    </w:p>
    <w:p>
      <w:pPr>
        <w:jc w:val="both"/>
        <w:ind w:right="580"/>
        <w:spacing w:after="0" w:line="262" w:lineRule="auto"/>
        <w:rPr>
          <w:sz w:val="20"/>
          <w:szCs w:val="20"/>
          <w:color w:val="auto"/>
        </w:rPr>
      </w:pPr>
      <w:r>
        <w:rPr>
          <w:rFonts w:ascii="Arial" w:cs="Arial" w:eastAsia="Arial" w:hAnsi="Arial"/>
          <w:sz w:val="18"/>
          <w:szCs w:val="18"/>
          <w:color w:val="auto"/>
        </w:rPr>
        <w:t>Royalty growth relates mainly to DARZALEX and Kesimpta net sales growth. DARZALEX royalties of $2.3 - $2.4 billion are based on Genmab’s estimate of DARZALEX 2025 net sales of $13.7 – 14.1 billion. DARZALEX royalties are partly offset by Genmab’s share of Janssen’s royalty payments to Halozyme Therapeutics, Inc. (Halozyme) in connection with SC net sales as well as royalty reduction in countries and territories where there are no Genmab patents.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Genmab is maintaining its 2025 operating expenses to be in the range of $2.1 - 2.2 billion.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Genmab expects its 2025 operating profit to be in the range of $1.1 - 1.4 billion, compared to previous guidance range of $0.9 - 1.4 billion, primarily driven by the items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Outlook: Risks and Assumptions</w:t>
      </w:r>
    </w:p>
    <w:p>
      <w:pPr>
        <w:spacing w:after="0" w:line="2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addition to factors already mentioned, the estimates above are subject to change due to numerous reasons, including but not limited to, the achievement of certain milestones associated with Genmab’s collaboration agreements; the timing and variation of development activities (including activities carried out by Genmab’s collaboration partners) and related income and costs; DARZALEX,</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 xml:space="preserve">DARZALEX </w:t>
      </w:r>
      <w:r>
        <w:rPr>
          <w:rFonts w:ascii="Arial" w:cs="Arial" w:eastAsia="Arial" w:hAnsi="Arial"/>
          <w:sz w:val="18"/>
          <w:szCs w:val="18"/>
          <w:i w:val="1"/>
          <w:iCs w:val="1"/>
          <w:color w:val="auto"/>
        </w:rPr>
        <w:t>FASPRO</w:t>
      </w:r>
      <w:r>
        <w:rPr>
          <w:rFonts w:ascii="Arial" w:cs="Arial" w:eastAsia="Arial" w:hAnsi="Arial"/>
          <w:sz w:val="18"/>
          <w:szCs w:val="18"/>
          <w:color w:val="auto"/>
        </w:rPr>
        <w:t>, Kesimpta, TEPEZZA, RYBREVANT, TECVAYLI, TALVEY and TEPKINLY net sales and royalties paid to Genmab; changing rates of inflation; and currency exchange rates The financial guidance assumes that no significant new agreements are entered into during the remainder of 2025 that could materially affect the results. Refer to the section “Significant Risks and Uncertainties” in this interim report for matters that may cause Genmab’s actual results to differ materially from 2025 Guidance.</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factors discussed above, as well as other factors that are currently unforeseeable, may result in further and other unforeseen material adverse impacts on Genmab’s business and financial performance, including on the sales of Tivdak and EPKINLY/TEPKINLY, and on the net sales of DARZALEX, Kesimpta, TEPEZZA, RYBREVANT, TECVAYLI and TALVEY by Genmab’s collaboration partners and on Genmab’s royalties, collaboration revenue and milestone revenue therefrom.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5/44</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PRODUCT PIPELINE AND TECHNOLOGY PROGRESS FIRST HALF OF 2025</w:t>
      </w:r>
    </w:p>
    <w:p>
      <w:pPr>
        <w:spacing w:after="0" w:line="36" w:lineRule="exact"/>
        <w:rPr>
          <w:sz w:val="20"/>
          <w:szCs w:val="20"/>
          <w:color w:val="auto"/>
        </w:rPr>
      </w:pPr>
    </w:p>
    <w:p>
      <w:pPr>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At the end of the first half of 2025, Genmab’s proprietary pipeline of investigational medicines, where we are responsible for at least 50% of development, consisted of 10 antibody products in clinical development. These include Genmab’s approved medicines, Tivdak, which Genmab is co-developing globally and co-promoting in the U.S. in collaboration with Pfizer Inc. (Pfizer) and exclusively by Genmab outside of the U.S. and China, and EPKINLY/TEPKINLY, which Genmab is co-developing and co-commercializing in the U.S. and Japan in collaboration with AbbVie Inc. (AbbVie). In addition to our own pipeline, there are multiple investigational medicines in development by global pharmaceutical and biotechnology companies, including six approved medicines powered by Genmab’s technology and innovations. Beyond the investigational medicines in clinical development, our pipeline includes multiple preclinical programs. An overview of the development status of our approved medicines and each of our investigational medicines is provided in the following section, including updates for the second quarter of 2025. For events that occurred during the first quarter of 2025, please refer to </w:t>
      </w:r>
      <w:hyperlink r:id="rId36">
        <w:r>
          <w:rPr>
            <w:rFonts w:ascii="Arial" w:cs="Arial" w:eastAsia="Arial" w:hAnsi="Arial"/>
            <w:sz w:val="18"/>
            <w:szCs w:val="18"/>
            <w:u w:val="single" w:color="auto"/>
            <w:color w:val="029C93"/>
          </w:rPr>
          <w:t>Genmab’s Q1 2025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report. Detailed descriptions of dosing, efficacy and safety data from certain clinical trials have been disclosed in company announcements and media releases published via the Nasdaq Copenhagen A/S (Nasdaq Copenhagen) stock exchange and may also be found in Genmab’s filings with the U.S. Securities and Exchange Commission (U.S. SEC). Additional information is available on Genmab’s website, www.genmab.com. The information accessible through our website is not part of this report and is not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Genmab Proprietary Products</w:t>
      </w:r>
      <w:r>
        <w:rPr>
          <w:rFonts w:ascii="Arial" w:cs="Arial" w:eastAsia="Arial" w:hAnsi="Arial"/>
          <w:sz w:val="25"/>
          <w:szCs w:val="25"/>
          <w:b w:val="1"/>
          <w:bCs w:val="1"/>
          <w:color w:val="029C93"/>
          <w:vertAlign w:val="superscript"/>
        </w:rPr>
        <w:t>1</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Approved Medicines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 w:type="dxa"/>
            <w:vAlign w:val="bottom"/>
            <w:tcBorders>
              <w:bottom w:val="single" w:sz="8" w:color="029C93"/>
            </w:tcBorders>
          </w:tcPr>
          <w:p>
            <w:pPr>
              <w:spacing w:after="0"/>
              <w:rPr>
                <w:sz w:val="22"/>
                <w:szCs w:val="22"/>
                <w:color w:val="auto"/>
              </w:rPr>
            </w:pPr>
          </w:p>
        </w:tc>
        <w:tc>
          <w:tcPr>
            <w:tcW w:w="1920" w:type="dxa"/>
            <w:vAlign w:val="bottom"/>
            <w:tcBorders>
              <w:bottom w:val="single" w:sz="8" w:color="029C93"/>
            </w:tcBorders>
          </w:tcPr>
          <w:p>
            <w:pPr>
              <w:ind w:left="20"/>
              <w:spacing w:after="0"/>
              <w:rPr>
                <w:sz w:val="20"/>
                <w:szCs w:val="20"/>
                <w:color w:val="auto"/>
              </w:rPr>
            </w:pPr>
            <w:r>
              <w:rPr>
                <w:rFonts w:ascii="Arial" w:cs="Arial" w:eastAsia="Arial" w:hAnsi="Arial"/>
                <w:sz w:val="18"/>
                <w:szCs w:val="18"/>
                <w:b w:val="1"/>
                <w:bCs w:val="1"/>
                <w:color w:val="auto"/>
              </w:rPr>
              <w:t>Approved Product</w:t>
            </w:r>
          </w:p>
        </w:tc>
        <w:tc>
          <w:tcPr>
            <w:tcW w:w="1580" w:type="dxa"/>
            <w:vAlign w:val="bottom"/>
            <w:tcBorders>
              <w:bottom w:val="single" w:sz="8" w:color="029C93"/>
            </w:tcBorders>
          </w:tcPr>
          <w:p>
            <w:pPr>
              <w:ind w:left="80"/>
              <w:spacing w:after="0"/>
              <w:rPr>
                <w:sz w:val="20"/>
                <w:szCs w:val="20"/>
                <w:color w:val="auto"/>
              </w:rPr>
            </w:pPr>
            <w:r>
              <w:rPr>
                <w:rFonts w:ascii="Arial" w:cs="Arial" w:eastAsia="Arial" w:hAnsi="Arial"/>
                <w:sz w:val="18"/>
                <w:szCs w:val="18"/>
                <w:b w:val="1"/>
                <w:bCs w:val="1"/>
                <w:color w:val="auto"/>
              </w:rPr>
              <w:t>Target</w:t>
            </w:r>
          </w:p>
        </w:tc>
        <w:tc>
          <w:tcPr>
            <w:tcW w:w="2140" w:type="dxa"/>
            <w:vAlign w:val="bottom"/>
            <w:tcBorders>
              <w:bottom w:val="single" w:sz="8" w:color="029C93"/>
            </w:tcBorders>
          </w:tcPr>
          <w:p>
            <w:pPr>
              <w:ind w:left="100"/>
              <w:spacing w:after="0"/>
              <w:rPr>
                <w:sz w:val="20"/>
                <w:szCs w:val="20"/>
                <w:color w:val="auto"/>
              </w:rPr>
            </w:pPr>
            <w:r>
              <w:rPr>
                <w:rFonts w:ascii="Arial" w:cs="Arial" w:eastAsia="Arial" w:hAnsi="Arial"/>
                <w:sz w:val="18"/>
                <w:szCs w:val="18"/>
                <w:b w:val="1"/>
                <w:bCs w:val="1"/>
                <w:color w:val="auto"/>
              </w:rPr>
              <w:t>Developed By</w:t>
            </w:r>
          </w:p>
        </w:tc>
        <w:tc>
          <w:tcPr>
            <w:tcW w:w="5520" w:type="dxa"/>
            <w:vAlign w:val="bottom"/>
            <w:tcBorders>
              <w:bottom w:val="single" w:sz="8" w:color="029C93"/>
            </w:tcBorders>
          </w:tcPr>
          <w:p>
            <w:pPr>
              <w:ind w:left="20"/>
              <w:spacing w:after="0"/>
              <w:rPr>
                <w:sz w:val="20"/>
                <w:szCs w:val="20"/>
                <w:color w:val="auto"/>
              </w:rPr>
            </w:pPr>
            <w:r>
              <w:rPr>
                <w:rFonts w:ascii="Arial" w:cs="Arial" w:eastAsia="Arial" w:hAnsi="Arial"/>
                <w:sz w:val="18"/>
                <w:szCs w:val="18"/>
                <w:b w:val="1"/>
                <w:bCs w:val="1"/>
                <w:color w:val="auto"/>
              </w:rPr>
              <w:t>Disease Indication</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EPKINLY</w:t>
            </w:r>
          </w:p>
        </w:tc>
        <w:tc>
          <w:tcPr>
            <w:tcW w:w="1580" w:type="dxa"/>
            <w:vAlign w:val="bottom"/>
          </w:tcPr>
          <w:p>
            <w:pPr>
              <w:ind w:left="80"/>
              <w:spacing w:after="0"/>
              <w:rPr>
                <w:sz w:val="20"/>
                <w:szCs w:val="20"/>
                <w:color w:val="auto"/>
              </w:rPr>
            </w:pPr>
            <w:r>
              <w:rPr>
                <w:rFonts w:ascii="Arial" w:cs="Arial" w:eastAsia="Arial" w:hAnsi="Arial"/>
                <w:sz w:val="18"/>
                <w:szCs w:val="18"/>
                <w:color w:val="auto"/>
              </w:rPr>
              <w:t>CD3xCD20</w:t>
            </w:r>
          </w:p>
        </w:tc>
        <w:tc>
          <w:tcPr>
            <w:tcW w:w="2140" w:type="dxa"/>
            <w:vAlign w:val="bottom"/>
          </w:tcPr>
          <w:p>
            <w:pPr>
              <w:ind w:left="100"/>
              <w:spacing w:after="0"/>
              <w:rPr>
                <w:sz w:val="20"/>
                <w:szCs w:val="20"/>
                <w:color w:val="auto"/>
              </w:rPr>
            </w:pPr>
            <w:r>
              <w:rPr>
                <w:rFonts w:ascii="Arial" w:cs="Arial" w:eastAsia="Arial" w:hAnsi="Arial"/>
                <w:sz w:val="18"/>
                <w:szCs w:val="18"/>
                <w:color w:val="auto"/>
              </w:rPr>
              <w:t>Co-development</w:t>
            </w:r>
          </w:p>
        </w:tc>
        <w:tc>
          <w:tcPr>
            <w:tcW w:w="5520" w:type="dxa"/>
            <w:vAlign w:val="bottom"/>
          </w:tcPr>
          <w:p>
            <w:pPr>
              <w:ind w:left="20"/>
              <w:spacing w:after="0"/>
              <w:rPr>
                <w:sz w:val="20"/>
                <w:szCs w:val="20"/>
                <w:color w:val="auto"/>
              </w:rPr>
            </w:pPr>
            <w:r>
              <w:rPr>
                <w:rFonts w:ascii="Arial" w:cs="Arial" w:eastAsia="Arial" w:hAnsi="Arial"/>
                <w:sz w:val="18"/>
                <w:szCs w:val="18"/>
                <w:color w:val="auto"/>
              </w:rPr>
              <w:t>Approved in multiple territories including in the U.S. and Europe for</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(epcoritamab-bysp,</w:t>
            </w:r>
          </w:p>
        </w:tc>
        <w:tc>
          <w:tcPr>
            <w:tcW w:w="1580" w:type="dxa"/>
            <w:vAlign w:val="bottom"/>
          </w:tcPr>
          <w:p>
            <w:pPr>
              <w:spacing w:after="0"/>
              <w:rPr>
                <w:sz w:val="18"/>
                <w:szCs w:val="18"/>
                <w:color w:val="auto"/>
              </w:rPr>
            </w:pPr>
          </w:p>
        </w:tc>
        <w:tc>
          <w:tcPr>
            <w:tcW w:w="2140" w:type="dxa"/>
            <w:vAlign w:val="bottom"/>
          </w:tcPr>
          <w:p>
            <w:pPr>
              <w:ind w:left="100"/>
              <w:spacing w:after="0"/>
              <w:rPr>
                <w:sz w:val="20"/>
                <w:szCs w:val="20"/>
                <w:color w:val="auto"/>
              </w:rPr>
            </w:pPr>
            <w:r>
              <w:rPr>
                <w:rFonts w:ascii="Arial" w:cs="Arial" w:eastAsia="Arial" w:hAnsi="Arial"/>
                <w:sz w:val="18"/>
                <w:szCs w:val="18"/>
                <w:color w:val="auto"/>
              </w:rPr>
              <w:t>Genmab/AbbVie</w:t>
            </w:r>
          </w:p>
        </w:tc>
        <w:tc>
          <w:tcPr>
            <w:tcW w:w="5520" w:type="dxa"/>
            <w:vAlign w:val="bottom"/>
          </w:tcPr>
          <w:p>
            <w:pPr>
              <w:ind w:left="20"/>
              <w:spacing w:after="0"/>
              <w:rPr>
                <w:sz w:val="20"/>
                <w:szCs w:val="20"/>
                <w:color w:val="auto"/>
              </w:rPr>
            </w:pPr>
            <w:r>
              <w:rPr>
                <w:rFonts w:ascii="Arial" w:cs="Arial" w:eastAsia="Arial" w:hAnsi="Arial"/>
                <w:sz w:val="18"/>
                <w:szCs w:val="18"/>
                <w:color w:val="auto"/>
              </w:rPr>
              <w:t>adult patients with relapsed or refractory diffuse large B-cell</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epcoritamab)</w:t>
            </w:r>
          </w:p>
        </w:tc>
        <w:tc>
          <w:tcPr>
            <w:tcW w:w="1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lymphoma (DLBCL) after two or more lines of systemic therapy and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TEPKINLY</w:t>
            </w:r>
          </w:p>
        </w:tc>
        <w:tc>
          <w:tcPr>
            <w:tcW w:w="1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in Japan for adult patients with certain types of relapsed or refractory</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520" w:type="dxa"/>
            <w:vAlign w:val="bottom"/>
          </w:tcPr>
          <w:p>
            <w:pPr>
              <w:ind w:left="20"/>
              <w:spacing w:after="0" w:line="189" w:lineRule="exact"/>
              <w:rPr>
                <w:sz w:val="20"/>
                <w:szCs w:val="20"/>
                <w:color w:val="auto"/>
              </w:rPr>
            </w:pPr>
            <w:r>
              <w:rPr>
                <w:rFonts w:ascii="Arial" w:cs="Arial" w:eastAsia="Arial" w:hAnsi="Arial"/>
                <w:sz w:val="18"/>
                <w:szCs w:val="18"/>
                <w:color w:val="auto"/>
              </w:rPr>
              <w:t>large B-cell lymphoma (LBCL) after two or more lines of systemic</w:t>
            </w:r>
          </w:p>
        </w:tc>
        <w:tc>
          <w:tcPr>
            <w:tcW w:w="0" w:type="dxa"/>
            <w:vAlign w:val="bottom"/>
          </w:tcPr>
          <w:p>
            <w:pPr>
              <w:spacing w:after="0"/>
              <w:rPr>
                <w:sz w:val="1"/>
                <w:szCs w:val="1"/>
                <w:color w:val="auto"/>
              </w:rPr>
            </w:pPr>
          </w:p>
        </w:tc>
      </w:tr>
      <w:tr>
        <w:trPr>
          <w:trHeight w:val="266"/>
        </w:trPr>
        <w:tc>
          <w:tcPr>
            <w:tcW w:w="80" w:type="dxa"/>
            <w:vAlign w:val="bottom"/>
          </w:tcPr>
          <w:p>
            <w:pPr>
              <w:spacing w:after="0"/>
              <w:rPr>
                <w:sz w:val="23"/>
                <w:szCs w:val="23"/>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(epcoritamab)</w:t>
            </w:r>
          </w:p>
        </w:tc>
        <w:tc>
          <w:tcPr>
            <w:tcW w:w="15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therapy</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52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Approved in multiple territories including the U.S., Europe and Japan</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for adult patients with relapsed or refractory FL after two or more</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lines of systemic therapy</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1920" w:type="dxa"/>
            <w:vAlign w:val="bottom"/>
            <w:tcBorders>
              <w:bottom w:val="single" w:sz="8" w:color="029C93"/>
            </w:tcBorders>
          </w:tcPr>
          <w:p>
            <w:pPr>
              <w:spacing w:after="0"/>
              <w:rPr>
                <w:sz w:val="2"/>
                <w:szCs w:val="2"/>
                <w:color w:val="auto"/>
              </w:rPr>
            </w:pPr>
          </w:p>
        </w:tc>
        <w:tc>
          <w:tcPr>
            <w:tcW w:w="1580" w:type="dxa"/>
            <w:vAlign w:val="bottom"/>
            <w:tcBorders>
              <w:bottom w:val="single" w:sz="8" w:color="029C93"/>
            </w:tcBorders>
          </w:tcPr>
          <w:p>
            <w:pPr>
              <w:spacing w:after="0"/>
              <w:rPr>
                <w:sz w:val="2"/>
                <w:szCs w:val="2"/>
                <w:color w:val="auto"/>
              </w:rPr>
            </w:pPr>
          </w:p>
        </w:tc>
        <w:tc>
          <w:tcPr>
            <w:tcW w:w="2140" w:type="dxa"/>
            <w:vAlign w:val="bottom"/>
            <w:tcBorders>
              <w:bottom w:val="single" w:sz="8" w:color="029C93"/>
            </w:tcBorders>
          </w:tcPr>
          <w:p>
            <w:pPr>
              <w:spacing w:after="0"/>
              <w:rPr>
                <w:sz w:val="2"/>
                <w:szCs w:val="2"/>
                <w:color w:val="auto"/>
              </w:rPr>
            </w:pPr>
          </w:p>
        </w:tc>
        <w:tc>
          <w:tcPr>
            <w:tcW w:w="552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Tivdak</w:t>
            </w:r>
          </w:p>
        </w:tc>
        <w:tc>
          <w:tcPr>
            <w:tcW w:w="1580" w:type="dxa"/>
            <w:vAlign w:val="bottom"/>
          </w:tcPr>
          <w:p>
            <w:pPr>
              <w:ind w:left="80"/>
              <w:spacing w:after="0"/>
              <w:rPr>
                <w:sz w:val="20"/>
                <w:szCs w:val="20"/>
                <w:color w:val="auto"/>
              </w:rPr>
            </w:pPr>
            <w:r>
              <w:rPr>
                <w:rFonts w:ascii="Arial" w:cs="Arial" w:eastAsia="Arial" w:hAnsi="Arial"/>
                <w:sz w:val="18"/>
                <w:szCs w:val="18"/>
                <w:color w:val="auto"/>
              </w:rPr>
              <w:t>Tissue factor (TF)</w:t>
            </w:r>
          </w:p>
        </w:tc>
        <w:tc>
          <w:tcPr>
            <w:tcW w:w="2140" w:type="dxa"/>
            <w:vAlign w:val="bottom"/>
          </w:tcPr>
          <w:p>
            <w:pPr>
              <w:ind w:left="100"/>
              <w:spacing w:after="0"/>
              <w:rPr>
                <w:sz w:val="20"/>
                <w:szCs w:val="20"/>
                <w:color w:val="auto"/>
              </w:rPr>
            </w:pPr>
            <w:r>
              <w:rPr>
                <w:rFonts w:ascii="Arial" w:cs="Arial" w:eastAsia="Arial" w:hAnsi="Arial"/>
                <w:sz w:val="18"/>
                <w:szCs w:val="18"/>
                <w:color w:val="auto"/>
              </w:rPr>
              <w:t>Co-development</w:t>
            </w:r>
          </w:p>
        </w:tc>
        <w:tc>
          <w:tcPr>
            <w:tcW w:w="5520" w:type="dxa"/>
            <w:vAlign w:val="bottom"/>
          </w:tcPr>
          <w:p>
            <w:pPr>
              <w:ind w:left="20"/>
              <w:spacing w:after="0"/>
              <w:rPr>
                <w:sz w:val="20"/>
                <w:szCs w:val="20"/>
                <w:color w:val="auto"/>
              </w:rPr>
            </w:pPr>
            <w:r>
              <w:rPr>
                <w:rFonts w:ascii="Arial" w:cs="Arial" w:eastAsia="Arial" w:hAnsi="Arial"/>
                <w:sz w:val="18"/>
                <w:szCs w:val="18"/>
                <w:color w:val="auto"/>
              </w:rPr>
              <w:t>Approved in the U.S., Europe and Japan for adult patients with</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(tisotumab vedotin-tftv,</w:t>
            </w:r>
          </w:p>
        </w:tc>
        <w:tc>
          <w:tcPr>
            <w:tcW w:w="1580" w:type="dxa"/>
            <w:vAlign w:val="bottom"/>
          </w:tcPr>
          <w:p>
            <w:pPr>
              <w:spacing w:after="0"/>
              <w:rPr>
                <w:sz w:val="18"/>
                <w:szCs w:val="18"/>
                <w:color w:val="auto"/>
              </w:rPr>
            </w:pPr>
          </w:p>
        </w:tc>
        <w:tc>
          <w:tcPr>
            <w:tcW w:w="2140" w:type="dxa"/>
            <w:vAlign w:val="bottom"/>
          </w:tcPr>
          <w:p>
            <w:pPr>
              <w:ind w:left="100"/>
              <w:spacing w:after="0"/>
              <w:rPr>
                <w:sz w:val="20"/>
                <w:szCs w:val="20"/>
                <w:color w:val="auto"/>
              </w:rPr>
            </w:pPr>
            <w:r>
              <w:rPr>
                <w:rFonts w:ascii="Arial" w:cs="Arial" w:eastAsia="Arial" w:hAnsi="Arial"/>
                <w:sz w:val="18"/>
                <w:szCs w:val="18"/>
                <w:color w:val="auto"/>
              </w:rPr>
              <w:t>Genmab/Pfizer</w:t>
            </w:r>
          </w:p>
        </w:tc>
        <w:tc>
          <w:tcPr>
            <w:tcW w:w="5520" w:type="dxa"/>
            <w:vAlign w:val="bottom"/>
          </w:tcPr>
          <w:p>
            <w:pPr>
              <w:ind w:left="20"/>
              <w:spacing w:after="0"/>
              <w:rPr>
                <w:sz w:val="20"/>
                <w:szCs w:val="20"/>
                <w:color w:val="auto"/>
              </w:rPr>
            </w:pPr>
            <w:r>
              <w:rPr>
                <w:rFonts w:ascii="Arial" w:cs="Arial" w:eastAsia="Arial" w:hAnsi="Arial"/>
                <w:sz w:val="18"/>
                <w:szCs w:val="18"/>
                <w:color w:val="auto"/>
              </w:rPr>
              <w:t>recurrent/metastatic cervical cancer with disease progression on or</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tisotumab vedotin)</w:t>
            </w:r>
          </w:p>
        </w:tc>
        <w:tc>
          <w:tcPr>
            <w:tcW w:w="1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after chemotherapy</w:t>
            </w:r>
          </w:p>
        </w:tc>
        <w:tc>
          <w:tcPr>
            <w:tcW w:w="0" w:type="dxa"/>
            <w:vAlign w:val="bottom"/>
          </w:tcPr>
          <w:p>
            <w:pPr>
              <w:spacing w:after="0"/>
              <w:rPr>
                <w:sz w:val="1"/>
                <w:szCs w:val="1"/>
                <w:color w:val="auto"/>
              </w:rPr>
            </w:pPr>
          </w:p>
        </w:tc>
      </w:tr>
      <w:tr>
        <w:trPr>
          <w:trHeight w:val="23"/>
        </w:trPr>
        <w:tc>
          <w:tcPr>
            <w:tcW w:w="80" w:type="dxa"/>
            <w:vAlign w:val="bottom"/>
            <w:tcBorders>
              <w:bottom w:val="single" w:sz="8" w:color="029C93"/>
            </w:tcBorders>
          </w:tcPr>
          <w:p>
            <w:pPr>
              <w:spacing w:after="0"/>
              <w:rPr>
                <w:sz w:val="2"/>
                <w:szCs w:val="2"/>
                <w:color w:val="auto"/>
              </w:rPr>
            </w:pPr>
          </w:p>
        </w:tc>
        <w:tc>
          <w:tcPr>
            <w:tcW w:w="1920" w:type="dxa"/>
            <w:vAlign w:val="bottom"/>
            <w:tcBorders>
              <w:bottom w:val="single" w:sz="8" w:color="029C93"/>
            </w:tcBorders>
          </w:tcPr>
          <w:p>
            <w:pPr>
              <w:spacing w:after="0"/>
              <w:rPr>
                <w:sz w:val="2"/>
                <w:szCs w:val="2"/>
                <w:color w:val="auto"/>
              </w:rPr>
            </w:pPr>
          </w:p>
        </w:tc>
        <w:tc>
          <w:tcPr>
            <w:tcW w:w="1580" w:type="dxa"/>
            <w:vAlign w:val="bottom"/>
            <w:tcBorders>
              <w:bottom w:val="single" w:sz="8" w:color="029C93"/>
            </w:tcBorders>
          </w:tcPr>
          <w:p>
            <w:pPr>
              <w:spacing w:after="0"/>
              <w:rPr>
                <w:sz w:val="2"/>
                <w:szCs w:val="2"/>
                <w:color w:val="auto"/>
              </w:rPr>
            </w:pPr>
          </w:p>
        </w:tc>
        <w:tc>
          <w:tcPr>
            <w:tcW w:w="2140" w:type="dxa"/>
            <w:vAlign w:val="bottom"/>
            <w:tcBorders>
              <w:bottom w:val="single" w:sz="8" w:color="029C93"/>
            </w:tcBorders>
          </w:tcPr>
          <w:p>
            <w:pPr>
              <w:spacing w:after="0"/>
              <w:rPr>
                <w:sz w:val="2"/>
                <w:szCs w:val="2"/>
                <w:color w:val="auto"/>
              </w:rPr>
            </w:pPr>
          </w:p>
        </w:tc>
        <w:tc>
          <w:tcPr>
            <w:tcW w:w="552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0" w:hanging="72"/>
        <w:spacing w:after="0"/>
        <w:tabs>
          <w:tab w:leader="none" w:pos="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Approved and investigational medicines where Genmab has ≥50% ownership, in co-development with partners as indicated.</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Refer to relevant local prescribing information for precise indication and safety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6/44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Including Further Development for Approved Medicines</w:t>
      </w:r>
    </w:p>
    <w:p>
      <w:pPr>
        <w:spacing w:after="0" w:line="82" w:lineRule="exact"/>
        <w:rPr>
          <w:sz w:val="20"/>
          <w:szCs w:val="20"/>
          <w:color w:val="auto"/>
        </w:rPr>
      </w:pPr>
    </w:p>
    <w:p>
      <w:pPr>
        <w:ind w:left="740"/>
        <w:spacing w:after="0"/>
        <w:tabs>
          <w:tab w:leader="none" w:pos="1680" w:val="left"/>
          <w:tab w:leader="none" w:pos="2920" w:val="left"/>
          <w:tab w:leader="none" w:pos="3880" w:val="left"/>
          <w:tab w:leader="none" w:pos="4840" w:val="left"/>
          <w:tab w:leader="none" w:pos="6800" w:val="left"/>
        </w:tabs>
        <w:rPr>
          <w:sz w:val="20"/>
          <w:szCs w:val="20"/>
          <w:color w:val="auto"/>
        </w:rPr>
      </w:pPr>
      <w:r>
        <w:rPr>
          <w:rFonts w:ascii="Arial" w:cs="Arial" w:eastAsia="Arial" w:hAnsi="Arial"/>
          <w:sz w:val="9"/>
          <w:szCs w:val="9"/>
          <w:b w:val="1"/>
          <w:bCs w:val="1"/>
          <w:color w:val="auto"/>
        </w:rPr>
        <w:t>Product</w:t>
      </w:r>
      <w:r>
        <w:rPr>
          <w:sz w:val="20"/>
          <w:szCs w:val="20"/>
          <w:color w:val="auto"/>
        </w:rPr>
        <w:tab/>
      </w:r>
      <w:r>
        <w:rPr>
          <w:rFonts w:ascii="Arial" w:cs="Arial" w:eastAsia="Arial" w:hAnsi="Arial"/>
          <w:sz w:val="9"/>
          <w:szCs w:val="9"/>
          <w:b w:val="1"/>
          <w:bCs w:val="1"/>
          <w:color w:val="auto"/>
        </w:rPr>
        <w:t>Developed By</w:t>
      </w:r>
      <w:r>
        <w:rPr>
          <w:sz w:val="20"/>
          <w:szCs w:val="20"/>
          <w:color w:val="auto"/>
        </w:rPr>
        <w:tab/>
      </w:r>
      <w:r>
        <w:rPr>
          <w:rFonts w:ascii="Arial" w:cs="Arial" w:eastAsia="Arial" w:hAnsi="Arial"/>
          <w:sz w:val="9"/>
          <w:szCs w:val="9"/>
          <w:b w:val="1"/>
          <w:bCs w:val="1"/>
          <w:color w:val="auto"/>
        </w:rPr>
        <w:t>Target(s)</w:t>
      </w:r>
      <w:r>
        <w:rPr>
          <w:sz w:val="20"/>
          <w:szCs w:val="20"/>
          <w:color w:val="auto"/>
        </w:rPr>
        <w:tab/>
      </w:r>
      <w:r>
        <w:rPr>
          <w:rFonts w:ascii="Arial" w:cs="Arial" w:eastAsia="Arial" w:hAnsi="Arial"/>
          <w:sz w:val="9"/>
          <w:szCs w:val="9"/>
          <w:b w:val="1"/>
          <w:bCs w:val="1"/>
          <w:color w:val="auto"/>
        </w:rPr>
        <w:t>Technology</w:t>
      </w:r>
      <w:r>
        <w:rPr>
          <w:sz w:val="20"/>
          <w:szCs w:val="20"/>
          <w:color w:val="auto"/>
        </w:rPr>
        <w:tab/>
      </w:r>
      <w:r>
        <w:rPr>
          <w:rFonts w:ascii="Arial" w:cs="Arial" w:eastAsia="Arial" w:hAnsi="Arial"/>
          <w:sz w:val="9"/>
          <w:szCs w:val="9"/>
          <w:b w:val="1"/>
          <w:bCs w:val="1"/>
          <w:color w:val="auto"/>
        </w:rPr>
        <w:t>Disease Indications</w:t>
      </w:r>
      <w:r>
        <w:rPr>
          <w:sz w:val="20"/>
          <w:szCs w:val="20"/>
          <w:color w:val="auto"/>
        </w:rPr>
        <w:tab/>
      </w:r>
      <w:r>
        <w:rPr>
          <w:rFonts w:ascii="Arial" w:cs="Arial" w:eastAsia="Arial" w:hAnsi="Arial"/>
          <w:sz w:val="8"/>
          <w:szCs w:val="8"/>
          <w:b w:val="1"/>
          <w:bCs w:val="1"/>
          <w:color w:val="auto"/>
        </w:rPr>
        <w:t>Most Advanced Development Phase</w:t>
      </w:r>
    </w:p>
    <w:p>
      <w:pPr>
        <w:spacing w:after="0" w:line="59" w:lineRule="exact"/>
        <w:rPr>
          <w:sz w:val="20"/>
          <w:szCs w:val="20"/>
          <w:color w:val="auto"/>
        </w:rPr>
      </w:pPr>
    </w:p>
    <w:tbl>
      <w:tblPr>
        <w:tblLayout w:type="fixed"/>
        <w:tblInd w:w="6820" w:type="dxa"/>
        <w:tblCellMar>
          <w:top w:w="0" w:type="dxa"/>
          <w:left w:w="0" w:type="dxa"/>
          <w:bottom w:w="0" w:type="dxa"/>
          <w:right w:w="0" w:type="dxa"/>
        </w:tblCellMar>
      </w:tblPr>
      <w:tr>
        <w:trPr>
          <w:trHeight w:val="117"/>
        </w:trPr>
        <w:tc>
          <w:tcPr>
            <w:tcW w:w="860" w:type="dxa"/>
            <w:vAlign w:val="bottom"/>
          </w:tcPr>
          <w:p>
            <w:pPr>
              <w:spacing w:after="0"/>
              <w:rPr>
                <w:sz w:val="20"/>
                <w:szCs w:val="20"/>
                <w:color w:val="auto"/>
              </w:rPr>
            </w:pPr>
            <w:r>
              <w:rPr>
                <w:rFonts w:ascii="Arial" w:cs="Arial" w:eastAsia="Arial" w:hAnsi="Arial"/>
                <w:sz w:val="9"/>
                <w:szCs w:val="9"/>
                <w:color w:val="auto"/>
              </w:rPr>
              <w:t>Preclinical</w:t>
            </w:r>
          </w:p>
        </w:tc>
        <w:tc>
          <w:tcPr>
            <w:tcW w:w="960" w:type="dxa"/>
            <w:vAlign w:val="bottom"/>
          </w:tcPr>
          <w:p>
            <w:pPr>
              <w:jc w:val="right"/>
              <w:ind w:right="395"/>
              <w:spacing w:after="0"/>
              <w:rPr>
                <w:sz w:val="20"/>
                <w:szCs w:val="20"/>
                <w:color w:val="auto"/>
              </w:rPr>
            </w:pPr>
            <w:r>
              <w:rPr>
                <w:rFonts w:ascii="Arial" w:cs="Arial" w:eastAsia="Arial" w:hAnsi="Arial"/>
                <w:sz w:val="9"/>
                <w:szCs w:val="9"/>
                <w:color w:val="auto"/>
              </w:rPr>
              <w:t>1</w:t>
            </w:r>
          </w:p>
        </w:tc>
        <w:tc>
          <w:tcPr>
            <w:tcW w:w="940" w:type="dxa"/>
            <w:vAlign w:val="bottom"/>
          </w:tcPr>
          <w:p>
            <w:pPr>
              <w:jc w:val="right"/>
              <w:ind w:right="395"/>
              <w:spacing w:after="0"/>
              <w:rPr>
                <w:sz w:val="20"/>
                <w:szCs w:val="20"/>
                <w:color w:val="auto"/>
              </w:rPr>
            </w:pPr>
            <w:r>
              <w:rPr>
                <w:rFonts w:ascii="Arial" w:cs="Arial" w:eastAsia="Arial" w:hAnsi="Arial"/>
                <w:sz w:val="9"/>
                <w:szCs w:val="9"/>
                <w:color w:val="auto"/>
              </w:rPr>
              <w:t>2</w:t>
            </w:r>
          </w:p>
        </w:tc>
        <w:tc>
          <w:tcPr>
            <w:tcW w:w="500" w:type="dxa"/>
            <w:vAlign w:val="bottom"/>
          </w:tcPr>
          <w:p>
            <w:pPr>
              <w:jc w:val="right"/>
              <w:spacing w:after="0"/>
              <w:rPr>
                <w:sz w:val="20"/>
                <w:szCs w:val="20"/>
                <w:color w:val="auto"/>
              </w:rPr>
            </w:pPr>
            <w:r>
              <w:rPr>
                <w:rFonts w:ascii="Arial" w:cs="Arial" w:eastAsia="Arial" w:hAnsi="Arial"/>
                <w:sz w:val="9"/>
                <w:szCs w:val="9"/>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16510</wp:posOffset>
            </wp:positionV>
            <wp:extent cx="8255" cy="3968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255" cy="3968750"/>
                    </a:xfrm>
                    <a:prstGeom prst="rect">
                      <a:avLst/>
                    </a:prstGeom>
                    <a:noFill/>
                  </pic:spPr>
                </pic:pic>
              </a:graphicData>
            </a:graphic>
          </wp:anchor>
        </w:drawing>
      </w:r>
    </w:p>
    <w:tbl>
      <w:tblPr>
        <w:tblLayout w:type="fixed"/>
        <w:tblInd w:w="720" w:type="dxa"/>
        <w:tblCellMar>
          <w:top w:w="0" w:type="dxa"/>
          <w:left w:w="0" w:type="dxa"/>
          <w:bottom w:w="0" w:type="dxa"/>
          <w:right w:w="0" w:type="dxa"/>
        </w:tblCellMar>
      </w:tblPr>
      <w:tr>
        <w:trPr>
          <w:trHeight w:val="140"/>
        </w:trPr>
        <w:tc>
          <w:tcPr>
            <w:tcW w:w="880" w:type="dxa"/>
            <w:vAlign w:val="bottom"/>
            <w:tcBorders>
              <w:top w:val="single" w:sz="8" w:color="029C93"/>
            </w:tcBorders>
          </w:tcPr>
          <w:p>
            <w:pPr>
              <w:ind w:left="20"/>
              <w:spacing w:after="0"/>
              <w:rPr>
                <w:sz w:val="20"/>
                <w:szCs w:val="20"/>
                <w:color w:val="auto"/>
              </w:rPr>
            </w:pPr>
            <w:r>
              <w:rPr>
                <w:rFonts w:ascii="Arial" w:cs="Arial" w:eastAsia="Arial" w:hAnsi="Arial"/>
                <w:sz w:val="9"/>
                <w:szCs w:val="9"/>
                <w:b w:val="1"/>
                <w:bCs w:val="1"/>
                <w:color w:val="auto"/>
              </w:rPr>
              <w:t>Epcoritamab</w:t>
            </w:r>
          </w:p>
        </w:tc>
        <w:tc>
          <w:tcPr>
            <w:tcW w:w="100" w:type="dxa"/>
            <w:vAlign w:val="bottom"/>
          </w:tcPr>
          <w:p>
            <w:pPr>
              <w:spacing w:after="0"/>
              <w:rPr>
                <w:sz w:val="12"/>
                <w:szCs w:val="12"/>
                <w:color w:val="auto"/>
              </w:rPr>
            </w:pPr>
          </w:p>
        </w:tc>
        <w:tc>
          <w:tcPr>
            <w:tcW w:w="1120" w:type="dxa"/>
            <w:vAlign w:val="bottom"/>
            <w:tcBorders>
              <w:top w:val="single" w:sz="8" w:color="029C93"/>
            </w:tcBorders>
          </w:tcPr>
          <w:p>
            <w:pPr>
              <w:spacing w:after="0"/>
              <w:rPr>
                <w:sz w:val="20"/>
                <w:szCs w:val="20"/>
                <w:color w:val="auto"/>
              </w:rPr>
            </w:pPr>
            <w:r>
              <w:rPr>
                <w:rFonts w:ascii="Arial" w:cs="Arial" w:eastAsia="Arial" w:hAnsi="Arial"/>
                <w:sz w:val="9"/>
                <w:szCs w:val="9"/>
                <w:color w:val="auto"/>
              </w:rPr>
              <w:t>Co-development</w:t>
            </w:r>
          </w:p>
        </w:tc>
        <w:tc>
          <w:tcPr>
            <w:tcW w:w="100" w:type="dxa"/>
            <w:vAlign w:val="bottom"/>
          </w:tcPr>
          <w:p>
            <w:pPr>
              <w:spacing w:after="0"/>
              <w:rPr>
                <w:sz w:val="12"/>
                <w:szCs w:val="12"/>
                <w:color w:val="auto"/>
              </w:rPr>
            </w:pPr>
          </w:p>
        </w:tc>
        <w:tc>
          <w:tcPr>
            <w:tcW w:w="960" w:type="dxa"/>
            <w:vAlign w:val="bottom"/>
            <w:tcBorders>
              <w:top w:val="single" w:sz="8" w:color="029C93"/>
            </w:tcBorders>
          </w:tcPr>
          <w:p>
            <w:pPr>
              <w:ind w:left="20"/>
              <w:spacing w:after="0"/>
              <w:rPr>
                <w:sz w:val="20"/>
                <w:szCs w:val="20"/>
                <w:color w:val="auto"/>
              </w:rPr>
            </w:pPr>
            <w:r>
              <w:rPr>
                <w:rFonts w:ascii="Arial" w:cs="Arial" w:eastAsia="Arial" w:hAnsi="Arial"/>
                <w:sz w:val="9"/>
                <w:szCs w:val="9"/>
                <w:color w:val="auto"/>
              </w:rPr>
              <w:t>CD3, CD20</w:t>
            </w:r>
          </w:p>
        </w:tc>
        <w:tc>
          <w:tcPr>
            <w:tcW w:w="820" w:type="dxa"/>
            <w:vAlign w:val="bottom"/>
            <w:tcBorders>
              <w:top w:val="single" w:sz="8" w:color="029C93"/>
            </w:tcBorders>
          </w:tcPr>
          <w:p>
            <w:pPr>
              <w:ind w:left="20"/>
              <w:spacing w:after="0"/>
              <w:rPr>
                <w:sz w:val="20"/>
                <w:szCs w:val="20"/>
                <w:color w:val="auto"/>
              </w:rPr>
            </w:pPr>
            <w:r>
              <w:rPr>
                <w:rFonts w:ascii="Arial" w:cs="Arial" w:eastAsia="Arial" w:hAnsi="Arial"/>
                <w:sz w:val="9"/>
                <w:szCs w:val="9"/>
                <w:color w:val="auto"/>
              </w:rPr>
              <w:t>DuoBody®</w:t>
            </w:r>
          </w:p>
        </w:tc>
        <w:tc>
          <w:tcPr>
            <w:tcW w:w="2120" w:type="dxa"/>
            <w:vAlign w:val="bottom"/>
            <w:tcBorders>
              <w:top w:val="single" w:sz="8" w:color="029C93"/>
            </w:tcBorders>
          </w:tcPr>
          <w:p>
            <w:pPr>
              <w:ind w:left="160"/>
              <w:spacing w:after="0"/>
              <w:rPr>
                <w:sz w:val="20"/>
                <w:szCs w:val="20"/>
                <w:color w:val="auto"/>
              </w:rPr>
            </w:pPr>
            <w:r>
              <w:rPr>
                <w:rFonts w:ascii="Arial" w:cs="Arial" w:eastAsia="Arial" w:hAnsi="Arial"/>
                <w:sz w:val="9"/>
                <w:szCs w:val="9"/>
                <w:color w:val="auto"/>
              </w:rPr>
              <w:t>Relapsed/refractory DLBCL</w:t>
            </w:r>
          </w:p>
        </w:tc>
        <w:tc>
          <w:tcPr>
            <w:tcW w:w="880" w:type="dxa"/>
            <w:vAlign w:val="bottom"/>
            <w:tcBorders>
              <w:top w:val="single" w:sz="8" w:color="004D49"/>
            </w:tcBorders>
            <w:shd w:val="clear" w:color="auto" w:fill="004D49"/>
          </w:tcPr>
          <w:p>
            <w:pPr>
              <w:spacing w:after="0"/>
              <w:rPr>
                <w:sz w:val="12"/>
                <w:szCs w:val="12"/>
                <w:color w:val="auto"/>
              </w:rPr>
            </w:pPr>
          </w:p>
        </w:tc>
        <w:tc>
          <w:tcPr>
            <w:tcW w:w="480" w:type="dxa"/>
            <w:vAlign w:val="bottom"/>
            <w:tcBorders>
              <w:top w:val="single" w:sz="8" w:color="02756E"/>
            </w:tcBorders>
            <w:shd w:val="clear" w:color="auto" w:fill="02756E"/>
          </w:tcPr>
          <w:p>
            <w:pPr>
              <w:spacing w:after="0"/>
              <w:rPr>
                <w:sz w:val="12"/>
                <w:szCs w:val="12"/>
                <w:color w:val="auto"/>
              </w:rPr>
            </w:pPr>
          </w:p>
        </w:tc>
        <w:tc>
          <w:tcPr>
            <w:tcW w:w="460" w:type="dxa"/>
            <w:vAlign w:val="bottom"/>
            <w:tcBorders>
              <w:top w:val="single" w:sz="8" w:color="02756E"/>
            </w:tcBorders>
            <w:shd w:val="clear" w:color="auto" w:fill="02756E"/>
          </w:tcPr>
          <w:p>
            <w:pPr>
              <w:spacing w:after="0"/>
              <w:rPr>
                <w:sz w:val="12"/>
                <w:szCs w:val="12"/>
                <w:color w:val="auto"/>
              </w:rPr>
            </w:pPr>
          </w:p>
        </w:tc>
        <w:tc>
          <w:tcPr>
            <w:tcW w:w="480" w:type="dxa"/>
            <w:vAlign w:val="bottom"/>
            <w:tcBorders>
              <w:top w:val="single" w:sz="8" w:color="72FFF7"/>
            </w:tcBorders>
            <w:shd w:val="clear" w:color="auto" w:fill="72FFF7"/>
          </w:tcPr>
          <w:p>
            <w:pPr>
              <w:spacing w:after="0"/>
              <w:rPr>
                <w:sz w:val="12"/>
                <w:szCs w:val="12"/>
                <w:color w:val="auto"/>
              </w:rPr>
            </w:pPr>
          </w:p>
        </w:tc>
        <w:tc>
          <w:tcPr>
            <w:tcW w:w="480" w:type="dxa"/>
            <w:vAlign w:val="bottom"/>
            <w:tcBorders>
              <w:top w:val="single" w:sz="8" w:color="72FFF7"/>
            </w:tcBorders>
            <w:shd w:val="clear" w:color="auto" w:fill="72FFF7"/>
          </w:tcPr>
          <w:p>
            <w:pPr>
              <w:spacing w:after="0"/>
              <w:rPr>
                <w:sz w:val="12"/>
                <w:szCs w:val="12"/>
                <w:color w:val="auto"/>
              </w:rPr>
            </w:pPr>
          </w:p>
        </w:tc>
        <w:tc>
          <w:tcPr>
            <w:tcW w:w="460" w:type="dxa"/>
            <w:vAlign w:val="bottom"/>
            <w:tcBorders>
              <w:top w:val="single" w:sz="8" w:color="B6FFFA"/>
            </w:tcBorders>
            <w:shd w:val="clear" w:color="auto" w:fill="B6FFFA"/>
          </w:tcPr>
          <w:p>
            <w:pPr>
              <w:spacing w:after="0"/>
              <w:rPr>
                <w:sz w:val="12"/>
                <w:szCs w:val="12"/>
                <w:color w:val="auto"/>
              </w:rPr>
            </w:pPr>
          </w:p>
        </w:tc>
        <w:tc>
          <w:tcPr>
            <w:tcW w:w="480" w:type="dxa"/>
            <w:vAlign w:val="bottom"/>
            <w:tcBorders>
              <w:top w:val="single" w:sz="8" w:color="029C93"/>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9"/>
                <w:szCs w:val="9"/>
                <w:color w:val="auto"/>
              </w:rPr>
              <w:t>Genmab / AbbVie</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shd w:val="clear" w:color="auto" w:fill="02756E"/>
          </w:tcPr>
          <w:p>
            <w:pPr>
              <w:spacing w:after="0"/>
              <w:rPr>
                <w:sz w:val="10"/>
                <w:szCs w:val="10"/>
                <w:color w:val="auto"/>
              </w:rPr>
            </w:pPr>
          </w:p>
        </w:tc>
        <w:tc>
          <w:tcPr>
            <w:tcW w:w="480" w:type="dxa"/>
            <w:vAlign w:val="bottom"/>
            <w:shd w:val="clear" w:color="auto" w:fill="72FFF7"/>
          </w:tcPr>
          <w:p>
            <w:pPr>
              <w:spacing w:after="0"/>
              <w:rPr>
                <w:sz w:val="10"/>
                <w:szCs w:val="10"/>
                <w:color w:val="auto"/>
              </w:rPr>
            </w:pPr>
          </w:p>
        </w:tc>
        <w:tc>
          <w:tcPr>
            <w:tcW w:w="480" w:type="dxa"/>
            <w:vAlign w:val="bottom"/>
            <w:shd w:val="clear" w:color="auto" w:fill="72FFF7"/>
          </w:tcPr>
          <w:p>
            <w:pPr>
              <w:spacing w:after="0"/>
              <w:rPr>
                <w:sz w:val="10"/>
                <w:szCs w:val="10"/>
                <w:color w:val="auto"/>
              </w:rPr>
            </w:pPr>
          </w:p>
        </w:tc>
        <w:tc>
          <w:tcPr>
            <w:tcW w:w="460" w:type="dxa"/>
            <w:vAlign w:val="bottom"/>
            <w:shd w:val="clear" w:color="auto" w:fill="B6FFFA"/>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9"/>
                <w:szCs w:val="9"/>
                <w:color w:val="auto"/>
              </w:rPr>
              <w:t>Relapsed/refractory FL</w:t>
            </w:r>
          </w:p>
        </w:tc>
        <w:tc>
          <w:tcPr>
            <w:tcW w:w="880" w:type="dxa"/>
            <w:vAlign w:val="bottom"/>
            <w:shd w:val="clear" w:color="auto" w:fill="004D49"/>
          </w:tcPr>
          <w:p>
            <w:pPr>
              <w:spacing w:after="0"/>
              <w:rPr>
                <w:sz w:val="19"/>
                <w:szCs w:val="19"/>
                <w:color w:val="auto"/>
              </w:rPr>
            </w:pPr>
          </w:p>
        </w:tc>
        <w:tc>
          <w:tcPr>
            <w:tcW w:w="480" w:type="dxa"/>
            <w:vAlign w:val="bottom"/>
            <w:shd w:val="clear" w:color="auto" w:fill="02756E"/>
          </w:tcPr>
          <w:p>
            <w:pPr>
              <w:spacing w:after="0"/>
              <w:rPr>
                <w:sz w:val="19"/>
                <w:szCs w:val="19"/>
                <w:color w:val="auto"/>
              </w:rPr>
            </w:pPr>
          </w:p>
        </w:tc>
        <w:tc>
          <w:tcPr>
            <w:tcW w:w="460" w:type="dxa"/>
            <w:vAlign w:val="bottom"/>
            <w:shd w:val="clear" w:color="auto" w:fill="02756E"/>
          </w:tcPr>
          <w:p>
            <w:pPr>
              <w:spacing w:after="0"/>
              <w:rPr>
                <w:sz w:val="19"/>
                <w:szCs w:val="19"/>
                <w:color w:val="auto"/>
              </w:rPr>
            </w:pPr>
          </w:p>
        </w:tc>
        <w:tc>
          <w:tcPr>
            <w:tcW w:w="480" w:type="dxa"/>
            <w:vAlign w:val="bottom"/>
            <w:shd w:val="clear" w:color="auto" w:fill="72FFF7"/>
          </w:tcPr>
          <w:p>
            <w:pPr>
              <w:spacing w:after="0"/>
              <w:rPr>
                <w:sz w:val="19"/>
                <w:szCs w:val="19"/>
                <w:color w:val="auto"/>
              </w:rPr>
            </w:pPr>
          </w:p>
        </w:tc>
        <w:tc>
          <w:tcPr>
            <w:tcW w:w="480" w:type="dxa"/>
            <w:vAlign w:val="bottom"/>
            <w:shd w:val="clear" w:color="auto" w:fill="72FFF7"/>
          </w:tcPr>
          <w:p>
            <w:pPr>
              <w:spacing w:after="0"/>
              <w:rPr>
                <w:sz w:val="19"/>
                <w:szCs w:val="19"/>
                <w:color w:val="auto"/>
              </w:rPr>
            </w:pPr>
          </w:p>
        </w:tc>
        <w:tc>
          <w:tcPr>
            <w:tcW w:w="460" w:type="dxa"/>
            <w:vAlign w:val="bottom"/>
            <w:shd w:val="clear" w:color="auto" w:fill="B6FFFA"/>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9"/>
                <w:szCs w:val="9"/>
                <w:color w:val="auto"/>
              </w:rPr>
              <w:t>First line DLBCL</w:t>
            </w:r>
          </w:p>
        </w:tc>
        <w:tc>
          <w:tcPr>
            <w:tcW w:w="880" w:type="dxa"/>
            <w:vAlign w:val="bottom"/>
            <w:shd w:val="clear" w:color="auto" w:fill="004D49"/>
          </w:tcPr>
          <w:p>
            <w:pPr>
              <w:spacing w:after="0"/>
              <w:rPr>
                <w:sz w:val="19"/>
                <w:szCs w:val="19"/>
                <w:color w:val="auto"/>
              </w:rPr>
            </w:pPr>
          </w:p>
        </w:tc>
        <w:tc>
          <w:tcPr>
            <w:tcW w:w="480" w:type="dxa"/>
            <w:vAlign w:val="bottom"/>
            <w:shd w:val="clear" w:color="auto" w:fill="02756E"/>
          </w:tcPr>
          <w:p>
            <w:pPr>
              <w:spacing w:after="0"/>
              <w:rPr>
                <w:sz w:val="19"/>
                <w:szCs w:val="19"/>
                <w:color w:val="auto"/>
              </w:rPr>
            </w:pPr>
          </w:p>
        </w:tc>
        <w:tc>
          <w:tcPr>
            <w:tcW w:w="460" w:type="dxa"/>
            <w:vAlign w:val="bottom"/>
            <w:shd w:val="clear" w:color="auto" w:fill="02756E"/>
          </w:tcPr>
          <w:p>
            <w:pPr>
              <w:spacing w:after="0"/>
              <w:rPr>
                <w:sz w:val="19"/>
                <w:szCs w:val="19"/>
                <w:color w:val="auto"/>
              </w:rPr>
            </w:pPr>
          </w:p>
        </w:tc>
        <w:tc>
          <w:tcPr>
            <w:tcW w:w="480" w:type="dxa"/>
            <w:vAlign w:val="bottom"/>
            <w:shd w:val="clear" w:color="auto" w:fill="72FFF7"/>
          </w:tcPr>
          <w:p>
            <w:pPr>
              <w:spacing w:after="0"/>
              <w:rPr>
                <w:sz w:val="19"/>
                <w:szCs w:val="19"/>
                <w:color w:val="auto"/>
              </w:rPr>
            </w:pPr>
          </w:p>
        </w:tc>
        <w:tc>
          <w:tcPr>
            <w:tcW w:w="480" w:type="dxa"/>
            <w:vAlign w:val="bottom"/>
            <w:shd w:val="clear" w:color="auto" w:fill="72FFF7"/>
          </w:tcPr>
          <w:p>
            <w:pPr>
              <w:spacing w:after="0"/>
              <w:rPr>
                <w:sz w:val="19"/>
                <w:szCs w:val="19"/>
                <w:color w:val="auto"/>
              </w:rPr>
            </w:pPr>
          </w:p>
        </w:tc>
        <w:tc>
          <w:tcPr>
            <w:tcW w:w="460" w:type="dxa"/>
            <w:vAlign w:val="bottom"/>
            <w:shd w:val="clear" w:color="auto" w:fill="B6FFFA"/>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9"/>
                <w:szCs w:val="9"/>
                <w:color w:val="auto"/>
              </w:rPr>
              <w:t>First line FL</w:t>
            </w:r>
          </w:p>
        </w:tc>
        <w:tc>
          <w:tcPr>
            <w:tcW w:w="880" w:type="dxa"/>
            <w:vAlign w:val="bottom"/>
            <w:shd w:val="clear" w:color="auto" w:fill="004D49"/>
          </w:tcPr>
          <w:p>
            <w:pPr>
              <w:spacing w:after="0"/>
              <w:rPr>
                <w:sz w:val="19"/>
                <w:szCs w:val="19"/>
                <w:color w:val="auto"/>
              </w:rPr>
            </w:pPr>
          </w:p>
        </w:tc>
        <w:tc>
          <w:tcPr>
            <w:tcW w:w="480" w:type="dxa"/>
            <w:vAlign w:val="bottom"/>
            <w:shd w:val="clear" w:color="auto" w:fill="02756E"/>
          </w:tcPr>
          <w:p>
            <w:pPr>
              <w:spacing w:after="0"/>
              <w:rPr>
                <w:sz w:val="19"/>
                <w:szCs w:val="19"/>
                <w:color w:val="auto"/>
              </w:rPr>
            </w:pPr>
          </w:p>
        </w:tc>
        <w:tc>
          <w:tcPr>
            <w:tcW w:w="460" w:type="dxa"/>
            <w:vAlign w:val="bottom"/>
            <w:shd w:val="clear" w:color="auto" w:fill="02756E"/>
          </w:tcPr>
          <w:p>
            <w:pPr>
              <w:spacing w:after="0"/>
              <w:rPr>
                <w:sz w:val="19"/>
                <w:szCs w:val="19"/>
                <w:color w:val="auto"/>
              </w:rPr>
            </w:pPr>
          </w:p>
        </w:tc>
        <w:tc>
          <w:tcPr>
            <w:tcW w:w="480" w:type="dxa"/>
            <w:vAlign w:val="bottom"/>
            <w:shd w:val="clear" w:color="auto" w:fill="72FFF7"/>
          </w:tcPr>
          <w:p>
            <w:pPr>
              <w:spacing w:after="0"/>
              <w:rPr>
                <w:sz w:val="19"/>
                <w:szCs w:val="19"/>
                <w:color w:val="auto"/>
              </w:rPr>
            </w:pPr>
          </w:p>
        </w:tc>
        <w:tc>
          <w:tcPr>
            <w:tcW w:w="480" w:type="dxa"/>
            <w:vAlign w:val="bottom"/>
            <w:shd w:val="clear" w:color="auto" w:fill="72FFF7"/>
          </w:tcPr>
          <w:p>
            <w:pPr>
              <w:spacing w:after="0"/>
              <w:rPr>
                <w:sz w:val="19"/>
                <w:szCs w:val="19"/>
                <w:color w:val="auto"/>
              </w:rPr>
            </w:pPr>
          </w:p>
        </w:tc>
        <w:tc>
          <w:tcPr>
            <w:tcW w:w="460" w:type="dxa"/>
            <w:vAlign w:val="bottom"/>
            <w:shd w:val="clear" w:color="auto" w:fill="B6FFFA"/>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120" w:type="dxa"/>
            <w:vAlign w:val="bottom"/>
            <w:vMerge w:val="restart"/>
          </w:tcPr>
          <w:p>
            <w:pPr>
              <w:ind w:left="160"/>
              <w:spacing w:after="0"/>
              <w:rPr>
                <w:sz w:val="20"/>
                <w:szCs w:val="20"/>
                <w:color w:val="auto"/>
              </w:rPr>
            </w:pPr>
            <w:r>
              <w:rPr>
                <w:rFonts w:ascii="Arial" w:cs="Arial" w:eastAsia="Arial" w:hAnsi="Arial"/>
                <w:sz w:val="9"/>
                <w:szCs w:val="9"/>
                <w:color w:val="auto"/>
              </w:rPr>
              <w:t>B-cell non-Hodgkin lymphoma (NHL)</w:t>
            </w:r>
          </w:p>
        </w:tc>
        <w:tc>
          <w:tcPr>
            <w:tcW w:w="880" w:type="dxa"/>
            <w:vAlign w:val="bottom"/>
            <w:shd w:val="clear" w:color="auto" w:fill="004D49"/>
          </w:tcPr>
          <w:p>
            <w:pPr>
              <w:spacing w:after="0"/>
              <w:rPr>
                <w:sz w:val="6"/>
                <w:szCs w:val="6"/>
                <w:color w:val="auto"/>
              </w:rPr>
            </w:pPr>
          </w:p>
        </w:tc>
        <w:tc>
          <w:tcPr>
            <w:tcW w:w="480" w:type="dxa"/>
            <w:vAlign w:val="bottom"/>
            <w:shd w:val="clear" w:color="auto" w:fill="02756E"/>
          </w:tcPr>
          <w:p>
            <w:pPr>
              <w:spacing w:after="0"/>
              <w:rPr>
                <w:sz w:val="6"/>
                <w:szCs w:val="6"/>
                <w:color w:val="auto"/>
              </w:rPr>
            </w:pPr>
          </w:p>
        </w:tc>
        <w:tc>
          <w:tcPr>
            <w:tcW w:w="460" w:type="dxa"/>
            <w:vAlign w:val="bottom"/>
            <w:shd w:val="clear" w:color="auto" w:fill="02756E"/>
          </w:tcPr>
          <w:p>
            <w:pPr>
              <w:spacing w:after="0"/>
              <w:rPr>
                <w:sz w:val="6"/>
                <w:szCs w:val="6"/>
                <w:color w:val="auto"/>
              </w:rPr>
            </w:pPr>
          </w:p>
        </w:tc>
        <w:tc>
          <w:tcPr>
            <w:tcW w:w="480" w:type="dxa"/>
            <w:vAlign w:val="bottom"/>
            <w:shd w:val="clear" w:color="auto" w:fill="72FFF7"/>
          </w:tcPr>
          <w:p>
            <w:pPr>
              <w:spacing w:after="0"/>
              <w:rPr>
                <w:sz w:val="6"/>
                <w:szCs w:val="6"/>
                <w:color w:val="auto"/>
              </w:rPr>
            </w:pPr>
          </w:p>
        </w:tc>
        <w:tc>
          <w:tcPr>
            <w:tcW w:w="480" w:type="dxa"/>
            <w:vAlign w:val="bottom"/>
            <w:shd w:val="clear" w:color="auto" w:fill="72FFF7"/>
          </w:tcPr>
          <w:p>
            <w:pPr>
              <w:spacing w:after="0"/>
              <w:rPr>
                <w:sz w:val="6"/>
                <w:szCs w:val="6"/>
                <w:color w:val="auto"/>
              </w:rPr>
            </w:pPr>
          </w:p>
        </w:tc>
        <w:tc>
          <w:tcPr>
            <w:tcW w:w="460" w:type="dxa"/>
            <w:vAlign w:val="bottom"/>
            <w:shd w:val="clear" w:color="auto" w:fill="B6FFFA"/>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20" w:type="dxa"/>
            <w:vAlign w:val="bottom"/>
            <w:vMerge w:val="continue"/>
          </w:tcPr>
          <w:p>
            <w:pPr>
              <w:spacing w:after="0"/>
              <w:rPr>
                <w:sz w:val="13"/>
                <w:szCs w:val="13"/>
                <w:color w:val="auto"/>
              </w:rPr>
            </w:pPr>
          </w:p>
        </w:tc>
        <w:tc>
          <w:tcPr>
            <w:tcW w:w="880" w:type="dxa"/>
            <w:vAlign w:val="bottom"/>
            <w:shd w:val="clear" w:color="auto" w:fill="004D49"/>
          </w:tcPr>
          <w:p>
            <w:pPr>
              <w:spacing w:after="0"/>
              <w:rPr>
                <w:sz w:val="13"/>
                <w:szCs w:val="13"/>
                <w:color w:val="auto"/>
              </w:rPr>
            </w:pPr>
          </w:p>
        </w:tc>
        <w:tc>
          <w:tcPr>
            <w:tcW w:w="480" w:type="dxa"/>
            <w:vAlign w:val="bottom"/>
            <w:shd w:val="clear" w:color="auto" w:fill="02756E"/>
          </w:tcPr>
          <w:p>
            <w:pPr>
              <w:spacing w:after="0"/>
              <w:rPr>
                <w:sz w:val="13"/>
                <w:szCs w:val="13"/>
                <w:color w:val="auto"/>
              </w:rPr>
            </w:pPr>
          </w:p>
        </w:tc>
        <w:tc>
          <w:tcPr>
            <w:tcW w:w="460" w:type="dxa"/>
            <w:vAlign w:val="bottom"/>
            <w:shd w:val="clear" w:color="auto" w:fill="02756E"/>
          </w:tcPr>
          <w:p>
            <w:pPr>
              <w:spacing w:after="0"/>
              <w:rPr>
                <w:sz w:val="13"/>
                <w:szCs w:val="13"/>
                <w:color w:val="auto"/>
              </w:rPr>
            </w:pPr>
          </w:p>
        </w:tc>
        <w:tc>
          <w:tcPr>
            <w:tcW w:w="480" w:type="dxa"/>
            <w:vAlign w:val="bottom"/>
            <w:shd w:val="clear" w:color="auto" w:fill="72FFF7"/>
          </w:tcPr>
          <w:p>
            <w:pPr>
              <w:spacing w:after="0"/>
              <w:rPr>
                <w:sz w:val="13"/>
                <w:szCs w:val="13"/>
                <w:color w:val="auto"/>
              </w:rPr>
            </w:pPr>
          </w:p>
        </w:tc>
        <w:tc>
          <w:tcPr>
            <w:tcW w:w="480" w:type="dxa"/>
            <w:vAlign w:val="bottom"/>
            <w:shd w:val="clear" w:color="auto" w:fill="72FFF7"/>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9"/>
                <w:szCs w:val="9"/>
                <w:color w:val="auto"/>
              </w:rPr>
              <w:t>Relapsed/refractory chronic lymphocytic</w:t>
            </w:r>
          </w:p>
        </w:tc>
        <w:tc>
          <w:tcPr>
            <w:tcW w:w="880" w:type="dxa"/>
            <w:vAlign w:val="bottom"/>
            <w:shd w:val="clear" w:color="auto" w:fill="004D49"/>
          </w:tcPr>
          <w:p>
            <w:pPr>
              <w:spacing w:after="0"/>
              <w:rPr>
                <w:sz w:val="19"/>
                <w:szCs w:val="19"/>
                <w:color w:val="auto"/>
              </w:rPr>
            </w:pPr>
          </w:p>
        </w:tc>
        <w:tc>
          <w:tcPr>
            <w:tcW w:w="480" w:type="dxa"/>
            <w:vAlign w:val="bottom"/>
            <w:shd w:val="clear" w:color="auto" w:fill="02756E"/>
          </w:tcPr>
          <w:p>
            <w:pPr>
              <w:spacing w:after="0"/>
              <w:rPr>
                <w:sz w:val="19"/>
                <w:szCs w:val="19"/>
                <w:color w:val="auto"/>
              </w:rPr>
            </w:pPr>
          </w:p>
        </w:tc>
        <w:tc>
          <w:tcPr>
            <w:tcW w:w="460" w:type="dxa"/>
            <w:vAlign w:val="bottom"/>
            <w:shd w:val="clear" w:color="auto" w:fill="02756E"/>
          </w:tcPr>
          <w:p>
            <w:pPr>
              <w:spacing w:after="0"/>
              <w:rPr>
                <w:sz w:val="19"/>
                <w:szCs w:val="19"/>
                <w:color w:val="auto"/>
              </w:rPr>
            </w:pPr>
          </w:p>
        </w:tc>
        <w:tc>
          <w:tcPr>
            <w:tcW w:w="480" w:type="dxa"/>
            <w:vAlign w:val="bottom"/>
            <w:shd w:val="clear" w:color="auto" w:fill="72FFF7"/>
          </w:tcPr>
          <w:p>
            <w:pPr>
              <w:spacing w:after="0"/>
              <w:rPr>
                <w:sz w:val="19"/>
                <w:szCs w:val="19"/>
                <w:color w:val="auto"/>
              </w:rPr>
            </w:pPr>
          </w:p>
        </w:tc>
        <w:tc>
          <w:tcPr>
            <w:tcW w:w="480" w:type="dxa"/>
            <w:vAlign w:val="bottom"/>
            <w:shd w:val="clear" w:color="auto" w:fill="72FFF7"/>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20" w:type="dxa"/>
            <w:vAlign w:val="bottom"/>
          </w:tcPr>
          <w:p>
            <w:pPr>
              <w:ind w:left="160"/>
              <w:spacing w:after="0"/>
              <w:rPr>
                <w:sz w:val="20"/>
                <w:szCs w:val="20"/>
                <w:color w:val="auto"/>
              </w:rPr>
            </w:pPr>
            <w:r>
              <w:rPr>
                <w:rFonts w:ascii="Arial" w:cs="Arial" w:eastAsia="Arial" w:hAnsi="Arial"/>
                <w:sz w:val="9"/>
                <w:szCs w:val="9"/>
                <w:color w:val="auto"/>
              </w:rPr>
              <w:t>leukemia (CLL) &amp; Richter's Syndrome</w:t>
            </w:r>
          </w:p>
        </w:tc>
        <w:tc>
          <w:tcPr>
            <w:tcW w:w="880" w:type="dxa"/>
            <w:vAlign w:val="bottom"/>
            <w:tcBorders>
              <w:bottom w:val="single" w:sz="8" w:color="004D49"/>
            </w:tcBorders>
            <w:shd w:val="clear" w:color="auto" w:fill="004D49"/>
          </w:tcPr>
          <w:p>
            <w:pPr>
              <w:spacing w:after="0"/>
              <w:rPr>
                <w:sz w:val="10"/>
                <w:szCs w:val="10"/>
                <w:color w:val="auto"/>
              </w:rPr>
            </w:pPr>
          </w:p>
        </w:tc>
        <w:tc>
          <w:tcPr>
            <w:tcW w:w="480" w:type="dxa"/>
            <w:vAlign w:val="bottom"/>
            <w:tcBorders>
              <w:bottom w:val="single" w:sz="8" w:color="02756E"/>
            </w:tcBorders>
            <w:shd w:val="clear" w:color="auto" w:fill="02756E"/>
          </w:tcPr>
          <w:p>
            <w:pPr>
              <w:spacing w:after="0"/>
              <w:rPr>
                <w:sz w:val="10"/>
                <w:szCs w:val="10"/>
                <w:color w:val="auto"/>
              </w:rPr>
            </w:pPr>
          </w:p>
        </w:tc>
        <w:tc>
          <w:tcPr>
            <w:tcW w:w="460" w:type="dxa"/>
            <w:vAlign w:val="bottom"/>
            <w:tcBorders>
              <w:bottom w:val="single" w:sz="8" w:color="02756E"/>
            </w:tcBorders>
            <w:shd w:val="clear" w:color="auto" w:fill="02756E"/>
          </w:tcPr>
          <w:p>
            <w:pPr>
              <w:spacing w:after="0"/>
              <w:rPr>
                <w:sz w:val="10"/>
                <w:szCs w:val="10"/>
                <w:color w:val="auto"/>
              </w:rPr>
            </w:pPr>
          </w:p>
        </w:tc>
        <w:tc>
          <w:tcPr>
            <w:tcW w:w="480" w:type="dxa"/>
            <w:vAlign w:val="bottom"/>
            <w:tcBorders>
              <w:bottom w:val="single" w:sz="8" w:color="72FFF7"/>
            </w:tcBorders>
            <w:shd w:val="clear" w:color="auto" w:fill="72FFF7"/>
          </w:tcPr>
          <w:p>
            <w:pPr>
              <w:spacing w:after="0"/>
              <w:rPr>
                <w:sz w:val="10"/>
                <w:szCs w:val="10"/>
                <w:color w:val="auto"/>
              </w:rPr>
            </w:pPr>
          </w:p>
        </w:tc>
        <w:tc>
          <w:tcPr>
            <w:tcW w:w="480" w:type="dxa"/>
            <w:vAlign w:val="bottom"/>
            <w:tcBorders>
              <w:bottom w:val="single" w:sz="8" w:color="72FFF7"/>
            </w:tcBorders>
            <w:shd w:val="clear" w:color="auto" w:fill="72FFF7"/>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20" w:type="dxa"/>
            <w:vAlign w:val="bottom"/>
          </w:tcPr>
          <w:p>
            <w:pPr>
              <w:ind w:left="160"/>
              <w:spacing w:after="0"/>
              <w:rPr>
                <w:sz w:val="20"/>
                <w:szCs w:val="20"/>
                <w:color w:val="auto"/>
              </w:rPr>
            </w:pPr>
            <w:r>
              <w:rPr>
                <w:rFonts w:ascii="Arial" w:cs="Arial" w:eastAsia="Arial" w:hAnsi="Arial"/>
                <w:sz w:val="9"/>
                <w:szCs w:val="9"/>
                <w:color w:val="auto"/>
              </w:rPr>
              <w:t>Aggressive mature B-cell neoplasms in pediatric</w:t>
            </w:r>
          </w:p>
        </w:tc>
        <w:tc>
          <w:tcPr>
            <w:tcW w:w="880" w:type="dxa"/>
            <w:vAlign w:val="bottom"/>
            <w:shd w:val="clear" w:color="auto" w:fill="004D49"/>
          </w:tcPr>
          <w:p>
            <w:pPr>
              <w:spacing w:after="0"/>
              <w:rPr>
                <w:sz w:val="12"/>
                <w:szCs w:val="12"/>
                <w:color w:val="auto"/>
              </w:rPr>
            </w:pPr>
          </w:p>
        </w:tc>
        <w:tc>
          <w:tcPr>
            <w:tcW w:w="480" w:type="dxa"/>
            <w:vAlign w:val="bottom"/>
            <w:shd w:val="clear" w:color="auto" w:fill="02756E"/>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20" w:type="dxa"/>
            <w:vAlign w:val="bottom"/>
          </w:tcPr>
          <w:p>
            <w:pPr>
              <w:ind w:left="160"/>
              <w:spacing w:after="0"/>
              <w:rPr>
                <w:sz w:val="20"/>
                <w:szCs w:val="20"/>
                <w:color w:val="auto"/>
              </w:rPr>
            </w:pPr>
            <w:r>
              <w:rPr>
                <w:rFonts w:ascii="Arial" w:cs="Arial" w:eastAsia="Arial" w:hAnsi="Arial"/>
                <w:sz w:val="9"/>
                <w:szCs w:val="9"/>
                <w:color w:val="auto"/>
              </w:rPr>
              <w:t>patients</w:t>
            </w: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94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029C93"/>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29C93"/>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029C93"/>
            </w:tcBorders>
          </w:tcPr>
          <w:p>
            <w:pPr>
              <w:spacing w:after="0"/>
              <w:rPr>
                <w:sz w:val="2"/>
                <w:szCs w:val="2"/>
                <w:color w:val="auto"/>
              </w:rPr>
            </w:pPr>
          </w:p>
        </w:tc>
        <w:tc>
          <w:tcPr>
            <w:tcW w:w="820" w:type="dxa"/>
            <w:vAlign w:val="bottom"/>
            <w:tcBorders>
              <w:bottom w:val="single" w:sz="8" w:color="029C93"/>
            </w:tcBorders>
          </w:tcPr>
          <w:p>
            <w:pPr>
              <w:spacing w:after="0"/>
              <w:rPr>
                <w:sz w:val="2"/>
                <w:szCs w:val="2"/>
                <w:color w:val="auto"/>
              </w:rPr>
            </w:pPr>
          </w:p>
        </w:tc>
        <w:tc>
          <w:tcPr>
            <w:tcW w:w="2120" w:type="dxa"/>
            <w:vAlign w:val="bottom"/>
            <w:tcBorders>
              <w:bottom w:val="single" w:sz="8" w:color="029C93"/>
            </w:tcBorders>
          </w:tcPr>
          <w:p>
            <w:pPr>
              <w:spacing w:after="0"/>
              <w:rPr>
                <w:sz w:val="2"/>
                <w:szCs w:val="2"/>
                <w:color w:val="auto"/>
              </w:rPr>
            </w:pPr>
          </w:p>
        </w:tc>
        <w:tc>
          <w:tcPr>
            <w:tcW w:w="880" w:type="dxa"/>
            <w:vAlign w:val="bottom"/>
            <w:tcBorders>
              <w:bottom w:val="single" w:sz="8" w:color="004D49"/>
            </w:tcBorders>
            <w:shd w:val="clear" w:color="auto" w:fill="004D49"/>
          </w:tcPr>
          <w:p>
            <w:pPr>
              <w:spacing w:after="0"/>
              <w:rPr>
                <w:sz w:val="2"/>
                <w:szCs w:val="2"/>
                <w:color w:val="auto"/>
              </w:rPr>
            </w:pPr>
          </w:p>
        </w:tc>
        <w:tc>
          <w:tcPr>
            <w:tcW w:w="480" w:type="dxa"/>
            <w:vAlign w:val="bottom"/>
            <w:tcBorders>
              <w:bottom w:val="single" w:sz="8" w:color="02756E"/>
            </w:tcBorders>
            <w:shd w:val="clear" w:color="auto" w:fill="02756E"/>
          </w:tcPr>
          <w:p>
            <w:pPr>
              <w:spacing w:after="0"/>
              <w:rPr>
                <w:sz w:val="2"/>
                <w:szCs w:val="2"/>
                <w:color w:val="auto"/>
              </w:rPr>
            </w:pPr>
          </w:p>
        </w:tc>
        <w:tc>
          <w:tcPr>
            <w:tcW w:w="460" w:type="dxa"/>
            <w:vAlign w:val="bottom"/>
            <w:tcBorders>
              <w:bottom w:val="single" w:sz="8" w:color="02756E"/>
            </w:tcBorders>
          </w:tcPr>
          <w:p>
            <w:pPr>
              <w:spacing w:after="0"/>
              <w:rPr>
                <w:sz w:val="2"/>
                <w:szCs w:val="2"/>
                <w:color w:val="auto"/>
              </w:rPr>
            </w:pPr>
          </w:p>
        </w:tc>
        <w:tc>
          <w:tcPr>
            <w:tcW w:w="480" w:type="dxa"/>
            <w:vAlign w:val="bottom"/>
            <w:tcBorders>
              <w:bottom w:val="single" w:sz="8" w:color="72FFF7"/>
            </w:tcBorders>
          </w:tcPr>
          <w:p>
            <w:pPr>
              <w:spacing w:after="0"/>
              <w:rPr>
                <w:sz w:val="2"/>
                <w:szCs w:val="2"/>
                <w:color w:val="auto"/>
              </w:rPr>
            </w:pPr>
          </w:p>
        </w:tc>
        <w:tc>
          <w:tcPr>
            <w:tcW w:w="480" w:type="dxa"/>
            <w:vAlign w:val="bottom"/>
            <w:tcBorders>
              <w:bottom w:val="single" w:sz="8" w:color="029C93"/>
            </w:tcBorders>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48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Tisotumab vedotin</w:t>
            </w:r>
          </w:p>
        </w:tc>
        <w:tc>
          <w:tcPr>
            <w:tcW w:w="1220" w:type="dxa"/>
            <w:vAlign w:val="bottom"/>
            <w:gridSpan w:val="2"/>
          </w:tcPr>
          <w:p>
            <w:pPr>
              <w:spacing w:after="0"/>
              <w:rPr>
                <w:sz w:val="20"/>
                <w:szCs w:val="20"/>
                <w:color w:val="auto"/>
              </w:rPr>
            </w:pPr>
            <w:r>
              <w:rPr>
                <w:rFonts w:ascii="Arial" w:cs="Arial" w:eastAsia="Arial" w:hAnsi="Arial"/>
                <w:sz w:val="9"/>
                <w:szCs w:val="9"/>
                <w:color w:val="auto"/>
              </w:rPr>
              <w:t>Co-development</w:t>
            </w:r>
          </w:p>
        </w:tc>
        <w:tc>
          <w:tcPr>
            <w:tcW w:w="960" w:type="dxa"/>
            <w:vAlign w:val="bottom"/>
          </w:tcPr>
          <w:p>
            <w:pPr>
              <w:ind w:left="20"/>
              <w:spacing w:after="0"/>
              <w:rPr>
                <w:sz w:val="20"/>
                <w:szCs w:val="20"/>
                <w:color w:val="auto"/>
              </w:rPr>
            </w:pPr>
            <w:r>
              <w:rPr>
                <w:rFonts w:ascii="Arial" w:cs="Arial" w:eastAsia="Arial" w:hAnsi="Arial"/>
                <w:sz w:val="9"/>
                <w:szCs w:val="9"/>
                <w:color w:val="auto"/>
              </w:rPr>
              <w:t>TF</w:t>
            </w:r>
          </w:p>
        </w:tc>
        <w:tc>
          <w:tcPr>
            <w:tcW w:w="820" w:type="dxa"/>
            <w:vAlign w:val="bottom"/>
          </w:tcPr>
          <w:p>
            <w:pPr>
              <w:ind w:left="20"/>
              <w:spacing w:after="0"/>
              <w:rPr>
                <w:sz w:val="20"/>
                <w:szCs w:val="20"/>
                <w:color w:val="auto"/>
              </w:rPr>
            </w:pPr>
            <w:r>
              <w:rPr>
                <w:rFonts w:ascii="Arial" w:cs="Arial" w:eastAsia="Arial" w:hAnsi="Arial"/>
                <w:sz w:val="9"/>
                <w:szCs w:val="9"/>
                <w:color w:val="auto"/>
              </w:rPr>
              <w:t>Antibody-drug</w:t>
            </w:r>
          </w:p>
        </w:tc>
        <w:tc>
          <w:tcPr>
            <w:tcW w:w="2120" w:type="dxa"/>
            <w:vAlign w:val="bottom"/>
          </w:tcPr>
          <w:p>
            <w:pPr>
              <w:ind w:left="160"/>
              <w:spacing w:after="0"/>
              <w:rPr>
                <w:sz w:val="20"/>
                <w:szCs w:val="20"/>
                <w:color w:val="auto"/>
              </w:rPr>
            </w:pPr>
            <w:r>
              <w:rPr>
                <w:rFonts w:ascii="Arial" w:cs="Arial" w:eastAsia="Arial" w:hAnsi="Arial"/>
                <w:sz w:val="9"/>
                <w:szCs w:val="9"/>
                <w:color w:val="auto"/>
              </w:rPr>
              <w:t>Solid tumors</w:t>
            </w: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shd w:val="clear" w:color="auto" w:fill="02756E"/>
          </w:tcPr>
          <w:p>
            <w:pPr>
              <w:spacing w:after="0"/>
              <w:rPr>
                <w:sz w:val="10"/>
                <w:szCs w:val="10"/>
                <w:color w:val="auto"/>
              </w:rPr>
            </w:pPr>
          </w:p>
        </w:tc>
        <w:tc>
          <w:tcPr>
            <w:tcW w:w="480" w:type="dxa"/>
            <w:vAlign w:val="bottom"/>
            <w:shd w:val="clear" w:color="auto" w:fill="72FFF7"/>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9"/>
                <w:szCs w:val="9"/>
                <w:color w:val="auto"/>
              </w:rPr>
              <w:t>Genmab / Pfizer</w:t>
            </w:r>
          </w:p>
        </w:tc>
        <w:tc>
          <w:tcPr>
            <w:tcW w:w="96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Arial" w:cs="Arial" w:eastAsia="Arial" w:hAnsi="Arial"/>
                <w:sz w:val="9"/>
                <w:szCs w:val="9"/>
                <w:color w:val="auto"/>
              </w:rPr>
              <w:t>conjugate (ADC)</w:t>
            </w:r>
          </w:p>
        </w:tc>
        <w:tc>
          <w:tcPr>
            <w:tcW w:w="2120" w:type="dxa"/>
            <w:vAlign w:val="bottom"/>
          </w:tcPr>
          <w:p>
            <w:pPr>
              <w:spacing w:after="0"/>
              <w:rPr>
                <w:sz w:val="10"/>
                <w:szCs w:val="10"/>
                <w:color w:val="auto"/>
              </w:rPr>
            </w:pP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shd w:val="clear" w:color="auto" w:fill="02756E"/>
          </w:tcPr>
          <w:p>
            <w:pPr>
              <w:spacing w:after="0"/>
              <w:rPr>
                <w:sz w:val="10"/>
                <w:szCs w:val="10"/>
                <w:color w:val="auto"/>
              </w:rPr>
            </w:pPr>
          </w:p>
        </w:tc>
        <w:tc>
          <w:tcPr>
            <w:tcW w:w="480" w:type="dxa"/>
            <w:vAlign w:val="bottom"/>
            <w:shd w:val="clear" w:color="auto" w:fill="72FFF7"/>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980" w:type="dxa"/>
            <w:vAlign w:val="bottom"/>
            <w:tcBorders>
              <w:bottom w:val="single" w:sz="8" w:color="02756E"/>
            </w:tcBorders>
            <w:gridSpan w:val="2"/>
          </w:tcPr>
          <w:p>
            <w:pPr>
              <w:spacing w:after="0"/>
              <w:rPr>
                <w:sz w:val="2"/>
                <w:szCs w:val="2"/>
                <w:color w:val="auto"/>
              </w:rPr>
            </w:pPr>
          </w:p>
        </w:tc>
        <w:tc>
          <w:tcPr>
            <w:tcW w:w="1220" w:type="dxa"/>
            <w:vAlign w:val="bottom"/>
            <w:tcBorders>
              <w:bottom w:val="single" w:sz="8" w:color="02756E"/>
            </w:tcBorders>
            <w:gridSpan w:val="2"/>
          </w:tcPr>
          <w:p>
            <w:pPr>
              <w:spacing w:after="0"/>
              <w:rPr>
                <w:sz w:val="2"/>
                <w:szCs w:val="2"/>
                <w:color w:val="auto"/>
              </w:rPr>
            </w:pPr>
          </w:p>
        </w:tc>
        <w:tc>
          <w:tcPr>
            <w:tcW w:w="960" w:type="dxa"/>
            <w:vAlign w:val="bottom"/>
            <w:tcBorders>
              <w:bottom w:val="single" w:sz="8" w:color="02756E"/>
            </w:tcBorders>
          </w:tcPr>
          <w:p>
            <w:pPr>
              <w:spacing w:after="0"/>
              <w:rPr>
                <w:sz w:val="2"/>
                <w:szCs w:val="2"/>
                <w:color w:val="auto"/>
              </w:rPr>
            </w:pPr>
          </w:p>
        </w:tc>
        <w:tc>
          <w:tcPr>
            <w:tcW w:w="820" w:type="dxa"/>
            <w:vAlign w:val="bottom"/>
            <w:tcBorders>
              <w:bottom w:val="single" w:sz="8" w:color="02756E"/>
            </w:tcBorders>
          </w:tcPr>
          <w:p>
            <w:pPr>
              <w:spacing w:after="0"/>
              <w:rPr>
                <w:sz w:val="2"/>
                <w:szCs w:val="2"/>
                <w:color w:val="auto"/>
              </w:rPr>
            </w:pPr>
          </w:p>
        </w:tc>
        <w:tc>
          <w:tcPr>
            <w:tcW w:w="2120" w:type="dxa"/>
            <w:vAlign w:val="bottom"/>
            <w:tcBorders>
              <w:bottom w:val="single" w:sz="8" w:color="02756E"/>
            </w:tcBorders>
          </w:tcPr>
          <w:p>
            <w:pPr>
              <w:spacing w:after="0"/>
              <w:rPr>
                <w:sz w:val="2"/>
                <w:szCs w:val="2"/>
                <w:color w:val="auto"/>
              </w:rPr>
            </w:pPr>
          </w:p>
        </w:tc>
        <w:tc>
          <w:tcPr>
            <w:tcW w:w="880" w:type="dxa"/>
            <w:vAlign w:val="bottom"/>
            <w:tcBorders>
              <w:bottom w:val="single" w:sz="8" w:color="004D49"/>
            </w:tcBorders>
            <w:shd w:val="clear" w:color="auto" w:fill="004D49"/>
          </w:tcPr>
          <w:p>
            <w:pPr>
              <w:spacing w:after="0"/>
              <w:rPr>
                <w:sz w:val="2"/>
                <w:szCs w:val="2"/>
                <w:color w:val="auto"/>
              </w:rPr>
            </w:pPr>
          </w:p>
        </w:tc>
        <w:tc>
          <w:tcPr>
            <w:tcW w:w="480" w:type="dxa"/>
            <w:vAlign w:val="bottom"/>
            <w:tcBorders>
              <w:bottom w:val="single" w:sz="8" w:color="02756E"/>
            </w:tcBorders>
            <w:shd w:val="clear" w:color="auto" w:fill="02756E"/>
          </w:tcPr>
          <w:p>
            <w:pPr>
              <w:spacing w:after="0"/>
              <w:rPr>
                <w:sz w:val="2"/>
                <w:szCs w:val="2"/>
                <w:color w:val="auto"/>
              </w:rPr>
            </w:pPr>
          </w:p>
        </w:tc>
        <w:tc>
          <w:tcPr>
            <w:tcW w:w="460" w:type="dxa"/>
            <w:vAlign w:val="bottom"/>
            <w:tcBorders>
              <w:bottom w:val="single" w:sz="8" w:color="02756E"/>
            </w:tcBorders>
            <w:shd w:val="clear" w:color="auto" w:fill="02756E"/>
          </w:tcPr>
          <w:p>
            <w:pPr>
              <w:spacing w:after="0"/>
              <w:rPr>
                <w:sz w:val="2"/>
                <w:szCs w:val="2"/>
                <w:color w:val="auto"/>
              </w:rPr>
            </w:pPr>
          </w:p>
        </w:tc>
        <w:tc>
          <w:tcPr>
            <w:tcW w:w="480" w:type="dxa"/>
            <w:vAlign w:val="bottom"/>
            <w:tcBorders>
              <w:bottom w:val="single" w:sz="8" w:color="72FFF7"/>
            </w:tcBorders>
            <w:shd w:val="clear" w:color="auto" w:fill="72FFF7"/>
          </w:tcPr>
          <w:p>
            <w:pPr>
              <w:spacing w:after="0"/>
              <w:rPr>
                <w:sz w:val="2"/>
                <w:szCs w:val="2"/>
                <w:color w:val="auto"/>
              </w:rPr>
            </w:pPr>
          </w:p>
        </w:tc>
        <w:tc>
          <w:tcPr>
            <w:tcW w:w="480" w:type="dxa"/>
            <w:vAlign w:val="bottom"/>
            <w:tcBorders>
              <w:bottom w:val="single" w:sz="8" w:color="72FFF7"/>
            </w:tcBorders>
          </w:tcPr>
          <w:p>
            <w:pPr>
              <w:spacing w:after="0"/>
              <w:rPr>
                <w:sz w:val="2"/>
                <w:szCs w:val="2"/>
                <w:color w:val="auto"/>
              </w:rPr>
            </w:pPr>
          </w:p>
        </w:tc>
        <w:tc>
          <w:tcPr>
            <w:tcW w:w="460" w:type="dxa"/>
            <w:vAlign w:val="bottom"/>
            <w:tcBorders>
              <w:bottom w:val="single" w:sz="8" w:color="B6FFFA"/>
            </w:tcBorders>
          </w:tcPr>
          <w:p>
            <w:pPr>
              <w:spacing w:after="0"/>
              <w:rPr>
                <w:sz w:val="2"/>
                <w:szCs w:val="2"/>
                <w:color w:val="auto"/>
              </w:rPr>
            </w:pPr>
          </w:p>
        </w:tc>
        <w:tc>
          <w:tcPr>
            <w:tcW w:w="480" w:type="dxa"/>
            <w:vAlign w:val="bottom"/>
            <w:tcBorders>
              <w:bottom w:val="single" w:sz="8" w:color="02756E"/>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Rinatabart</w:t>
            </w:r>
          </w:p>
        </w:tc>
        <w:tc>
          <w:tcPr>
            <w:tcW w:w="1220" w:type="dxa"/>
            <w:vAlign w:val="bottom"/>
            <w:gridSpan w:val="2"/>
          </w:tcPr>
          <w:p>
            <w:pPr>
              <w:spacing w:after="0"/>
              <w:rPr>
                <w:sz w:val="20"/>
                <w:szCs w:val="20"/>
                <w:color w:val="auto"/>
              </w:rPr>
            </w:pPr>
            <w:r>
              <w:rPr>
                <w:rFonts w:ascii="Arial" w:cs="Arial" w:eastAsia="Arial" w:hAnsi="Arial"/>
                <w:sz w:val="9"/>
                <w:szCs w:val="9"/>
                <w:color w:val="auto"/>
              </w:rPr>
              <w:t>Genmab</w:t>
            </w:r>
          </w:p>
        </w:tc>
        <w:tc>
          <w:tcPr>
            <w:tcW w:w="960" w:type="dxa"/>
            <w:vAlign w:val="bottom"/>
          </w:tcPr>
          <w:p>
            <w:pPr>
              <w:ind w:left="20"/>
              <w:spacing w:after="0"/>
              <w:rPr>
                <w:sz w:val="20"/>
                <w:szCs w:val="20"/>
                <w:color w:val="auto"/>
              </w:rPr>
            </w:pPr>
            <w:r>
              <w:rPr>
                <w:rFonts w:ascii="Arial" w:cs="Arial" w:eastAsia="Arial" w:hAnsi="Arial"/>
                <w:sz w:val="9"/>
                <w:szCs w:val="9"/>
                <w:color w:val="auto"/>
              </w:rPr>
              <w:t>Folate receptor alpha</w:t>
            </w:r>
          </w:p>
        </w:tc>
        <w:tc>
          <w:tcPr>
            <w:tcW w:w="820" w:type="dxa"/>
            <w:vAlign w:val="bottom"/>
          </w:tcPr>
          <w:p>
            <w:pPr>
              <w:ind w:left="20"/>
              <w:spacing w:after="0"/>
              <w:rPr>
                <w:sz w:val="20"/>
                <w:szCs w:val="20"/>
                <w:color w:val="auto"/>
              </w:rPr>
            </w:pPr>
            <w:r>
              <w:rPr>
                <w:rFonts w:ascii="Arial" w:cs="Arial" w:eastAsia="Arial" w:hAnsi="Arial"/>
                <w:sz w:val="9"/>
                <w:szCs w:val="9"/>
                <w:color w:val="auto"/>
              </w:rPr>
              <w:t>ADC</w:t>
            </w:r>
          </w:p>
        </w:tc>
        <w:tc>
          <w:tcPr>
            <w:tcW w:w="2120" w:type="dxa"/>
            <w:vAlign w:val="bottom"/>
          </w:tcPr>
          <w:p>
            <w:pPr>
              <w:ind w:left="160"/>
              <w:spacing w:after="0"/>
              <w:rPr>
                <w:sz w:val="20"/>
                <w:szCs w:val="20"/>
                <w:color w:val="auto"/>
              </w:rPr>
            </w:pPr>
            <w:r>
              <w:rPr>
                <w:rFonts w:ascii="Arial" w:cs="Arial" w:eastAsia="Arial" w:hAnsi="Arial"/>
                <w:sz w:val="9"/>
                <w:szCs w:val="9"/>
                <w:color w:val="auto"/>
              </w:rPr>
              <w:t>Platinum resistant ovarian cancer (PROC)</w:t>
            </w: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shd w:val="clear" w:color="auto" w:fill="02756E"/>
          </w:tcPr>
          <w:p>
            <w:pPr>
              <w:spacing w:after="0"/>
              <w:rPr>
                <w:sz w:val="10"/>
                <w:szCs w:val="10"/>
                <w:color w:val="auto"/>
              </w:rPr>
            </w:pPr>
          </w:p>
        </w:tc>
        <w:tc>
          <w:tcPr>
            <w:tcW w:w="480" w:type="dxa"/>
            <w:vAlign w:val="bottom"/>
            <w:shd w:val="clear" w:color="auto" w:fill="72FFF7"/>
          </w:tcPr>
          <w:p>
            <w:pPr>
              <w:spacing w:after="0"/>
              <w:rPr>
                <w:sz w:val="10"/>
                <w:szCs w:val="10"/>
                <w:color w:val="auto"/>
              </w:rPr>
            </w:pPr>
          </w:p>
        </w:tc>
        <w:tc>
          <w:tcPr>
            <w:tcW w:w="480" w:type="dxa"/>
            <w:vAlign w:val="bottom"/>
            <w:shd w:val="clear" w:color="auto" w:fill="72FFF7"/>
          </w:tcPr>
          <w:p>
            <w:pPr>
              <w:spacing w:after="0"/>
              <w:rPr>
                <w:sz w:val="10"/>
                <w:szCs w:val="10"/>
                <w:color w:val="auto"/>
              </w:rPr>
            </w:pPr>
          </w:p>
        </w:tc>
        <w:tc>
          <w:tcPr>
            <w:tcW w:w="460" w:type="dxa"/>
            <w:vAlign w:val="bottom"/>
            <w:shd w:val="clear" w:color="auto" w:fill="B6FFFA"/>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Sesutecan</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(FRα)</w:t>
            </w:r>
          </w:p>
        </w:tc>
        <w:tc>
          <w:tcPr>
            <w:tcW w:w="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shd w:val="clear" w:color="auto" w:fill="02756E"/>
          </w:tcPr>
          <w:p>
            <w:pPr>
              <w:spacing w:after="0"/>
              <w:rPr>
                <w:sz w:val="9"/>
                <w:szCs w:val="9"/>
                <w:color w:val="auto"/>
              </w:rPr>
            </w:pPr>
          </w:p>
        </w:tc>
        <w:tc>
          <w:tcPr>
            <w:tcW w:w="480" w:type="dxa"/>
            <w:vAlign w:val="bottom"/>
            <w:shd w:val="clear" w:color="auto" w:fill="72FFF7"/>
          </w:tcPr>
          <w:p>
            <w:pPr>
              <w:spacing w:after="0"/>
              <w:rPr>
                <w:sz w:val="9"/>
                <w:szCs w:val="9"/>
                <w:color w:val="auto"/>
              </w:rPr>
            </w:pPr>
          </w:p>
        </w:tc>
        <w:tc>
          <w:tcPr>
            <w:tcW w:w="480" w:type="dxa"/>
            <w:vAlign w:val="bottom"/>
            <w:shd w:val="clear" w:color="auto" w:fill="72FFF7"/>
          </w:tcPr>
          <w:p>
            <w:pPr>
              <w:spacing w:after="0"/>
              <w:rPr>
                <w:sz w:val="9"/>
                <w:szCs w:val="9"/>
                <w:color w:val="auto"/>
              </w:rPr>
            </w:pPr>
          </w:p>
        </w:tc>
        <w:tc>
          <w:tcPr>
            <w:tcW w:w="460" w:type="dxa"/>
            <w:vAlign w:val="bottom"/>
            <w:shd w:val="clear" w:color="auto" w:fill="B6FFFA"/>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980" w:type="dxa"/>
            <w:vAlign w:val="bottom"/>
            <w:gridSpan w:val="2"/>
            <w:vMerge w:val="restart"/>
          </w:tcPr>
          <w:p>
            <w:pPr>
              <w:ind w:left="20"/>
              <w:spacing w:after="0"/>
              <w:rPr>
                <w:sz w:val="20"/>
                <w:szCs w:val="20"/>
                <w:color w:val="auto"/>
              </w:rPr>
            </w:pPr>
            <w:r>
              <w:rPr>
                <w:rFonts w:ascii="Arial" w:cs="Arial" w:eastAsia="Arial" w:hAnsi="Arial"/>
                <w:sz w:val="9"/>
                <w:szCs w:val="9"/>
                <w:color w:val="auto"/>
              </w:rPr>
              <w:t>(Rina-S, PRO1184)</w:t>
            </w: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120" w:type="dxa"/>
            <w:vAlign w:val="bottom"/>
            <w:vMerge w:val="restart"/>
          </w:tcPr>
          <w:p>
            <w:pPr>
              <w:ind w:left="160"/>
              <w:spacing w:after="0"/>
              <w:rPr>
                <w:sz w:val="20"/>
                <w:szCs w:val="20"/>
                <w:color w:val="auto"/>
              </w:rPr>
            </w:pPr>
            <w:r>
              <w:rPr>
                <w:rFonts w:ascii="Arial" w:cs="Arial" w:eastAsia="Arial" w:hAnsi="Arial"/>
                <w:sz w:val="9"/>
                <w:szCs w:val="9"/>
                <w:color w:val="auto"/>
              </w:rPr>
              <w:t>Solid tumors</w:t>
            </w:r>
          </w:p>
        </w:tc>
        <w:tc>
          <w:tcPr>
            <w:tcW w:w="880" w:type="dxa"/>
            <w:vAlign w:val="bottom"/>
            <w:shd w:val="clear" w:color="auto" w:fill="004D49"/>
          </w:tcPr>
          <w:p>
            <w:pPr>
              <w:spacing w:after="0"/>
              <w:rPr>
                <w:sz w:val="6"/>
                <w:szCs w:val="6"/>
                <w:color w:val="auto"/>
              </w:rPr>
            </w:pPr>
          </w:p>
        </w:tc>
        <w:tc>
          <w:tcPr>
            <w:tcW w:w="480" w:type="dxa"/>
            <w:vAlign w:val="bottom"/>
            <w:shd w:val="clear" w:color="auto" w:fill="02756E"/>
          </w:tcPr>
          <w:p>
            <w:pPr>
              <w:spacing w:after="0"/>
              <w:rPr>
                <w:sz w:val="6"/>
                <w:szCs w:val="6"/>
                <w:color w:val="auto"/>
              </w:rPr>
            </w:pPr>
          </w:p>
        </w:tc>
        <w:tc>
          <w:tcPr>
            <w:tcW w:w="460" w:type="dxa"/>
            <w:vAlign w:val="bottom"/>
            <w:shd w:val="clear" w:color="auto" w:fill="02756E"/>
          </w:tcPr>
          <w:p>
            <w:pPr>
              <w:spacing w:after="0"/>
              <w:rPr>
                <w:sz w:val="6"/>
                <w:szCs w:val="6"/>
                <w:color w:val="auto"/>
              </w:rPr>
            </w:pPr>
          </w:p>
        </w:tc>
        <w:tc>
          <w:tcPr>
            <w:tcW w:w="480" w:type="dxa"/>
            <w:vAlign w:val="bottom"/>
            <w:shd w:val="clear" w:color="auto" w:fill="72FFF7"/>
          </w:tcPr>
          <w:p>
            <w:pPr>
              <w:spacing w:after="0"/>
              <w:rPr>
                <w:sz w:val="6"/>
                <w:szCs w:val="6"/>
                <w:color w:val="auto"/>
              </w:rPr>
            </w:pPr>
          </w:p>
        </w:tc>
        <w:tc>
          <w:tcPr>
            <w:tcW w:w="480" w:type="dxa"/>
            <w:vAlign w:val="bottom"/>
            <w:shd w:val="clear" w:color="auto" w:fill="72FFF7"/>
          </w:tcPr>
          <w:p>
            <w:pPr>
              <w:spacing w:after="0"/>
              <w:rPr>
                <w:sz w:val="6"/>
                <w:szCs w:val="6"/>
                <w:color w:val="auto"/>
              </w:rPr>
            </w:pPr>
          </w:p>
        </w:tc>
        <w:tc>
          <w:tcPr>
            <w:tcW w:w="460" w:type="dxa"/>
            <w:vAlign w:val="bottom"/>
            <w:shd w:val="clear" w:color="auto" w:fill="B6FFFA"/>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98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880" w:type="dxa"/>
            <w:vAlign w:val="bottom"/>
            <w:shd w:val="clear" w:color="auto" w:fill="004D49"/>
          </w:tcPr>
          <w:p>
            <w:pPr>
              <w:spacing w:after="0"/>
              <w:rPr>
                <w:sz w:val="3"/>
                <w:szCs w:val="3"/>
                <w:color w:val="auto"/>
              </w:rPr>
            </w:pPr>
          </w:p>
        </w:tc>
        <w:tc>
          <w:tcPr>
            <w:tcW w:w="480" w:type="dxa"/>
            <w:vAlign w:val="bottom"/>
            <w:shd w:val="clear" w:color="auto" w:fill="02756E"/>
          </w:tcPr>
          <w:p>
            <w:pPr>
              <w:spacing w:after="0"/>
              <w:rPr>
                <w:sz w:val="3"/>
                <w:szCs w:val="3"/>
                <w:color w:val="auto"/>
              </w:rPr>
            </w:pPr>
          </w:p>
        </w:tc>
        <w:tc>
          <w:tcPr>
            <w:tcW w:w="460" w:type="dxa"/>
            <w:vAlign w:val="bottom"/>
            <w:shd w:val="clear" w:color="auto" w:fill="02756E"/>
          </w:tcPr>
          <w:p>
            <w:pPr>
              <w:spacing w:after="0"/>
              <w:rPr>
                <w:sz w:val="3"/>
                <w:szCs w:val="3"/>
                <w:color w:val="auto"/>
              </w:rPr>
            </w:pPr>
          </w:p>
        </w:tc>
        <w:tc>
          <w:tcPr>
            <w:tcW w:w="480" w:type="dxa"/>
            <w:vAlign w:val="bottom"/>
            <w:shd w:val="clear" w:color="auto" w:fill="72FFF7"/>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shd w:val="clear" w:color="auto" w:fill="02756E"/>
          </w:tcPr>
          <w:p>
            <w:pPr>
              <w:spacing w:after="0"/>
              <w:rPr>
                <w:sz w:val="9"/>
                <w:szCs w:val="9"/>
                <w:color w:val="auto"/>
              </w:rPr>
            </w:pPr>
          </w:p>
        </w:tc>
        <w:tc>
          <w:tcPr>
            <w:tcW w:w="480" w:type="dxa"/>
            <w:vAlign w:val="bottom"/>
            <w:shd w:val="clear" w:color="auto" w:fill="72FFF7"/>
          </w:tcPr>
          <w:p>
            <w:pPr>
              <w:spacing w:after="0"/>
              <w:rPr>
                <w:sz w:val="9"/>
                <w:szCs w:val="9"/>
                <w:color w:val="auto"/>
              </w:rPr>
            </w:pPr>
          </w:p>
        </w:tc>
        <w:tc>
          <w:tcPr>
            <w:tcW w:w="14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029C93"/>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29C93"/>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029C93"/>
            </w:tcBorders>
          </w:tcPr>
          <w:p>
            <w:pPr>
              <w:spacing w:after="0"/>
              <w:rPr>
                <w:sz w:val="2"/>
                <w:szCs w:val="2"/>
                <w:color w:val="auto"/>
              </w:rPr>
            </w:pPr>
          </w:p>
        </w:tc>
        <w:tc>
          <w:tcPr>
            <w:tcW w:w="820" w:type="dxa"/>
            <w:vAlign w:val="bottom"/>
            <w:tcBorders>
              <w:bottom w:val="single" w:sz="8" w:color="029C93"/>
            </w:tcBorders>
          </w:tcPr>
          <w:p>
            <w:pPr>
              <w:spacing w:after="0"/>
              <w:rPr>
                <w:sz w:val="2"/>
                <w:szCs w:val="2"/>
                <w:color w:val="auto"/>
              </w:rPr>
            </w:pPr>
          </w:p>
        </w:tc>
        <w:tc>
          <w:tcPr>
            <w:tcW w:w="2120" w:type="dxa"/>
            <w:vAlign w:val="bottom"/>
            <w:tcBorders>
              <w:bottom w:val="single" w:sz="8" w:color="029C93"/>
            </w:tcBorders>
          </w:tcPr>
          <w:p>
            <w:pPr>
              <w:spacing w:after="0"/>
              <w:rPr>
                <w:sz w:val="2"/>
                <w:szCs w:val="2"/>
                <w:color w:val="auto"/>
              </w:rPr>
            </w:pPr>
          </w:p>
        </w:tc>
        <w:tc>
          <w:tcPr>
            <w:tcW w:w="880" w:type="dxa"/>
            <w:vAlign w:val="bottom"/>
            <w:tcBorders>
              <w:bottom w:val="single" w:sz="8" w:color="004D49"/>
            </w:tcBorders>
            <w:shd w:val="clear" w:color="auto" w:fill="004D49"/>
          </w:tcPr>
          <w:p>
            <w:pPr>
              <w:spacing w:after="0"/>
              <w:rPr>
                <w:sz w:val="2"/>
                <w:szCs w:val="2"/>
                <w:color w:val="auto"/>
              </w:rPr>
            </w:pPr>
          </w:p>
        </w:tc>
        <w:tc>
          <w:tcPr>
            <w:tcW w:w="480" w:type="dxa"/>
            <w:vAlign w:val="bottom"/>
            <w:tcBorders>
              <w:bottom w:val="single" w:sz="8" w:color="02756E"/>
            </w:tcBorders>
            <w:shd w:val="clear" w:color="auto" w:fill="02756E"/>
          </w:tcPr>
          <w:p>
            <w:pPr>
              <w:spacing w:after="0"/>
              <w:rPr>
                <w:sz w:val="2"/>
                <w:szCs w:val="2"/>
                <w:color w:val="auto"/>
              </w:rPr>
            </w:pPr>
          </w:p>
        </w:tc>
        <w:tc>
          <w:tcPr>
            <w:tcW w:w="460" w:type="dxa"/>
            <w:vAlign w:val="bottom"/>
            <w:tcBorders>
              <w:bottom w:val="single" w:sz="8" w:color="02756E"/>
            </w:tcBorders>
            <w:shd w:val="clear" w:color="auto" w:fill="02756E"/>
          </w:tcPr>
          <w:p>
            <w:pPr>
              <w:spacing w:after="0"/>
              <w:rPr>
                <w:sz w:val="2"/>
                <w:szCs w:val="2"/>
                <w:color w:val="auto"/>
              </w:rPr>
            </w:pPr>
          </w:p>
        </w:tc>
        <w:tc>
          <w:tcPr>
            <w:tcW w:w="480" w:type="dxa"/>
            <w:vAlign w:val="bottom"/>
            <w:tcBorders>
              <w:bottom w:val="single" w:sz="8" w:color="72FFF7"/>
            </w:tcBorders>
            <w:shd w:val="clear" w:color="auto" w:fill="72FFF7"/>
          </w:tcPr>
          <w:p>
            <w:pPr>
              <w:spacing w:after="0"/>
              <w:rPr>
                <w:sz w:val="2"/>
                <w:szCs w:val="2"/>
                <w:color w:val="auto"/>
              </w:rPr>
            </w:pPr>
          </w:p>
        </w:tc>
        <w:tc>
          <w:tcPr>
            <w:tcW w:w="480" w:type="dxa"/>
            <w:vAlign w:val="bottom"/>
            <w:tcBorders>
              <w:bottom w:val="single" w:sz="8" w:color="72FFF7"/>
            </w:tcBorders>
          </w:tcPr>
          <w:p>
            <w:pPr>
              <w:spacing w:after="0"/>
              <w:rPr>
                <w:sz w:val="2"/>
                <w:szCs w:val="2"/>
                <w:color w:val="auto"/>
              </w:rPr>
            </w:pPr>
          </w:p>
        </w:tc>
        <w:tc>
          <w:tcPr>
            <w:tcW w:w="460" w:type="dxa"/>
            <w:vAlign w:val="bottom"/>
            <w:tcBorders>
              <w:bottom w:val="single" w:sz="8" w:color="B6FFFA"/>
            </w:tcBorders>
          </w:tcPr>
          <w:p>
            <w:pPr>
              <w:spacing w:after="0"/>
              <w:rPr>
                <w:sz w:val="2"/>
                <w:szCs w:val="2"/>
                <w:color w:val="auto"/>
              </w:rPr>
            </w:pPr>
          </w:p>
        </w:tc>
        <w:tc>
          <w:tcPr>
            <w:tcW w:w="48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Acasunlimab</w:t>
            </w:r>
          </w:p>
        </w:tc>
        <w:tc>
          <w:tcPr>
            <w:tcW w:w="1220" w:type="dxa"/>
            <w:vAlign w:val="bottom"/>
            <w:gridSpan w:val="2"/>
          </w:tcPr>
          <w:p>
            <w:pPr>
              <w:spacing w:after="0"/>
              <w:rPr>
                <w:sz w:val="20"/>
                <w:szCs w:val="20"/>
                <w:color w:val="auto"/>
              </w:rPr>
            </w:pPr>
            <w:r>
              <w:rPr>
                <w:rFonts w:ascii="Arial" w:cs="Arial" w:eastAsia="Arial" w:hAnsi="Arial"/>
                <w:sz w:val="9"/>
                <w:szCs w:val="9"/>
                <w:color w:val="auto"/>
              </w:rPr>
              <w:t>Genmab</w:t>
            </w:r>
          </w:p>
        </w:tc>
        <w:tc>
          <w:tcPr>
            <w:tcW w:w="960" w:type="dxa"/>
            <w:vAlign w:val="bottom"/>
          </w:tcPr>
          <w:p>
            <w:pPr>
              <w:ind w:left="20"/>
              <w:spacing w:after="0"/>
              <w:rPr>
                <w:sz w:val="20"/>
                <w:szCs w:val="20"/>
                <w:color w:val="auto"/>
              </w:rPr>
            </w:pPr>
            <w:r>
              <w:rPr>
                <w:rFonts w:ascii="Arial" w:cs="Arial" w:eastAsia="Arial" w:hAnsi="Arial"/>
                <w:sz w:val="9"/>
                <w:szCs w:val="9"/>
                <w:color w:val="auto"/>
              </w:rPr>
              <w:t>Programmed death</w:t>
            </w:r>
          </w:p>
        </w:tc>
        <w:tc>
          <w:tcPr>
            <w:tcW w:w="820" w:type="dxa"/>
            <w:vAlign w:val="bottom"/>
          </w:tcPr>
          <w:p>
            <w:pPr>
              <w:ind w:left="20"/>
              <w:spacing w:after="0"/>
              <w:rPr>
                <w:sz w:val="20"/>
                <w:szCs w:val="20"/>
                <w:color w:val="auto"/>
              </w:rPr>
            </w:pPr>
            <w:r>
              <w:rPr>
                <w:rFonts w:ascii="Arial" w:cs="Arial" w:eastAsia="Arial" w:hAnsi="Arial"/>
                <w:sz w:val="9"/>
                <w:szCs w:val="9"/>
                <w:color w:val="auto"/>
              </w:rPr>
              <w:t>DuoBody</w:t>
            </w:r>
          </w:p>
        </w:tc>
        <w:tc>
          <w:tcPr>
            <w:tcW w:w="2120" w:type="dxa"/>
            <w:vAlign w:val="bottom"/>
          </w:tcPr>
          <w:p>
            <w:pPr>
              <w:ind w:left="160"/>
              <w:spacing w:after="0"/>
              <w:rPr>
                <w:sz w:val="20"/>
                <w:szCs w:val="20"/>
                <w:color w:val="auto"/>
              </w:rPr>
            </w:pPr>
            <w:r>
              <w:rPr>
                <w:rFonts w:ascii="Arial" w:cs="Arial" w:eastAsia="Arial" w:hAnsi="Arial"/>
                <w:sz w:val="9"/>
                <w:szCs w:val="9"/>
                <w:color w:val="auto"/>
              </w:rPr>
              <w:t>Non-small cell lung cancer (NSCLC)</w:t>
            </w: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shd w:val="clear" w:color="auto" w:fill="02756E"/>
          </w:tcPr>
          <w:p>
            <w:pPr>
              <w:spacing w:after="0"/>
              <w:rPr>
                <w:sz w:val="10"/>
                <w:szCs w:val="10"/>
                <w:color w:val="auto"/>
              </w:rPr>
            </w:pPr>
          </w:p>
        </w:tc>
        <w:tc>
          <w:tcPr>
            <w:tcW w:w="480" w:type="dxa"/>
            <w:vAlign w:val="bottom"/>
            <w:shd w:val="clear" w:color="auto" w:fill="72FFF7"/>
          </w:tcPr>
          <w:p>
            <w:pPr>
              <w:spacing w:after="0"/>
              <w:rPr>
                <w:sz w:val="10"/>
                <w:szCs w:val="10"/>
                <w:color w:val="auto"/>
              </w:rPr>
            </w:pPr>
          </w:p>
        </w:tc>
        <w:tc>
          <w:tcPr>
            <w:tcW w:w="480" w:type="dxa"/>
            <w:vAlign w:val="bottom"/>
            <w:shd w:val="clear" w:color="auto" w:fill="72FFF7"/>
          </w:tcPr>
          <w:p>
            <w:pPr>
              <w:spacing w:after="0"/>
              <w:rPr>
                <w:sz w:val="10"/>
                <w:szCs w:val="10"/>
                <w:color w:val="auto"/>
              </w:rPr>
            </w:pPr>
          </w:p>
        </w:tc>
        <w:tc>
          <w:tcPr>
            <w:tcW w:w="460" w:type="dxa"/>
            <w:vAlign w:val="bottom"/>
            <w:shd w:val="clear" w:color="auto" w:fill="B6FFFA"/>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80" w:type="dxa"/>
            <w:vAlign w:val="bottom"/>
            <w:gridSpan w:val="2"/>
            <w:vMerge w:val="restart"/>
          </w:tcPr>
          <w:p>
            <w:pPr>
              <w:ind w:left="20"/>
              <w:spacing w:after="0"/>
              <w:rPr>
                <w:sz w:val="20"/>
                <w:szCs w:val="20"/>
                <w:color w:val="auto"/>
              </w:rPr>
            </w:pPr>
            <w:r>
              <w:rPr>
                <w:rFonts w:ascii="Arial" w:cs="Arial" w:eastAsia="Arial" w:hAnsi="Arial"/>
                <w:sz w:val="9"/>
                <w:szCs w:val="9"/>
                <w:color w:val="auto"/>
              </w:rPr>
              <w:t>(GEN1046)</w:t>
            </w: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ind w:left="20"/>
              <w:spacing w:after="0"/>
              <w:rPr>
                <w:sz w:val="20"/>
                <w:szCs w:val="20"/>
                <w:color w:val="auto"/>
              </w:rPr>
            </w:pPr>
            <w:r>
              <w:rPr>
                <w:rFonts w:ascii="Arial" w:cs="Arial" w:eastAsia="Arial" w:hAnsi="Arial"/>
                <w:sz w:val="9"/>
                <w:szCs w:val="9"/>
                <w:color w:val="auto"/>
              </w:rPr>
              <w:t>ligand 1 (PD-L1), 4-</w:t>
            </w:r>
          </w:p>
        </w:tc>
        <w:tc>
          <w:tcPr>
            <w:tcW w:w="820" w:type="dxa"/>
            <w:vAlign w:val="bottom"/>
          </w:tcPr>
          <w:p>
            <w:pPr>
              <w:spacing w:after="0"/>
              <w:rPr>
                <w:sz w:val="5"/>
                <w:szCs w:val="5"/>
                <w:color w:val="auto"/>
              </w:rPr>
            </w:pPr>
          </w:p>
        </w:tc>
        <w:tc>
          <w:tcPr>
            <w:tcW w:w="2120" w:type="dxa"/>
            <w:vAlign w:val="bottom"/>
            <w:vMerge w:val="restart"/>
          </w:tcPr>
          <w:p>
            <w:pPr>
              <w:ind w:left="160"/>
              <w:spacing w:after="0"/>
              <w:rPr>
                <w:sz w:val="20"/>
                <w:szCs w:val="20"/>
                <w:color w:val="auto"/>
              </w:rPr>
            </w:pPr>
            <w:r>
              <w:rPr>
                <w:rFonts w:ascii="Arial" w:cs="Arial" w:eastAsia="Arial" w:hAnsi="Arial"/>
                <w:sz w:val="9"/>
                <w:szCs w:val="9"/>
                <w:color w:val="auto"/>
              </w:rPr>
              <w:t>Advanced melanoma</w:t>
            </w:r>
          </w:p>
        </w:tc>
        <w:tc>
          <w:tcPr>
            <w:tcW w:w="880" w:type="dxa"/>
            <w:vAlign w:val="bottom"/>
            <w:shd w:val="clear" w:color="auto" w:fill="004D49"/>
          </w:tcPr>
          <w:p>
            <w:pPr>
              <w:spacing w:after="0"/>
              <w:rPr>
                <w:sz w:val="5"/>
                <w:szCs w:val="5"/>
                <w:color w:val="auto"/>
              </w:rPr>
            </w:pPr>
          </w:p>
        </w:tc>
        <w:tc>
          <w:tcPr>
            <w:tcW w:w="480" w:type="dxa"/>
            <w:vAlign w:val="bottom"/>
            <w:shd w:val="clear" w:color="auto" w:fill="02756E"/>
          </w:tcPr>
          <w:p>
            <w:pPr>
              <w:spacing w:after="0"/>
              <w:rPr>
                <w:sz w:val="5"/>
                <w:szCs w:val="5"/>
                <w:color w:val="auto"/>
              </w:rPr>
            </w:pPr>
          </w:p>
        </w:tc>
        <w:tc>
          <w:tcPr>
            <w:tcW w:w="460" w:type="dxa"/>
            <w:vAlign w:val="bottom"/>
            <w:shd w:val="clear" w:color="auto" w:fill="02756E"/>
          </w:tcPr>
          <w:p>
            <w:pPr>
              <w:spacing w:after="0"/>
              <w:rPr>
                <w:sz w:val="5"/>
                <w:szCs w:val="5"/>
                <w:color w:val="auto"/>
              </w:rPr>
            </w:pPr>
          </w:p>
        </w:tc>
        <w:tc>
          <w:tcPr>
            <w:tcW w:w="480" w:type="dxa"/>
            <w:vAlign w:val="bottom"/>
            <w:shd w:val="clear" w:color="auto" w:fill="72FFF7"/>
          </w:tcPr>
          <w:p>
            <w:pPr>
              <w:spacing w:after="0"/>
              <w:rPr>
                <w:sz w:val="5"/>
                <w:szCs w:val="5"/>
                <w:color w:val="auto"/>
              </w:rPr>
            </w:pPr>
          </w:p>
        </w:tc>
        <w:tc>
          <w:tcPr>
            <w:tcW w:w="480" w:type="dxa"/>
            <w:vAlign w:val="bottom"/>
            <w:shd w:val="clear" w:color="auto" w:fill="72FFF7"/>
          </w:tcPr>
          <w:p>
            <w:pPr>
              <w:spacing w:after="0"/>
              <w:rPr>
                <w:sz w:val="5"/>
                <w:szCs w:val="5"/>
                <w:color w:val="auto"/>
              </w:rPr>
            </w:pPr>
          </w:p>
        </w:tc>
        <w:tc>
          <w:tcPr>
            <w:tcW w:w="460" w:type="dxa"/>
            <w:vAlign w:val="bottom"/>
            <w:shd w:val="clear" w:color="auto" w:fill="B6FFFA"/>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98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880" w:type="dxa"/>
            <w:vAlign w:val="bottom"/>
            <w:shd w:val="clear" w:color="auto" w:fill="004D49"/>
          </w:tcPr>
          <w:p>
            <w:pPr>
              <w:spacing w:after="0"/>
              <w:rPr>
                <w:sz w:val="3"/>
                <w:szCs w:val="3"/>
                <w:color w:val="auto"/>
              </w:rPr>
            </w:pPr>
          </w:p>
        </w:tc>
        <w:tc>
          <w:tcPr>
            <w:tcW w:w="480" w:type="dxa"/>
            <w:vAlign w:val="bottom"/>
            <w:shd w:val="clear" w:color="auto" w:fill="02756E"/>
          </w:tcPr>
          <w:p>
            <w:pPr>
              <w:spacing w:after="0"/>
              <w:rPr>
                <w:sz w:val="3"/>
                <w:szCs w:val="3"/>
                <w:color w:val="auto"/>
              </w:rPr>
            </w:pPr>
          </w:p>
        </w:tc>
        <w:tc>
          <w:tcPr>
            <w:tcW w:w="460" w:type="dxa"/>
            <w:vAlign w:val="bottom"/>
            <w:shd w:val="clear" w:color="auto" w:fill="02756E"/>
          </w:tcPr>
          <w:p>
            <w:pPr>
              <w:spacing w:after="0"/>
              <w:rPr>
                <w:sz w:val="3"/>
                <w:szCs w:val="3"/>
                <w:color w:val="auto"/>
              </w:rPr>
            </w:pPr>
          </w:p>
        </w:tc>
        <w:tc>
          <w:tcPr>
            <w:tcW w:w="480" w:type="dxa"/>
            <w:vAlign w:val="bottom"/>
            <w:shd w:val="clear" w:color="auto" w:fill="72FFF7"/>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1BB</w:t>
            </w:r>
          </w:p>
        </w:tc>
        <w:tc>
          <w:tcPr>
            <w:tcW w:w="82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880" w:type="dxa"/>
            <w:vAlign w:val="bottom"/>
            <w:tcBorders>
              <w:bottom w:val="single" w:sz="8" w:color="004D49"/>
            </w:tcBorders>
            <w:shd w:val="clear" w:color="auto" w:fill="004D49"/>
          </w:tcPr>
          <w:p>
            <w:pPr>
              <w:spacing w:after="0"/>
              <w:rPr>
                <w:sz w:val="11"/>
                <w:szCs w:val="11"/>
                <w:color w:val="auto"/>
              </w:rPr>
            </w:pPr>
          </w:p>
        </w:tc>
        <w:tc>
          <w:tcPr>
            <w:tcW w:w="480" w:type="dxa"/>
            <w:vAlign w:val="bottom"/>
            <w:tcBorders>
              <w:bottom w:val="single" w:sz="8" w:color="02756E"/>
            </w:tcBorders>
            <w:shd w:val="clear" w:color="auto" w:fill="02756E"/>
          </w:tcPr>
          <w:p>
            <w:pPr>
              <w:spacing w:after="0"/>
              <w:rPr>
                <w:sz w:val="11"/>
                <w:szCs w:val="11"/>
                <w:color w:val="auto"/>
              </w:rPr>
            </w:pPr>
          </w:p>
        </w:tc>
        <w:tc>
          <w:tcPr>
            <w:tcW w:w="460" w:type="dxa"/>
            <w:vAlign w:val="bottom"/>
            <w:tcBorders>
              <w:bottom w:val="single" w:sz="8" w:color="02756E"/>
            </w:tcBorders>
            <w:shd w:val="clear" w:color="auto" w:fill="02756E"/>
          </w:tcPr>
          <w:p>
            <w:pPr>
              <w:spacing w:after="0"/>
              <w:rPr>
                <w:sz w:val="11"/>
                <w:szCs w:val="11"/>
                <w:color w:val="auto"/>
              </w:rPr>
            </w:pPr>
          </w:p>
        </w:tc>
        <w:tc>
          <w:tcPr>
            <w:tcW w:w="480" w:type="dxa"/>
            <w:vAlign w:val="bottom"/>
            <w:tcBorders>
              <w:bottom w:val="single" w:sz="8" w:color="72FFF7"/>
            </w:tcBorders>
            <w:shd w:val="clear" w:color="auto" w:fill="72FFF7"/>
          </w:tcPr>
          <w:p>
            <w:pPr>
              <w:spacing w:after="0"/>
              <w:rPr>
                <w:sz w:val="11"/>
                <w:szCs w:val="11"/>
                <w:color w:val="auto"/>
              </w:rPr>
            </w:pPr>
          </w:p>
        </w:tc>
        <w:tc>
          <w:tcPr>
            <w:tcW w:w="14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20" w:type="dxa"/>
            <w:vAlign w:val="bottom"/>
          </w:tcPr>
          <w:p>
            <w:pPr>
              <w:ind w:left="160"/>
              <w:spacing w:after="0"/>
              <w:rPr>
                <w:sz w:val="20"/>
                <w:szCs w:val="20"/>
                <w:color w:val="auto"/>
              </w:rPr>
            </w:pPr>
            <w:r>
              <w:rPr>
                <w:rFonts w:ascii="Arial" w:cs="Arial" w:eastAsia="Arial" w:hAnsi="Arial"/>
                <w:sz w:val="9"/>
                <w:szCs w:val="9"/>
                <w:color w:val="auto"/>
              </w:rPr>
              <w:t>Solid tumors</w:t>
            </w:r>
          </w:p>
        </w:tc>
        <w:tc>
          <w:tcPr>
            <w:tcW w:w="880" w:type="dxa"/>
            <w:vAlign w:val="bottom"/>
            <w:shd w:val="clear" w:color="auto" w:fill="004D49"/>
          </w:tcPr>
          <w:p>
            <w:pPr>
              <w:spacing w:after="0"/>
              <w:rPr>
                <w:sz w:val="13"/>
                <w:szCs w:val="13"/>
                <w:color w:val="auto"/>
              </w:rPr>
            </w:pPr>
          </w:p>
        </w:tc>
        <w:tc>
          <w:tcPr>
            <w:tcW w:w="480" w:type="dxa"/>
            <w:vAlign w:val="bottom"/>
            <w:shd w:val="clear" w:color="auto" w:fill="02756E"/>
          </w:tcPr>
          <w:p>
            <w:pPr>
              <w:spacing w:after="0"/>
              <w:rPr>
                <w:sz w:val="13"/>
                <w:szCs w:val="13"/>
                <w:color w:val="auto"/>
              </w:rPr>
            </w:pPr>
          </w:p>
        </w:tc>
        <w:tc>
          <w:tcPr>
            <w:tcW w:w="460" w:type="dxa"/>
            <w:vAlign w:val="bottom"/>
            <w:shd w:val="clear" w:color="auto" w:fill="02756E"/>
          </w:tcPr>
          <w:p>
            <w:pPr>
              <w:spacing w:after="0"/>
              <w:rPr>
                <w:sz w:val="13"/>
                <w:szCs w:val="13"/>
                <w:color w:val="auto"/>
              </w:rPr>
            </w:pPr>
          </w:p>
        </w:tc>
        <w:tc>
          <w:tcPr>
            <w:tcW w:w="19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880" w:type="dxa"/>
            <w:vAlign w:val="bottom"/>
            <w:tcBorders>
              <w:bottom w:val="single" w:sz="8" w:color="029C93"/>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029C93"/>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029C93"/>
            </w:tcBorders>
          </w:tcPr>
          <w:p>
            <w:pPr>
              <w:spacing w:after="0"/>
              <w:rPr>
                <w:sz w:val="4"/>
                <w:szCs w:val="4"/>
                <w:color w:val="auto"/>
              </w:rPr>
            </w:pPr>
          </w:p>
        </w:tc>
        <w:tc>
          <w:tcPr>
            <w:tcW w:w="820" w:type="dxa"/>
            <w:vAlign w:val="bottom"/>
            <w:tcBorders>
              <w:bottom w:val="single" w:sz="8" w:color="029C93"/>
            </w:tcBorders>
          </w:tcPr>
          <w:p>
            <w:pPr>
              <w:spacing w:after="0"/>
              <w:rPr>
                <w:sz w:val="4"/>
                <w:szCs w:val="4"/>
                <w:color w:val="auto"/>
              </w:rPr>
            </w:pPr>
          </w:p>
        </w:tc>
        <w:tc>
          <w:tcPr>
            <w:tcW w:w="2120" w:type="dxa"/>
            <w:vAlign w:val="bottom"/>
            <w:tcBorders>
              <w:bottom w:val="single" w:sz="8" w:color="029C93"/>
            </w:tcBorders>
          </w:tcPr>
          <w:p>
            <w:pPr>
              <w:spacing w:after="0"/>
              <w:rPr>
                <w:sz w:val="4"/>
                <w:szCs w:val="4"/>
                <w:color w:val="auto"/>
              </w:rPr>
            </w:pPr>
          </w:p>
        </w:tc>
        <w:tc>
          <w:tcPr>
            <w:tcW w:w="880" w:type="dxa"/>
            <w:vAlign w:val="bottom"/>
            <w:tcBorders>
              <w:bottom w:val="single" w:sz="8" w:color="004D49"/>
            </w:tcBorders>
            <w:shd w:val="clear" w:color="auto" w:fill="004D49"/>
          </w:tcPr>
          <w:p>
            <w:pPr>
              <w:spacing w:after="0"/>
              <w:rPr>
                <w:sz w:val="4"/>
                <w:szCs w:val="4"/>
                <w:color w:val="auto"/>
              </w:rPr>
            </w:pPr>
          </w:p>
        </w:tc>
        <w:tc>
          <w:tcPr>
            <w:tcW w:w="480" w:type="dxa"/>
            <w:vAlign w:val="bottom"/>
            <w:tcBorders>
              <w:bottom w:val="single" w:sz="8" w:color="02756E"/>
            </w:tcBorders>
            <w:shd w:val="clear" w:color="auto" w:fill="02756E"/>
          </w:tcPr>
          <w:p>
            <w:pPr>
              <w:spacing w:after="0"/>
              <w:rPr>
                <w:sz w:val="4"/>
                <w:szCs w:val="4"/>
                <w:color w:val="auto"/>
              </w:rPr>
            </w:pPr>
          </w:p>
        </w:tc>
        <w:tc>
          <w:tcPr>
            <w:tcW w:w="460" w:type="dxa"/>
            <w:vAlign w:val="bottom"/>
            <w:tcBorders>
              <w:bottom w:val="single" w:sz="8" w:color="02756E"/>
            </w:tcBorders>
            <w:shd w:val="clear" w:color="auto" w:fill="02756E"/>
          </w:tcPr>
          <w:p>
            <w:pPr>
              <w:spacing w:after="0"/>
              <w:rPr>
                <w:sz w:val="4"/>
                <w:szCs w:val="4"/>
                <w:color w:val="auto"/>
              </w:rPr>
            </w:pPr>
          </w:p>
        </w:tc>
        <w:tc>
          <w:tcPr>
            <w:tcW w:w="480" w:type="dxa"/>
            <w:vAlign w:val="bottom"/>
            <w:tcBorders>
              <w:bottom w:val="single" w:sz="8" w:color="72FFF7"/>
            </w:tcBorders>
          </w:tcPr>
          <w:p>
            <w:pPr>
              <w:spacing w:after="0"/>
              <w:rPr>
                <w:sz w:val="4"/>
                <w:szCs w:val="4"/>
                <w:color w:val="auto"/>
              </w:rPr>
            </w:pPr>
          </w:p>
        </w:tc>
        <w:tc>
          <w:tcPr>
            <w:tcW w:w="480" w:type="dxa"/>
            <w:vAlign w:val="bottom"/>
            <w:tcBorders>
              <w:bottom w:val="single" w:sz="8" w:color="029C93"/>
            </w:tcBorders>
          </w:tcPr>
          <w:p>
            <w:pPr>
              <w:spacing w:after="0"/>
              <w:rPr>
                <w:sz w:val="4"/>
                <w:szCs w:val="4"/>
                <w:color w:val="auto"/>
              </w:rPr>
            </w:pPr>
          </w:p>
        </w:tc>
        <w:tc>
          <w:tcPr>
            <w:tcW w:w="460" w:type="dxa"/>
            <w:vAlign w:val="bottom"/>
            <w:tcBorders>
              <w:bottom w:val="single" w:sz="8" w:color="029C93"/>
            </w:tcBorders>
          </w:tcPr>
          <w:p>
            <w:pPr>
              <w:spacing w:after="0"/>
              <w:rPr>
                <w:sz w:val="4"/>
                <w:szCs w:val="4"/>
                <w:color w:val="auto"/>
              </w:rPr>
            </w:pPr>
          </w:p>
        </w:tc>
        <w:tc>
          <w:tcPr>
            <w:tcW w:w="480" w:type="dxa"/>
            <w:vAlign w:val="bottom"/>
            <w:tcBorders>
              <w:bottom w:val="single" w:sz="8" w:color="029C93"/>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GEN1042</w:t>
            </w:r>
          </w:p>
        </w:tc>
        <w:tc>
          <w:tcPr>
            <w:tcW w:w="1220" w:type="dxa"/>
            <w:vAlign w:val="bottom"/>
            <w:gridSpan w:val="2"/>
          </w:tcPr>
          <w:p>
            <w:pPr>
              <w:spacing w:after="0"/>
              <w:rPr>
                <w:sz w:val="20"/>
                <w:szCs w:val="20"/>
                <w:color w:val="auto"/>
              </w:rPr>
            </w:pPr>
            <w:r>
              <w:rPr>
                <w:rFonts w:ascii="Arial" w:cs="Arial" w:eastAsia="Arial" w:hAnsi="Arial"/>
                <w:sz w:val="9"/>
                <w:szCs w:val="9"/>
                <w:color w:val="auto"/>
              </w:rPr>
              <w:t>Co-development</w:t>
            </w:r>
          </w:p>
        </w:tc>
        <w:tc>
          <w:tcPr>
            <w:tcW w:w="960" w:type="dxa"/>
            <w:vAlign w:val="bottom"/>
          </w:tcPr>
          <w:p>
            <w:pPr>
              <w:ind w:left="20"/>
              <w:spacing w:after="0"/>
              <w:rPr>
                <w:sz w:val="20"/>
                <w:szCs w:val="20"/>
                <w:color w:val="auto"/>
              </w:rPr>
            </w:pPr>
            <w:r>
              <w:rPr>
                <w:rFonts w:ascii="Arial" w:cs="Arial" w:eastAsia="Arial" w:hAnsi="Arial"/>
                <w:sz w:val="9"/>
                <w:szCs w:val="9"/>
                <w:color w:val="auto"/>
              </w:rPr>
              <w:t>CD40, 4-1BB</w:t>
            </w:r>
          </w:p>
        </w:tc>
        <w:tc>
          <w:tcPr>
            <w:tcW w:w="820" w:type="dxa"/>
            <w:vAlign w:val="bottom"/>
          </w:tcPr>
          <w:p>
            <w:pPr>
              <w:ind w:left="20"/>
              <w:spacing w:after="0"/>
              <w:rPr>
                <w:sz w:val="20"/>
                <w:szCs w:val="20"/>
                <w:color w:val="auto"/>
              </w:rPr>
            </w:pPr>
            <w:r>
              <w:rPr>
                <w:rFonts w:ascii="Arial" w:cs="Arial" w:eastAsia="Arial" w:hAnsi="Arial"/>
                <w:sz w:val="9"/>
                <w:szCs w:val="9"/>
                <w:color w:val="auto"/>
              </w:rPr>
              <w:t>DuoBody</w:t>
            </w:r>
          </w:p>
        </w:tc>
        <w:tc>
          <w:tcPr>
            <w:tcW w:w="2120" w:type="dxa"/>
            <w:vAlign w:val="bottom"/>
          </w:tcPr>
          <w:p>
            <w:pPr>
              <w:ind w:left="160"/>
              <w:spacing w:after="0"/>
              <w:rPr>
                <w:sz w:val="20"/>
                <w:szCs w:val="20"/>
                <w:color w:val="auto"/>
              </w:rPr>
            </w:pPr>
            <w:r>
              <w:rPr>
                <w:rFonts w:ascii="Arial" w:cs="Arial" w:eastAsia="Arial" w:hAnsi="Arial"/>
                <w:sz w:val="9"/>
                <w:szCs w:val="9"/>
                <w:color w:val="auto"/>
              </w:rPr>
              <w:t>Solid tumors</w:t>
            </w: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shd w:val="clear" w:color="auto" w:fill="02756E"/>
          </w:tcPr>
          <w:p>
            <w:pPr>
              <w:spacing w:after="0"/>
              <w:rPr>
                <w:sz w:val="10"/>
                <w:szCs w:val="10"/>
                <w:color w:val="auto"/>
              </w:rPr>
            </w:pPr>
          </w:p>
        </w:tc>
        <w:tc>
          <w:tcPr>
            <w:tcW w:w="480" w:type="dxa"/>
            <w:vAlign w:val="bottom"/>
            <w:shd w:val="clear" w:color="auto" w:fill="72FFF7"/>
          </w:tcPr>
          <w:p>
            <w:pPr>
              <w:spacing w:after="0"/>
              <w:rPr>
                <w:sz w:val="10"/>
                <w:szCs w:val="10"/>
                <w:color w:val="auto"/>
              </w:rPr>
            </w:pPr>
          </w:p>
        </w:tc>
        <w:tc>
          <w:tcPr>
            <w:tcW w:w="14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gridSpan w:val="2"/>
          </w:tcPr>
          <w:p>
            <w:pPr>
              <w:ind w:left="20"/>
              <w:spacing w:after="0"/>
              <w:rPr>
                <w:sz w:val="20"/>
                <w:szCs w:val="20"/>
                <w:color w:val="auto"/>
              </w:rPr>
            </w:pPr>
            <w:r>
              <w:rPr>
                <w:rFonts w:ascii="Arial" w:cs="Arial" w:eastAsia="Arial" w:hAnsi="Arial"/>
                <w:sz w:val="9"/>
                <w:szCs w:val="9"/>
                <w:color w:val="auto"/>
              </w:rPr>
              <w:t>(BNT312)</w:t>
            </w:r>
          </w:p>
        </w:tc>
        <w:tc>
          <w:tcPr>
            <w:tcW w:w="1220" w:type="dxa"/>
            <w:vAlign w:val="bottom"/>
            <w:gridSpan w:val="2"/>
          </w:tcPr>
          <w:p>
            <w:pPr>
              <w:spacing w:after="0"/>
              <w:rPr>
                <w:sz w:val="20"/>
                <w:szCs w:val="20"/>
                <w:color w:val="auto"/>
              </w:rPr>
            </w:pPr>
            <w:r>
              <w:rPr>
                <w:rFonts w:ascii="Arial" w:cs="Arial" w:eastAsia="Arial" w:hAnsi="Arial"/>
                <w:sz w:val="9"/>
                <w:szCs w:val="9"/>
                <w:color w:val="auto"/>
              </w:rPr>
              <w:t>Genmab / BioNTech SE</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shd w:val="clear" w:color="auto" w:fill="02756E"/>
          </w:tcPr>
          <w:p>
            <w:pPr>
              <w:spacing w:after="0"/>
              <w:rPr>
                <w:sz w:val="9"/>
                <w:szCs w:val="9"/>
                <w:color w:val="auto"/>
              </w:rPr>
            </w:pPr>
          </w:p>
        </w:tc>
        <w:tc>
          <w:tcPr>
            <w:tcW w:w="480" w:type="dxa"/>
            <w:vAlign w:val="bottom"/>
            <w:shd w:val="clear" w:color="auto" w:fill="72FFF7"/>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9"/>
                <w:szCs w:val="9"/>
                <w:color w:val="auto"/>
              </w:rPr>
              <w:t>(BioNTech)</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80" w:type="dxa"/>
            <w:vAlign w:val="bottom"/>
            <w:tcBorders>
              <w:bottom w:val="single" w:sz="8" w:color="004D49"/>
            </w:tcBorders>
            <w:shd w:val="clear" w:color="auto" w:fill="004D49"/>
          </w:tcPr>
          <w:p>
            <w:pPr>
              <w:spacing w:after="0"/>
              <w:rPr>
                <w:sz w:val="12"/>
                <w:szCs w:val="12"/>
                <w:color w:val="auto"/>
              </w:rPr>
            </w:pPr>
          </w:p>
        </w:tc>
        <w:tc>
          <w:tcPr>
            <w:tcW w:w="480" w:type="dxa"/>
            <w:vAlign w:val="bottom"/>
            <w:tcBorders>
              <w:bottom w:val="single" w:sz="8" w:color="02756E"/>
            </w:tcBorders>
            <w:shd w:val="clear" w:color="auto" w:fill="02756E"/>
          </w:tcPr>
          <w:p>
            <w:pPr>
              <w:spacing w:after="0"/>
              <w:rPr>
                <w:sz w:val="12"/>
                <w:szCs w:val="12"/>
                <w:color w:val="auto"/>
              </w:rPr>
            </w:pPr>
          </w:p>
        </w:tc>
        <w:tc>
          <w:tcPr>
            <w:tcW w:w="460" w:type="dxa"/>
            <w:vAlign w:val="bottom"/>
            <w:tcBorders>
              <w:bottom w:val="single" w:sz="8" w:color="02756E"/>
            </w:tcBorders>
            <w:shd w:val="clear" w:color="auto" w:fill="02756E"/>
          </w:tcPr>
          <w:p>
            <w:pPr>
              <w:spacing w:after="0"/>
              <w:rPr>
                <w:sz w:val="12"/>
                <w:szCs w:val="12"/>
                <w:color w:val="auto"/>
              </w:rPr>
            </w:pPr>
          </w:p>
        </w:tc>
        <w:tc>
          <w:tcPr>
            <w:tcW w:w="480" w:type="dxa"/>
            <w:vAlign w:val="bottom"/>
            <w:tcBorders>
              <w:bottom w:val="single" w:sz="8" w:color="72FFF7"/>
            </w:tcBorders>
            <w:shd w:val="clear" w:color="auto" w:fill="72FFF7"/>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80" w:type="dxa"/>
            <w:vAlign w:val="bottom"/>
            <w:tcBorders>
              <w:top w:val="single" w:sz="8" w:color="029C93"/>
            </w:tcBorders>
          </w:tcPr>
          <w:p>
            <w:pPr>
              <w:ind w:left="20"/>
              <w:spacing w:after="0"/>
              <w:rPr>
                <w:sz w:val="20"/>
                <w:szCs w:val="20"/>
                <w:color w:val="auto"/>
              </w:rPr>
            </w:pPr>
            <w:r>
              <w:rPr>
                <w:rFonts w:ascii="Arial" w:cs="Arial" w:eastAsia="Arial" w:hAnsi="Arial"/>
                <w:sz w:val="9"/>
                <w:szCs w:val="9"/>
                <w:b w:val="1"/>
                <w:bCs w:val="1"/>
                <w:color w:val="auto"/>
              </w:rPr>
              <w:t>GEN1059</w:t>
            </w:r>
          </w:p>
        </w:tc>
        <w:tc>
          <w:tcPr>
            <w:tcW w:w="100" w:type="dxa"/>
            <w:vAlign w:val="bottom"/>
          </w:tcPr>
          <w:p>
            <w:pPr>
              <w:spacing w:after="0"/>
              <w:rPr>
                <w:sz w:val="10"/>
                <w:szCs w:val="10"/>
                <w:color w:val="auto"/>
              </w:rPr>
            </w:pPr>
          </w:p>
        </w:tc>
        <w:tc>
          <w:tcPr>
            <w:tcW w:w="1120" w:type="dxa"/>
            <w:vAlign w:val="bottom"/>
            <w:tcBorders>
              <w:top w:val="single" w:sz="8" w:color="029C93"/>
            </w:tcBorders>
          </w:tcPr>
          <w:p>
            <w:pPr>
              <w:spacing w:after="0"/>
              <w:rPr>
                <w:sz w:val="20"/>
                <w:szCs w:val="20"/>
                <w:color w:val="auto"/>
              </w:rPr>
            </w:pPr>
            <w:r>
              <w:rPr>
                <w:rFonts w:ascii="Arial" w:cs="Arial" w:eastAsia="Arial" w:hAnsi="Arial"/>
                <w:sz w:val="9"/>
                <w:szCs w:val="9"/>
                <w:color w:val="auto"/>
              </w:rPr>
              <w:t>Co-development</w:t>
            </w:r>
          </w:p>
        </w:tc>
        <w:tc>
          <w:tcPr>
            <w:tcW w:w="100" w:type="dxa"/>
            <w:vAlign w:val="bottom"/>
          </w:tcPr>
          <w:p>
            <w:pPr>
              <w:spacing w:after="0"/>
              <w:rPr>
                <w:sz w:val="10"/>
                <w:szCs w:val="10"/>
                <w:color w:val="auto"/>
              </w:rPr>
            </w:pPr>
          </w:p>
        </w:tc>
        <w:tc>
          <w:tcPr>
            <w:tcW w:w="1780" w:type="dxa"/>
            <w:vAlign w:val="bottom"/>
            <w:tcBorders>
              <w:top w:val="single" w:sz="8" w:color="029C93"/>
            </w:tcBorders>
            <w:gridSpan w:val="2"/>
          </w:tcPr>
          <w:p>
            <w:pPr>
              <w:ind w:left="20"/>
              <w:spacing w:after="0"/>
              <w:rPr>
                <w:sz w:val="20"/>
                <w:szCs w:val="20"/>
                <w:color w:val="auto"/>
              </w:rPr>
            </w:pPr>
            <w:r>
              <w:rPr>
                <w:rFonts w:ascii="Arial" w:cs="Arial" w:eastAsia="Arial" w:hAnsi="Arial"/>
                <w:sz w:val="9"/>
                <w:szCs w:val="9"/>
                <w:color w:val="auto"/>
              </w:rPr>
              <w:t>Epithelial cell adhesion DuoBody</w:t>
            </w:r>
          </w:p>
        </w:tc>
        <w:tc>
          <w:tcPr>
            <w:tcW w:w="2120" w:type="dxa"/>
            <w:vAlign w:val="bottom"/>
            <w:tcBorders>
              <w:top w:val="single" w:sz="8" w:color="029C93"/>
            </w:tcBorders>
          </w:tcPr>
          <w:p>
            <w:pPr>
              <w:ind w:left="160"/>
              <w:spacing w:after="0"/>
              <w:rPr>
                <w:sz w:val="20"/>
                <w:szCs w:val="20"/>
                <w:color w:val="auto"/>
              </w:rPr>
            </w:pPr>
            <w:r>
              <w:rPr>
                <w:rFonts w:ascii="Arial" w:cs="Arial" w:eastAsia="Arial" w:hAnsi="Arial"/>
                <w:sz w:val="9"/>
                <w:szCs w:val="9"/>
                <w:color w:val="auto"/>
              </w:rPr>
              <w:t>Solid tumors</w:t>
            </w:r>
          </w:p>
        </w:tc>
        <w:tc>
          <w:tcPr>
            <w:tcW w:w="880" w:type="dxa"/>
            <w:vAlign w:val="bottom"/>
            <w:tcBorders>
              <w:top w:val="single" w:sz="8" w:color="004D49"/>
            </w:tcBorders>
            <w:shd w:val="clear" w:color="auto" w:fill="004D49"/>
          </w:tcPr>
          <w:p>
            <w:pPr>
              <w:spacing w:after="0"/>
              <w:rPr>
                <w:sz w:val="10"/>
                <w:szCs w:val="10"/>
                <w:color w:val="auto"/>
              </w:rPr>
            </w:pPr>
          </w:p>
        </w:tc>
        <w:tc>
          <w:tcPr>
            <w:tcW w:w="480" w:type="dxa"/>
            <w:vAlign w:val="bottom"/>
            <w:tcBorders>
              <w:top w:val="single" w:sz="8" w:color="02756E"/>
            </w:tcBorders>
            <w:shd w:val="clear" w:color="auto" w:fill="02756E"/>
          </w:tcPr>
          <w:p>
            <w:pPr>
              <w:spacing w:after="0"/>
              <w:rPr>
                <w:sz w:val="10"/>
                <w:szCs w:val="10"/>
                <w:color w:val="auto"/>
              </w:rPr>
            </w:pPr>
          </w:p>
        </w:tc>
        <w:tc>
          <w:tcPr>
            <w:tcW w:w="2360" w:type="dxa"/>
            <w:vAlign w:val="bottom"/>
            <w:tcBorders>
              <w:top w:val="single" w:sz="8" w:color="029C93"/>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gridSpan w:val="2"/>
          </w:tcPr>
          <w:p>
            <w:pPr>
              <w:ind w:left="20"/>
              <w:spacing w:after="0"/>
              <w:rPr>
                <w:sz w:val="20"/>
                <w:szCs w:val="20"/>
                <w:color w:val="auto"/>
              </w:rPr>
            </w:pPr>
            <w:r>
              <w:rPr>
                <w:rFonts w:ascii="Arial" w:cs="Arial" w:eastAsia="Arial" w:hAnsi="Arial"/>
                <w:sz w:val="9"/>
                <w:szCs w:val="9"/>
                <w:color w:val="auto"/>
              </w:rPr>
              <w:t>(BNT314)</w:t>
            </w:r>
          </w:p>
        </w:tc>
        <w:tc>
          <w:tcPr>
            <w:tcW w:w="1220" w:type="dxa"/>
            <w:vAlign w:val="bottom"/>
            <w:gridSpan w:val="2"/>
          </w:tcPr>
          <w:p>
            <w:pPr>
              <w:spacing w:after="0"/>
              <w:rPr>
                <w:sz w:val="20"/>
                <w:szCs w:val="20"/>
                <w:color w:val="auto"/>
              </w:rPr>
            </w:pPr>
            <w:r>
              <w:rPr>
                <w:rFonts w:ascii="Arial" w:cs="Arial" w:eastAsia="Arial" w:hAnsi="Arial"/>
                <w:sz w:val="9"/>
                <w:szCs w:val="9"/>
                <w:color w:val="auto"/>
              </w:rPr>
              <w:t>Genmab / BioNTech</w:t>
            </w:r>
          </w:p>
        </w:tc>
        <w:tc>
          <w:tcPr>
            <w:tcW w:w="960" w:type="dxa"/>
            <w:vAlign w:val="bottom"/>
          </w:tcPr>
          <w:p>
            <w:pPr>
              <w:ind w:left="20"/>
              <w:spacing w:after="0"/>
              <w:rPr>
                <w:sz w:val="20"/>
                <w:szCs w:val="20"/>
                <w:color w:val="auto"/>
              </w:rPr>
            </w:pPr>
            <w:r>
              <w:rPr>
                <w:rFonts w:ascii="Arial" w:cs="Arial" w:eastAsia="Arial" w:hAnsi="Arial"/>
                <w:sz w:val="9"/>
                <w:szCs w:val="9"/>
                <w:color w:val="auto"/>
              </w:rPr>
              <w:t>molecule (EpCAM), 4-</w:t>
            </w:r>
          </w:p>
        </w:tc>
        <w:tc>
          <w:tcPr>
            <w:tcW w:w="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1BB</w:t>
            </w:r>
          </w:p>
        </w:tc>
        <w:tc>
          <w:tcPr>
            <w:tcW w:w="8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80" w:type="dxa"/>
            <w:vAlign w:val="bottom"/>
            <w:tcBorders>
              <w:bottom w:val="single" w:sz="8" w:color="029C93"/>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029C93"/>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bottom w:val="single" w:sz="8" w:color="029C93"/>
            </w:tcBorders>
          </w:tcPr>
          <w:p>
            <w:pPr>
              <w:spacing w:after="0"/>
              <w:rPr>
                <w:sz w:val="9"/>
                <w:szCs w:val="9"/>
                <w:color w:val="auto"/>
              </w:rPr>
            </w:pPr>
          </w:p>
        </w:tc>
        <w:tc>
          <w:tcPr>
            <w:tcW w:w="820" w:type="dxa"/>
            <w:vAlign w:val="bottom"/>
            <w:tcBorders>
              <w:bottom w:val="single" w:sz="8" w:color="029C93"/>
            </w:tcBorders>
          </w:tcPr>
          <w:p>
            <w:pPr>
              <w:spacing w:after="0"/>
              <w:rPr>
                <w:sz w:val="9"/>
                <w:szCs w:val="9"/>
                <w:color w:val="auto"/>
              </w:rPr>
            </w:pPr>
          </w:p>
        </w:tc>
        <w:tc>
          <w:tcPr>
            <w:tcW w:w="2120" w:type="dxa"/>
            <w:vAlign w:val="bottom"/>
            <w:tcBorders>
              <w:bottom w:val="single" w:sz="8" w:color="029C93"/>
            </w:tcBorders>
          </w:tcPr>
          <w:p>
            <w:pPr>
              <w:spacing w:after="0"/>
              <w:rPr>
                <w:sz w:val="9"/>
                <w:szCs w:val="9"/>
                <w:color w:val="auto"/>
              </w:rPr>
            </w:pPr>
          </w:p>
        </w:tc>
        <w:tc>
          <w:tcPr>
            <w:tcW w:w="880" w:type="dxa"/>
            <w:vAlign w:val="bottom"/>
            <w:tcBorders>
              <w:bottom w:val="single" w:sz="8" w:color="004D49"/>
            </w:tcBorders>
            <w:shd w:val="clear" w:color="auto" w:fill="004D49"/>
          </w:tcPr>
          <w:p>
            <w:pPr>
              <w:spacing w:after="0"/>
              <w:rPr>
                <w:sz w:val="9"/>
                <w:szCs w:val="9"/>
                <w:color w:val="auto"/>
              </w:rPr>
            </w:pPr>
          </w:p>
        </w:tc>
        <w:tc>
          <w:tcPr>
            <w:tcW w:w="480" w:type="dxa"/>
            <w:vAlign w:val="bottom"/>
            <w:tcBorders>
              <w:bottom w:val="single" w:sz="8" w:color="02756E"/>
            </w:tcBorders>
            <w:shd w:val="clear" w:color="auto" w:fill="02756E"/>
          </w:tcPr>
          <w:p>
            <w:pPr>
              <w:spacing w:after="0"/>
              <w:rPr>
                <w:sz w:val="9"/>
                <w:szCs w:val="9"/>
                <w:color w:val="auto"/>
              </w:rPr>
            </w:pPr>
          </w:p>
        </w:tc>
        <w:tc>
          <w:tcPr>
            <w:tcW w:w="460" w:type="dxa"/>
            <w:vAlign w:val="bottom"/>
            <w:tcBorders>
              <w:bottom w:val="single" w:sz="8" w:color="029C93"/>
            </w:tcBorders>
          </w:tcPr>
          <w:p>
            <w:pPr>
              <w:spacing w:after="0"/>
              <w:rPr>
                <w:sz w:val="9"/>
                <w:szCs w:val="9"/>
                <w:color w:val="auto"/>
              </w:rPr>
            </w:pPr>
          </w:p>
        </w:tc>
        <w:tc>
          <w:tcPr>
            <w:tcW w:w="480" w:type="dxa"/>
            <w:vAlign w:val="bottom"/>
            <w:tcBorders>
              <w:bottom w:val="single" w:sz="8" w:color="029C93"/>
            </w:tcBorders>
          </w:tcPr>
          <w:p>
            <w:pPr>
              <w:spacing w:after="0"/>
              <w:rPr>
                <w:sz w:val="9"/>
                <w:szCs w:val="9"/>
                <w:color w:val="auto"/>
              </w:rPr>
            </w:pPr>
          </w:p>
        </w:tc>
        <w:tc>
          <w:tcPr>
            <w:tcW w:w="480" w:type="dxa"/>
            <w:vAlign w:val="bottom"/>
            <w:tcBorders>
              <w:bottom w:val="single" w:sz="8" w:color="029C93"/>
            </w:tcBorders>
          </w:tcPr>
          <w:p>
            <w:pPr>
              <w:spacing w:after="0"/>
              <w:rPr>
                <w:sz w:val="9"/>
                <w:szCs w:val="9"/>
                <w:color w:val="auto"/>
              </w:rPr>
            </w:pPr>
          </w:p>
        </w:tc>
        <w:tc>
          <w:tcPr>
            <w:tcW w:w="460" w:type="dxa"/>
            <w:vAlign w:val="bottom"/>
            <w:tcBorders>
              <w:bottom w:val="single" w:sz="8" w:color="029C93"/>
            </w:tcBorders>
          </w:tcPr>
          <w:p>
            <w:pPr>
              <w:spacing w:after="0"/>
              <w:rPr>
                <w:sz w:val="9"/>
                <w:szCs w:val="9"/>
                <w:color w:val="auto"/>
              </w:rPr>
            </w:pPr>
          </w:p>
        </w:tc>
        <w:tc>
          <w:tcPr>
            <w:tcW w:w="480" w:type="dxa"/>
            <w:vAlign w:val="bottom"/>
            <w:tcBorders>
              <w:bottom w:val="single" w:sz="8" w:color="029C93"/>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GEN1160</w:t>
            </w:r>
          </w:p>
        </w:tc>
        <w:tc>
          <w:tcPr>
            <w:tcW w:w="1220" w:type="dxa"/>
            <w:vAlign w:val="bottom"/>
            <w:gridSpan w:val="2"/>
          </w:tcPr>
          <w:p>
            <w:pPr>
              <w:spacing w:after="0"/>
              <w:rPr>
                <w:sz w:val="20"/>
                <w:szCs w:val="20"/>
                <w:color w:val="auto"/>
              </w:rPr>
            </w:pPr>
            <w:r>
              <w:rPr>
                <w:rFonts w:ascii="Arial" w:cs="Arial" w:eastAsia="Arial" w:hAnsi="Arial"/>
                <w:sz w:val="9"/>
                <w:szCs w:val="9"/>
                <w:color w:val="auto"/>
              </w:rPr>
              <w:t>Genmab</w:t>
            </w:r>
          </w:p>
        </w:tc>
        <w:tc>
          <w:tcPr>
            <w:tcW w:w="960" w:type="dxa"/>
            <w:vAlign w:val="bottom"/>
          </w:tcPr>
          <w:p>
            <w:pPr>
              <w:ind w:left="20"/>
              <w:spacing w:after="0"/>
              <w:rPr>
                <w:sz w:val="20"/>
                <w:szCs w:val="20"/>
                <w:color w:val="auto"/>
              </w:rPr>
            </w:pPr>
            <w:r>
              <w:rPr>
                <w:rFonts w:ascii="Arial" w:cs="Arial" w:eastAsia="Arial" w:hAnsi="Arial"/>
                <w:sz w:val="9"/>
                <w:szCs w:val="9"/>
                <w:color w:val="auto"/>
              </w:rPr>
              <w:t>CD70</w:t>
            </w:r>
          </w:p>
        </w:tc>
        <w:tc>
          <w:tcPr>
            <w:tcW w:w="820" w:type="dxa"/>
            <w:vAlign w:val="bottom"/>
          </w:tcPr>
          <w:p>
            <w:pPr>
              <w:ind w:left="20"/>
              <w:spacing w:after="0"/>
              <w:rPr>
                <w:sz w:val="20"/>
                <w:szCs w:val="20"/>
                <w:color w:val="auto"/>
              </w:rPr>
            </w:pPr>
            <w:r>
              <w:rPr>
                <w:rFonts w:ascii="Arial" w:cs="Arial" w:eastAsia="Arial" w:hAnsi="Arial"/>
                <w:sz w:val="9"/>
                <w:szCs w:val="9"/>
                <w:color w:val="auto"/>
              </w:rPr>
              <w:t>ADC</w:t>
            </w:r>
          </w:p>
        </w:tc>
        <w:tc>
          <w:tcPr>
            <w:tcW w:w="2120" w:type="dxa"/>
            <w:vAlign w:val="bottom"/>
          </w:tcPr>
          <w:p>
            <w:pPr>
              <w:ind w:left="160"/>
              <w:spacing w:after="0"/>
              <w:rPr>
                <w:sz w:val="20"/>
                <w:szCs w:val="20"/>
                <w:color w:val="auto"/>
              </w:rPr>
            </w:pPr>
            <w:r>
              <w:rPr>
                <w:rFonts w:ascii="Arial" w:cs="Arial" w:eastAsia="Arial" w:hAnsi="Arial"/>
                <w:sz w:val="9"/>
                <w:szCs w:val="9"/>
                <w:color w:val="auto"/>
              </w:rPr>
              <w:t>Advanced solid and liquid tumors</w:t>
            </w: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23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gridSpan w:val="2"/>
          </w:tcPr>
          <w:p>
            <w:pPr>
              <w:ind w:left="20"/>
              <w:spacing w:after="0"/>
              <w:rPr>
                <w:sz w:val="20"/>
                <w:szCs w:val="20"/>
                <w:color w:val="auto"/>
              </w:rPr>
            </w:pPr>
            <w:r>
              <w:rPr>
                <w:rFonts w:ascii="Arial" w:cs="Arial" w:eastAsia="Arial" w:hAnsi="Arial"/>
                <w:sz w:val="9"/>
                <w:szCs w:val="9"/>
                <w:color w:val="auto"/>
              </w:rPr>
              <w:t>(PRO1160)</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029C93"/>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29C93"/>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029C93"/>
            </w:tcBorders>
            <w:gridSpan w:val="2"/>
          </w:tcPr>
          <w:p>
            <w:pPr>
              <w:spacing w:after="0"/>
              <w:rPr>
                <w:sz w:val="2"/>
                <w:szCs w:val="2"/>
                <w:color w:val="auto"/>
              </w:rPr>
            </w:pPr>
          </w:p>
        </w:tc>
        <w:tc>
          <w:tcPr>
            <w:tcW w:w="2120" w:type="dxa"/>
            <w:vAlign w:val="bottom"/>
            <w:tcBorders>
              <w:bottom w:val="single" w:sz="8" w:color="029C93"/>
            </w:tcBorders>
          </w:tcPr>
          <w:p>
            <w:pPr>
              <w:spacing w:after="0"/>
              <w:rPr>
                <w:sz w:val="2"/>
                <w:szCs w:val="2"/>
                <w:color w:val="auto"/>
              </w:rPr>
            </w:pPr>
          </w:p>
        </w:tc>
        <w:tc>
          <w:tcPr>
            <w:tcW w:w="880" w:type="dxa"/>
            <w:vAlign w:val="bottom"/>
            <w:tcBorders>
              <w:bottom w:val="single" w:sz="8" w:color="004D49"/>
            </w:tcBorders>
            <w:shd w:val="clear" w:color="auto" w:fill="004D49"/>
          </w:tcPr>
          <w:p>
            <w:pPr>
              <w:spacing w:after="0"/>
              <w:rPr>
                <w:sz w:val="2"/>
                <w:szCs w:val="2"/>
                <w:color w:val="auto"/>
              </w:rPr>
            </w:pPr>
          </w:p>
        </w:tc>
        <w:tc>
          <w:tcPr>
            <w:tcW w:w="480" w:type="dxa"/>
            <w:vAlign w:val="bottom"/>
            <w:tcBorders>
              <w:bottom w:val="single" w:sz="8" w:color="02756E"/>
            </w:tcBorders>
            <w:shd w:val="clear" w:color="auto" w:fill="02756E"/>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480" w:type="dxa"/>
            <w:vAlign w:val="bottom"/>
            <w:tcBorders>
              <w:bottom w:val="single" w:sz="8" w:color="029C93"/>
            </w:tcBorders>
          </w:tcPr>
          <w:p>
            <w:pPr>
              <w:spacing w:after="0"/>
              <w:rPr>
                <w:sz w:val="2"/>
                <w:szCs w:val="2"/>
                <w:color w:val="auto"/>
              </w:rPr>
            </w:pPr>
          </w:p>
        </w:tc>
        <w:tc>
          <w:tcPr>
            <w:tcW w:w="480" w:type="dxa"/>
            <w:vAlign w:val="bottom"/>
            <w:tcBorders>
              <w:bottom w:val="single" w:sz="8" w:color="029C93"/>
            </w:tcBorders>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48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GEN1107</w:t>
            </w:r>
          </w:p>
        </w:tc>
        <w:tc>
          <w:tcPr>
            <w:tcW w:w="1220" w:type="dxa"/>
            <w:vAlign w:val="bottom"/>
            <w:gridSpan w:val="2"/>
          </w:tcPr>
          <w:p>
            <w:pPr>
              <w:spacing w:after="0"/>
              <w:rPr>
                <w:sz w:val="20"/>
                <w:szCs w:val="20"/>
                <w:color w:val="auto"/>
              </w:rPr>
            </w:pPr>
            <w:r>
              <w:rPr>
                <w:rFonts w:ascii="Arial" w:cs="Arial" w:eastAsia="Arial" w:hAnsi="Arial"/>
                <w:sz w:val="9"/>
                <w:szCs w:val="9"/>
                <w:color w:val="auto"/>
              </w:rPr>
              <w:t>Genmab</w:t>
            </w:r>
          </w:p>
        </w:tc>
        <w:tc>
          <w:tcPr>
            <w:tcW w:w="1780" w:type="dxa"/>
            <w:vAlign w:val="bottom"/>
            <w:gridSpan w:val="2"/>
          </w:tcPr>
          <w:p>
            <w:pPr>
              <w:ind w:left="20"/>
              <w:spacing w:after="0"/>
              <w:rPr>
                <w:sz w:val="20"/>
                <w:szCs w:val="20"/>
                <w:color w:val="auto"/>
              </w:rPr>
            </w:pPr>
            <w:r>
              <w:rPr>
                <w:rFonts w:ascii="Arial" w:cs="Arial" w:eastAsia="Arial" w:hAnsi="Arial"/>
                <w:sz w:val="9"/>
                <w:szCs w:val="9"/>
                <w:color w:val="auto"/>
              </w:rPr>
              <w:t>Protein tyrosine kinase ADC</w:t>
            </w:r>
          </w:p>
        </w:tc>
        <w:tc>
          <w:tcPr>
            <w:tcW w:w="2120" w:type="dxa"/>
            <w:vAlign w:val="bottom"/>
          </w:tcPr>
          <w:p>
            <w:pPr>
              <w:ind w:left="160"/>
              <w:spacing w:after="0"/>
              <w:rPr>
                <w:sz w:val="20"/>
                <w:szCs w:val="20"/>
                <w:color w:val="auto"/>
              </w:rPr>
            </w:pPr>
            <w:r>
              <w:rPr>
                <w:rFonts w:ascii="Arial" w:cs="Arial" w:eastAsia="Arial" w:hAnsi="Arial"/>
                <w:sz w:val="9"/>
                <w:szCs w:val="9"/>
                <w:color w:val="auto"/>
              </w:rPr>
              <w:t>Advanced solid tumors</w:t>
            </w: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23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80" w:type="dxa"/>
            <w:vAlign w:val="bottom"/>
            <w:gridSpan w:val="2"/>
          </w:tcPr>
          <w:p>
            <w:pPr>
              <w:ind w:left="20"/>
              <w:spacing w:after="0"/>
              <w:rPr>
                <w:sz w:val="20"/>
                <w:szCs w:val="20"/>
                <w:color w:val="auto"/>
              </w:rPr>
            </w:pPr>
            <w:r>
              <w:rPr>
                <w:rFonts w:ascii="Arial" w:cs="Arial" w:eastAsia="Arial" w:hAnsi="Arial"/>
                <w:sz w:val="9"/>
                <w:szCs w:val="9"/>
                <w:color w:val="auto"/>
              </w:rPr>
              <w:t>(PRO1107)</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7 (PTK7)</w:t>
            </w:r>
          </w:p>
        </w:tc>
        <w:tc>
          <w:tcPr>
            <w:tcW w:w="8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029C93"/>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29C93"/>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029C93"/>
            </w:tcBorders>
          </w:tcPr>
          <w:p>
            <w:pPr>
              <w:spacing w:after="0"/>
              <w:rPr>
                <w:sz w:val="2"/>
                <w:szCs w:val="2"/>
                <w:color w:val="auto"/>
              </w:rPr>
            </w:pPr>
          </w:p>
        </w:tc>
        <w:tc>
          <w:tcPr>
            <w:tcW w:w="820" w:type="dxa"/>
            <w:vAlign w:val="bottom"/>
            <w:tcBorders>
              <w:bottom w:val="single" w:sz="8" w:color="029C93"/>
            </w:tcBorders>
          </w:tcPr>
          <w:p>
            <w:pPr>
              <w:spacing w:after="0"/>
              <w:rPr>
                <w:sz w:val="2"/>
                <w:szCs w:val="2"/>
                <w:color w:val="auto"/>
              </w:rPr>
            </w:pPr>
          </w:p>
        </w:tc>
        <w:tc>
          <w:tcPr>
            <w:tcW w:w="2120" w:type="dxa"/>
            <w:vAlign w:val="bottom"/>
            <w:tcBorders>
              <w:bottom w:val="single" w:sz="8" w:color="029C93"/>
            </w:tcBorders>
          </w:tcPr>
          <w:p>
            <w:pPr>
              <w:spacing w:after="0"/>
              <w:rPr>
                <w:sz w:val="2"/>
                <w:szCs w:val="2"/>
                <w:color w:val="auto"/>
              </w:rPr>
            </w:pPr>
          </w:p>
        </w:tc>
        <w:tc>
          <w:tcPr>
            <w:tcW w:w="880" w:type="dxa"/>
            <w:vAlign w:val="bottom"/>
            <w:tcBorders>
              <w:bottom w:val="single" w:sz="8" w:color="004D49"/>
            </w:tcBorders>
            <w:shd w:val="clear" w:color="auto" w:fill="004D49"/>
          </w:tcPr>
          <w:p>
            <w:pPr>
              <w:spacing w:after="0"/>
              <w:rPr>
                <w:sz w:val="2"/>
                <w:szCs w:val="2"/>
                <w:color w:val="auto"/>
              </w:rPr>
            </w:pPr>
          </w:p>
        </w:tc>
        <w:tc>
          <w:tcPr>
            <w:tcW w:w="480" w:type="dxa"/>
            <w:vAlign w:val="bottom"/>
            <w:tcBorders>
              <w:bottom w:val="single" w:sz="8" w:color="02756E"/>
            </w:tcBorders>
            <w:shd w:val="clear" w:color="auto" w:fill="02756E"/>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480" w:type="dxa"/>
            <w:vAlign w:val="bottom"/>
            <w:tcBorders>
              <w:bottom w:val="single" w:sz="8" w:color="029C93"/>
            </w:tcBorders>
          </w:tcPr>
          <w:p>
            <w:pPr>
              <w:spacing w:after="0"/>
              <w:rPr>
                <w:sz w:val="2"/>
                <w:szCs w:val="2"/>
                <w:color w:val="auto"/>
              </w:rPr>
            </w:pPr>
          </w:p>
        </w:tc>
        <w:tc>
          <w:tcPr>
            <w:tcW w:w="480" w:type="dxa"/>
            <w:vAlign w:val="bottom"/>
            <w:tcBorders>
              <w:bottom w:val="single" w:sz="8" w:color="029C93"/>
            </w:tcBorders>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48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GEN1057</w:t>
            </w:r>
          </w:p>
        </w:tc>
        <w:tc>
          <w:tcPr>
            <w:tcW w:w="1220" w:type="dxa"/>
            <w:vAlign w:val="bottom"/>
            <w:gridSpan w:val="2"/>
          </w:tcPr>
          <w:p>
            <w:pPr>
              <w:spacing w:after="0"/>
              <w:rPr>
                <w:sz w:val="20"/>
                <w:szCs w:val="20"/>
                <w:color w:val="auto"/>
              </w:rPr>
            </w:pPr>
            <w:r>
              <w:rPr>
                <w:rFonts w:ascii="Arial" w:cs="Arial" w:eastAsia="Arial" w:hAnsi="Arial"/>
                <w:sz w:val="9"/>
                <w:szCs w:val="9"/>
                <w:color w:val="auto"/>
              </w:rPr>
              <w:t>Genmab</w:t>
            </w:r>
          </w:p>
        </w:tc>
        <w:tc>
          <w:tcPr>
            <w:tcW w:w="960" w:type="dxa"/>
            <w:vAlign w:val="bottom"/>
          </w:tcPr>
          <w:p>
            <w:pPr>
              <w:ind w:left="20"/>
              <w:spacing w:after="0"/>
              <w:rPr>
                <w:sz w:val="20"/>
                <w:szCs w:val="20"/>
                <w:color w:val="auto"/>
              </w:rPr>
            </w:pPr>
            <w:r>
              <w:rPr>
                <w:rFonts w:ascii="Arial" w:cs="Arial" w:eastAsia="Arial" w:hAnsi="Arial"/>
                <w:sz w:val="9"/>
                <w:szCs w:val="9"/>
                <w:color w:val="auto"/>
              </w:rPr>
              <w:t>Fibroblast activation</w:t>
            </w:r>
          </w:p>
        </w:tc>
        <w:tc>
          <w:tcPr>
            <w:tcW w:w="820" w:type="dxa"/>
            <w:vAlign w:val="bottom"/>
          </w:tcPr>
          <w:p>
            <w:pPr>
              <w:ind w:left="20"/>
              <w:spacing w:after="0"/>
              <w:rPr>
                <w:sz w:val="20"/>
                <w:szCs w:val="20"/>
                <w:color w:val="auto"/>
              </w:rPr>
            </w:pPr>
            <w:r>
              <w:rPr>
                <w:rFonts w:ascii="Arial" w:cs="Arial" w:eastAsia="Arial" w:hAnsi="Arial"/>
                <w:sz w:val="9"/>
                <w:szCs w:val="9"/>
                <w:color w:val="auto"/>
              </w:rPr>
              <w:t>DuoBody</w:t>
            </w:r>
          </w:p>
        </w:tc>
        <w:tc>
          <w:tcPr>
            <w:tcW w:w="2120" w:type="dxa"/>
            <w:vAlign w:val="bottom"/>
          </w:tcPr>
          <w:p>
            <w:pPr>
              <w:ind w:left="160"/>
              <w:spacing w:after="0"/>
              <w:rPr>
                <w:sz w:val="20"/>
                <w:szCs w:val="20"/>
                <w:color w:val="auto"/>
              </w:rPr>
            </w:pPr>
            <w:r>
              <w:rPr>
                <w:rFonts w:ascii="Arial" w:cs="Arial" w:eastAsia="Arial" w:hAnsi="Arial"/>
                <w:sz w:val="9"/>
                <w:szCs w:val="9"/>
                <w:color w:val="auto"/>
              </w:rPr>
              <w:t>Malignant solid tumors</w:t>
            </w: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23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protein alpha (FAPα),</w:t>
            </w:r>
          </w:p>
        </w:tc>
        <w:tc>
          <w:tcPr>
            <w:tcW w:w="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w w:val="99"/>
              </w:rPr>
              <w:t>death receptor 4 (DR4)</w:t>
            </w:r>
          </w:p>
        </w:tc>
        <w:tc>
          <w:tcPr>
            <w:tcW w:w="8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880" w:type="dxa"/>
            <w:vAlign w:val="bottom"/>
            <w:tcBorders>
              <w:bottom w:val="single" w:sz="8" w:color="029C93"/>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029C93"/>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029C93"/>
            </w:tcBorders>
          </w:tcPr>
          <w:p>
            <w:pPr>
              <w:spacing w:after="0"/>
              <w:rPr>
                <w:sz w:val="18"/>
                <w:szCs w:val="18"/>
                <w:color w:val="auto"/>
              </w:rPr>
            </w:pPr>
          </w:p>
        </w:tc>
        <w:tc>
          <w:tcPr>
            <w:tcW w:w="820" w:type="dxa"/>
            <w:vAlign w:val="bottom"/>
            <w:tcBorders>
              <w:bottom w:val="single" w:sz="8" w:color="029C93"/>
            </w:tcBorders>
          </w:tcPr>
          <w:p>
            <w:pPr>
              <w:spacing w:after="0"/>
              <w:rPr>
                <w:sz w:val="18"/>
                <w:szCs w:val="18"/>
                <w:color w:val="auto"/>
              </w:rPr>
            </w:pPr>
          </w:p>
        </w:tc>
        <w:tc>
          <w:tcPr>
            <w:tcW w:w="2120" w:type="dxa"/>
            <w:vAlign w:val="bottom"/>
            <w:tcBorders>
              <w:bottom w:val="single" w:sz="8" w:color="029C93"/>
            </w:tcBorders>
          </w:tcPr>
          <w:p>
            <w:pPr>
              <w:spacing w:after="0"/>
              <w:rPr>
                <w:sz w:val="18"/>
                <w:szCs w:val="18"/>
                <w:color w:val="auto"/>
              </w:rPr>
            </w:pPr>
          </w:p>
        </w:tc>
        <w:tc>
          <w:tcPr>
            <w:tcW w:w="880" w:type="dxa"/>
            <w:vAlign w:val="bottom"/>
            <w:tcBorders>
              <w:bottom w:val="single" w:sz="8" w:color="004D49"/>
            </w:tcBorders>
            <w:shd w:val="clear" w:color="auto" w:fill="004D49"/>
          </w:tcPr>
          <w:p>
            <w:pPr>
              <w:spacing w:after="0"/>
              <w:rPr>
                <w:sz w:val="18"/>
                <w:szCs w:val="18"/>
                <w:color w:val="auto"/>
              </w:rPr>
            </w:pPr>
          </w:p>
        </w:tc>
        <w:tc>
          <w:tcPr>
            <w:tcW w:w="480" w:type="dxa"/>
            <w:vAlign w:val="bottom"/>
            <w:tcBorders>
              <w:bottom w:val="single" w:sz="8" w:color="02756E"/>
            </w:tcBorders>
            <w:shd w:val="clear" w:color="auto" w:fill="02756E"/>
          </w:tcPr>
          <w:p>
            <w:pPr>
              <w:spacing w:after="0"/>
              <w:rPr>
                <w:sz w:val="18"/>
                <w:szCs w:val="18"/>
                <w:color w:val="auto"/>
              </w:rPr>
            </w:pPr>
          </w:p>
        </w:tc>
        <w:tc>
          <w:tcPr>
            <w:tcW w:w="460" w:type="dxa"/>
            <w:vAlign w:val="bottom"/>
            <w:tcBorders>
              <w:bottom w:val="single" w:sz="8" w:color="029C93"/>
            </w:tcBorders>
          </w:tcPr>
          <w:p>
            <w:pPr>
              <w:spacing w:after="0"/>
              <w:rPr>
                <w:sz w:val="18"/>
                <w:szCs w:val="18"/>
                <w:color w:val="auto"/>
              </w:rPr>
            </w:pPr>
          </w:p>
        </w:tc>
        <w:tc>
          <w:tcPr>
            <w:tcW w:w="480" w:type="dxa"/>
            <w:vAlign w:val="bottom"/>
            <w:tcBorders>
              <w:bottom w:val="single" w:sz="8" w:color="029C93"/>
            </w:tcBorders>
          </w:tcPr>
          <w:p>
            <w:pPr>
              <w:spacing w:after="0"/>
              <w:rPr>
                <w:sz w:val="18"/>
                <w:szCs w:val="18"/>
                <w:color w:val="auto"/>
              </w:rPr>
            </w:pPr>
          </w:p>
        </w:tc>
        <w:tc>
          <w:tcPr>
            <w:tcW w:w="480" w:type="dxa"/>
            <w:vAlign w:val="bottom"/>
            <w:tcBorders>
              <w:bottom w:val="single" w:sz="8" w:color="029C93"/>
            </w:tcBorders>
          </w:tcPr>
          <w:p>
            <w:pPr>
              <w:spacing w:after="0"/>
              <w:rPr>
                <w:sz w:val="18"/>
                <w:szCs w:val="18"/>
                <w:color w:val="auto"/>
              </w:rPr>
            </w:pPr>
          </w:p>
        </w:tc>
        <w:tc>
          <w:tcPr>
            <w:tcW w:w="460" w:type="dxa"/>
            <w:vAlign w:val="bottom"/>
            <w:tcBorders>
              <w:bottom w:val="single" w:sz="8" w:color="029C93"/>
            </w:tcBorders>
          </w:tcPr>
          <w:p>
            <w:pPr>
              <w:spacing w:after="0"/>
              <w:rPr>
                <w:sz w:val="18"/>
                <w:szCs w:val="18"/>
                <w:color w:val="auto"/>
              </w:rPr>
            </w:pPr>
          </w:p>
        </w:tc>
        <w:tc>
          <w:tcPr>
            <w:tcW w:w="480" w:type="dxa"/>
            <w:vAlign w:val="bottom"/>
            <w:tcBorders>
              <w:bottom w:val="single" w:sz="8" w:color="029C93"/>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GEN1286</w:t>
            </w:r>
          </w:p>
        </w:tc>
        <w:tc>
          <w:tcPr>
            <w:tcW w:w="1220" w:type="dxa"/>
            <w:vAlign w:val="bottom"/>
            <w:gridSpan w:val="2"/>
          </w:tcPr>
          <w:p>
            <w:pPr>
              <w:spacing w:after="0"/>
              <w:rPr>
                <w:sz w:val="20"/>
                <w:szCs w:val="20"/>
                <w:color w:val="auto"/>
              </w:rPr>
            </w:pPr>
            <w:r>
              <w:rPr>
                <w:rFonts w:ascii="Arial" w:cs="Arial" w:eastAsia="Arial" w:hAnsi="Arial"/>
                <w:sz w:val="9"/>
                <w:szCs w:val="9"/>
                <w:color w:val="auto"/>
              </w:rPr>
              <w:t>Genmab</w:t>
            </w:r>
          </w:p>
        </w:tc>
        <w:tc>
          <w:tcPr>
            <w:tcW w:w="960" w:type="dxa"/>
            <w:vAlign w:val="bottom"/>
          </w:tcPr>
          <w:p>
            <w:pPr>
              <w:ind w:left="20"/>
              <w:spacing w:after="0"/>
              <w:rPr>
                <w:sz w:val="20"/>
                <w:szCs w:val="20"/>
                <w:color w:val="auto"/>
              </w:rPr>
            </w:pPr>
            <w:r>
              <w:rPr>
                <w:rFonts w:ascii="Arial" w:cs="Arial" w:eastAsia="Arial" w:hAnsi="Arial"/>
                <w:sz w:val="9"/>
                <w:szCs w:val="9"/>
                <w:color w:val="auto"/>
              </w:rPr>
              <w:t>Epidermal growth</w:t>
            </w:r>
          </w:p>
        </w:tc>
        <w:tc>
          <w:tcPr>
            <w:tcW w:w="820" w:type="dxa"/>
            <w:vAlign w:val="bottom"/>
          </w:tcPr>
          <w:p>
            <w:pPr>
              <w:ind w:left="20"/>
              <w:spacing w:after="0"/>
              <w:rPr>
                <w:sz w:val="20"/>
                <w:szCs w:val="20"/>
                <w:color w:val="auto"/>
              </w:rPr>
            </w:pPr>
            <w:r>
              <w:rPr>
                <w:rFonts w:ascii="Arial" w:cs="Arial" w:eastAsia="Arial" w:hAnsi="Arial"/>
                <w:sz w:val="9"/>
                <w:szCs w:val="9"/>
                <w:color w:val="auto"/>
              </w:rPr>
              <w:t>ADC</w:t>
            </w:r>
          </w:p>
        </w:tc>
        <w:tc>
          <w:tcPr>
            <w:tcW w:w="2120" w:type="dxa"/>
            <w:vAlign w:val="bottom"/>
          </w:tcPr>
          <w:p>
            <w:pPr>
              <w:ind w:left="160"/>
              <w:spacing w:after="0"/>
              <w:rPr>
                <w:sz w:val="20"/>
                <w:szCs w:val="20"/>
                <w:color w:val="auto"/>
              </w:rPr>
            </w:pPr>
            <w:r>
              <w:rPr>
                <w:rFonts w:ascii="Arial" w:cs="Arial" w:eastAsia="Arial" w:hAnsi="Arial"/>
                <w:sz w:val="9"/>
                <w:szCs w:val="9"/>
                <w:color w:val="auto"/>
              </w:rPr>
              <w:t>Advanced solid tumors</w:t>
            </w: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23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gridSpan w:val="2"/>
          </w:tcPr>
          <w:p>
            <w:pPr>
              <w:ind w:left="20"/>
              <w:spacing w:after="0"/>
              <w:rPr>
                <w:sz w:val="20"/>
                <w:szCs w:val="20"/>
                <w:color w:val="auto"/>
              </w:rPr>
            </w:pPr>
            <w:r>
              <w:rPr>
                <w:rFonts w:ascii="Arial" w:cs="Arial" w:eastAsia="Arial" w:hAnsi="Arial"/>
                <w:sz w:val="9"/>
                <w:szCs w:val="9"/>
                <w:color w:val="auto"/>
              </w:rPr>
              <w:t>(PRO1286)</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factor receptor</w:t>
            </w:r>
          </w:p>
        </w:tc>
        <w:tc>
          <w:tcPr>
            <w:tcW w:w="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(EGFR), cellular-</w:t>
            </w:r>
          </w:p>
        </w:tc>
        <w:tc>
          <w:tcPr>
            <w:tcW w:w="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mesenchymal</w:t>
            </w:r>
          </w:p>
        </w:tc>
        <w:tc>
          <w:tcPr>
            <w:tcW w:w="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epithelial transition</w:t>
            </w:r>
          </w:p>
        </w:tc>
        <w:tc>
          <w:tcPr>
            <w:tcW w:w="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w w:val="99"/>
              </w:rPr>
              <w:t>factor receptor tyrosine</w:t>
            </w:r>
          </w:p>
        </w:tc>
        <w:tc>
          <w:tcPr>
            <w:tcW w:w="8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80" w:type="dxa"/>
            <w:vAlign w:val="bottom"/>
            <w:shd w:val="clear" w:color="auto" w:fill="004D49"/>
          </w:tcPr>
          <w:p>
            <w:pPr>
              <w:spacing w:after="0"/>
              <w:rPr>
                <w:sz w:val="9"/>
                <w:szCs w:val="9"/>
                <w:color w:val="auto"/>
              </w:rPr>
            </w:pPr>
          </w:p>
        </w:tc>
        <w:tc>
          <w:tcPr>
            <w:tcW w:w="480" w:type="dxa"/>
            <w:vAlign w:val="bottom"/>
            <w:shd w:val="clear" w:color="auto" w:fill="02756E"/>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9"/>
                <w:szCs w:val="9"/>
                <w:color w:val="auto"/>
              </w:rPr>
              <w:t>kinase (cMET)</w:t>
            </w:r>
          </w:p>
        </w:tc>
        <w:tc>
          <w:tcPr>
            <w:tcW w:w="8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80" w:type="dxa"/>
            <w:vAlign w:val="bottom"/>
            <w:shd w:val="clear" w:color="auto" w:fill="004D49"/>
          </w:tcPr>
          <w:p>
            <w:pPr>
              <w:spacing w:after="0"/>
              <w:rPr>
                <w:sz w:val="10"/>
                <w:szCs w:val="10"/>
                <w:color w:val="auto"/>
              </w:rPr>
            </w:pPr>
          </w:p>
        </w:tc>
        <w:tc>
          <w:tcPr>
            <w:tcW w:w="480" w:type="dxa"/>
            <w:vAlign w:val="bottom"/>
            <w:shd w:val="clear" w:color="auto" w:fill="02756E"/>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880" w:type="dxa"/>
            <w:vAlign w:val="bottom"/>
            <w:tcBorders>
              <w:bottom w:val="single" w:sz="8" w:color="029C93"/>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029C93"/>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029C93"/>
            </w:tcBorders>
          </w:tcPr>
          <w:p>
            <w:pPr>
              <w:spacing w:after="0"/>
              <w:rPr>
                <w:sz w:val="18"/>
                <w:szCs w:val="18"/>
                <w:color w:val="auto"/>
              </w:rPr>
            </w:pPr>
          </w:p>
        </w:tc>
        <w:tc>
          <w:tcPr>
            <w:tcW w:w="820" w:type="dxa"/>
            <w:vAlign w:val="bottom"/>
            <w:tcBorders>
              <w:bottom w:val="single" w:sz="8" w:color="029C93"/>
            </w:tcBorders>
          </w:tcPr>
          <w:p>
            <w:pPr>
              <w:spacing w:after="0"/>
              <w:rPr>
                <w:sz w:val="18"/>
                <w:szCs w:val="18"/>
                <w:color w:val="auto"/>
              </w:rPr>
            </w:pPr>
          </w:p>
        </w:tc>
        <w:tc>
          <w:tcPr>
            <w:tcW w:w="2120" w:type="dxa"/>
            <w:vAlign w:val="bottom"/>
            <w:tcBorders>
              <w:bottom w:val="single" w:sz="8" w:color="029C93"/>
            </w:tcBorders>
          </w:tcPr>
          <w:p>
            <w:pPr>
              <w:spacing w:after="0"/>
              <w:rPr>
                <w:sz w:val="18"/>
                <w:szCs w:val="18"/>
                <w:color w:val="auto"/>
              </w:rPr>
            </w:pPr>
          </w:p>
        </w:tc>
        <w:tc>
          <w:tcPr>
            <w:tcW w:w="880" w:type="dxa"/>
            <w:vAlign w:val="bottom"/>
            <w:tcBorders>
              <w:bottom w:val="single" w:sz="8" w:color="029C93"/>
            </w:tcBorders>
            <w:shd w:val="clear" w:color="auto" w:fill="004D49"/>
          </w:tcPr>
          <w:p>
            <w:pPr>
              <w:spacing w:after="0"/>
              <w:rPr>
                <w:sz w:val="18"/>
                <w:szCs w:val="18"/>
                <w:color w:val="auto"/>
              </w:rPr>
            </w:pPr>
          </w:p>
        </w:tc>
        <w:tc>
          <w:tcPr>
            <w:tcW w:w="480" w:type="dxa"/>
            <w:vAlign w:val="bottom"/>
            <w:tcBorders>
              <w:bottom w:val="single" w:sz="8" w:color="029C93"/>
            </w:tcBorders>
            <w:shd w:val="clear" w:color="auto" w:fill="02756E"/>
          </w:tcPr>
          <w:p>
            <w:pPr>
              <w:spacing w:after="0"/>
              <w:rPr>
                <w:sz w:val="18"/>
                <w:szCs w:val="18"/>
                <w:color w:val="auto"/>
              </w:rPr>
            </w:pPr>
          </w:p>
        </w:tc>
        <w:tc>
          <w:tcPr>
            <w:tcW w:w="460" w:type="dxa"/>
            <w:vAlign w:val="bottom"/>
            <w:tcBorders>
              <w:bottom w:val="single" w:sz="8" w:color="029C93"/>
            </w:tcBorders>
          </w:tcPr>
          <w:p>
            <w:pPr>
              <w:spacing w:after="0"/>
              <w:rPr>
                <w:sz w:val="18"/>
                <w:szCs w:val="18"/>
                <w:color w:val="auto"/>
              </w:rPr>
            </w:pPr>
          </w:p>
        </w:tc>
        <w:tc>
          <w:tcPr>
            <w:tcW w:w="480" w:type="dxa"/>
            <w:vAlign w:val="bottom"/>
            <w:tcBorders>
              <w:bottom w:val="single" w:sz="8" w:color="029C93"/>
            </w:tcBorders>
          </w:tcPr>
          <w:p>
            <w:pPr>
              <w:spacing w:after="0"/>
              <w:rPr>
                <w:sz w:val="18"/>
                <w:szCs w:val="18"/>
                <w:color w:val="auto"/>
              </w:rPr>
            </w:pPr>
          </w:p>
        </w:tc>
        <w:tc>
          <w:tcPr>
            <w:tcW w:w="480" w:type="dxa"/>
            <w:vAlign w:val="bottom"/>
            <w:tcBorders>
              <w:bottom w:val="single" w:sz="8" w:color="029C93"/>
            </w:tcBorders>
          </w:tcPr>
          <w:p>
            <w:pPr>
              <w:spacing w:after="0"/>
              <w:rPr>
                <w:sz w:val="18"/>
                <w:szCs w:val="18"/>
                <w:color w:val="auto"/>
              </w:rPr>
            </w:pPr>
          </w:p>
        </w:tc>
        <w:tc>
          <w:tcPr>
            <w:tcW w:w="460" w:type="dxa"/>
            <w:vAlign w:val="bottom"/>
            <w:tcBorders>
              <w:bottom w:val="single" w:sz="8" w:color="029C93"/>
            </w:tcBorders>
          </w:tcPr>
          <w:p>
            <w:pPr>
              <w:spacing w:after="0"/>
              <w:rPr>
                <w:sz w:val="18"/>
                <w:szCs w:val="18"/>
                <w:color w:val="auto"/>
              </w:rPr>
            </w:pPr>
          </w:p>
        </w:tc>
        <w:tc>
          <w:tcPr>
            <w:tcW w:w="480" w:type="dxa"/>
            <w:vAlign w:val="bottom"/>
            <w:tcBorders>
              <w:bottom w:val="single" w:sz="8" w:color="029C93"/>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-2056765</wp:posOffset>
            </wp:positionV>
            <wp:extent cx="36175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61759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-2185670</wp:posOffset>
            </wp:positionV>
            <wp:extent cx="36175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61759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-2425065</wp:posOffset>
            </wp:positionV>
            <wp:extent cx="3617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-2990850</wp:posOffset>
            </wp:positionV>
            <wp:extent cx="36175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-3171190</wp:posOffset>
            </wp:positionV>
            <wp:extent cx="36175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-3316605</wp:posOffset>
            </wp:positionV>
            <wp:extent cx="36175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-3462655</wp:posOffset>
            </wp:positionV>
            <wp:extent cx="36175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-3608070</wp:posOffset>
            </wp:positionV>
            <wp:extent cx="36175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61759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-3754120</wp:posOffset>
            </wp:positionV>
            <wp:extent cx="3617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120"/>
        <w:spacing w:after="0" w:line="296" w:lineRule="auto"/>
        <w:rPr>
          <w:sz w:val="20"/>
          <w:szCs w:val="20"/>
          <w:color w:val="auto"/>
        </w:rPr>
      </w:pPr>
      <w:r>
        <w:rPr>
          <w:rFonts w:ascii="Arial" w:cs="Arial" w:eastAsia="Arial" w:hAnsi="Arial"/>
          <w:sz w:val="18"/>
          <w:szCs w:val="18"/>
          <w:b w:val="1"/>
          <w:bCs w:val="1"/>
          <w:color w:val="029C93"/>
        </w:rPr>
        <w:t>EPKINLY/TEPKINLY (epcoritamab) – the only bispecific antibody approved with a dual indication for the treatment of certain B-cell malignancies in the U.S., Europe and Japan</w:t>
      </w:r>
    </w:p>
    <w:p>
      <w:pPr>
        <w:spacing w:after="0" w:line="29" w:lineRule="exact"/>
        <w:rPr>
          <w:sz w:val="20"/>
          <w:szCs w:val="20"/>
          <w:color w:val="auto"/>
        </w:rPr>
      </w:pPr>
    </w:p>
    <w:p>
      <w:pPr>
        <w:jc w:val="both"/>
        <w:ind w:left="660" w:right="26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Epcoritamab (approved as EPKINLY and TEPKINLY) has received regulatory approvals in multiple territories including in the U.S. and Europe for adult patients with relapsed or refractory DLBCL after two or more lines of systemic therapy, and in Japan for adult patients with certain types of relapsed or refractory LBCL after two or more lines of systemic therapy</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EPKINLY/TEPKINLY has also been approved in multiple territories including the U.S., Japan and Europe for the treatment of adults with relapsed or refractory FL after two or more lines of systemic therapy</w:t>
      </w:r>
    </w:p>
    <w:p>
      <w:pPr>
        <w:ind w:left="660" w:right="5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More than 40 clinical trials are ongoing across different treatment settings, lines of therapy and in combination regimens across histologies, including five Phase 3 trials and additional trials in development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 bispecific antibody targeting CD3 and CD20, created using Genmab’s DuoBody technology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Co-developed and co-commercialized in collaboration with AbbVie</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Epcoritamab is a proprietary bispecific antibody created using Genmab’s DuoBody technology platform. Epcoritamab targets CD3, which is expressed on T-cells, and CD20, a clinically validated target on malignant B-cells. Genmab used technology licensed from Medarex Inc. (Medarex) to generate the CD20 antibody forming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7/44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part of epcoritamab. Epcoritamab is marketed as EPKINLY in the U.S., Japan, and other regions, and as TEPKINLY in Europe and other regions. See local prescribing information for specific indications and safety information. In 2020, Genmab entered into a collaboration agreement with AbbVie to jointly develop and commercialize epcoritamab. The companies share commercialization responsibilities in the U.S. and Japan, with AbbVie responsible for further global commercialization.</w:t>
      </w:r>
    </w:p>
    <w:p>
      <w:pPr>
        <w:spacing w:after="0" w:line="13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Genmab records sales in the U.S. and Japan and receives tiered royalties between 22% and 26% on remaining global sales outside of these territories, subject to certain royalty reductions. The companies have a broad clinical development program for epcoritamab including five ongoing Phase 3 trials and additional trials in planning.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for EPKINLY and the </w:t>
      </w:r>
      <w:r>
        <w:rPr>
          <w:rFonts w:ascii="Arial" w:cs="Arial" w:eastAsia="Arial" w:hAnsi="Arial"/>
          <w:sz w:val="18"/>
          <w:szCs w:val="18"/>
          <w:color w:val="029C93"/>
        </w:rPr>
        <w:t>European</w:t>
      </w:r>
      <w:r>
        <w:rPr>
          <w:rFonts w:ascii="Arial" w:cs="Arial" w:eastAsia="Arial" w:hAnsi="Arial"/>
          <w:sz w:val="18"/>
          <w:szCs w:val="18"/>
          <w:color w:val="auto"/>
        </w:rPr>
        <w:t xml:space="preserve"> </w:t>
      </w:r>
      <w:r>
        <w:rPr>
          <w:rFonts w:ascii="Arial" w:cs="Arial" w:eastAsia="Arial" w:hAnsi="Arial"/>
          <w:sz w:val="18"/>
          <w:szCs w:val="18"/>
          <w:color w:val="029C93"/>
        </w:rPr>
        <w:t xml:space="preserve">Summary of Product Characteristics </w:t>
      </w:r>
      <w:r>
        <w:rPr>
          <w:rFonts w:ascii="Arial" w:cs="Arial" w:eastAsia="Arial" w:hAnsi="Arial"/>
          <w:sz w:val="18"/>
          <w:szCs w:val="18"/>
          <w:color w:val="000000"/>
        </w:rPr>
        <w:t>for TEPKINLY for the labeled indication and safety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Updates</w:t>
      </w:r>
    </w:p>
    <w:p>
      <w:pPr>
        <w:spacing w:after="0" w:line="17" w:lineRule="exact"/>
        <w:rPr>
          <w:sz w:val="20"/>
          <w:szCs w:val="20"/>
          <w:color w:val="auto"/>
        </w:rPr>
      </w:pPr>
    </w:p>
    <w:p>
      <w:pPr>
        <w:ind w:left="660" w:right="40" w:hanging="328"/>
        <w:spacing w:after="0" w:line="21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Submission of a sBLA to the FDA for SC epcoritamab in combination with R</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the treatment of adult patients with relapsed or refractory FL, following at least one prior systemic therapy. The submission is supported by positive topline results from the Phase 3 EPCORE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FL-1 (NCT05409066) trial.</w:t>
      </w:r>
    </w:p>
    <w:p>
      <w:pPr>
        <w:spacing w:after="0" w:line="2"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June: Results from an analysis of the Phase 1/2 EPCORE NHL-1 study of epcoritamab, including long-term follow-up in adult patients with relapsed/refractory DLBCL who remain in complete response (CR) at two years, were presented at the 2025 ASCO Annual Meeting.</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June: Fourteen abstracts evaluating epcoritamab both as a monotherapy and in combination across disease settings in patients with DLBCL and FL were presented at the 30th European Hematology Association (EHA) Congress. Two oral presentations featured data from the Phase 1/2 EPCORE NHL-2 (NCT04663347) trial evaluating epcoritamab plus rituximab and ifosfamide-carboplatin-etoposide (R-ICE) in patients with relapsed/refractory DLBCL eligible for autologous stem cell transplantation, and the Phase 1/2 EPCORE NHL-5 (NCT05283720) trial evaluating epcoritamab plus polatuzumab vedotin, rituximab, cyclophosphamide, doxorubicin, and prednisone (pola-R-CHP) in previously-untreated patients with DLBCL. Additionally, results from the Phase 1/2 EPCORE NHL-1 (NCT03625037) and NHL-3 (NCT04542824) trials, including three years of follow-up in patients with relapsed/refractory DLBCL and FL treated with epcoritamab monotherapy, were presented as posters.</w:t>
      </w:r>
    </w:p>
    <w:p>
      <w:pPr>
        <w:spacing w:after="0" w:line="3" w:lineRule="exact"/>
        <w:rPr>
          <w:rFonts w:ascii="Arial" w:cs="Arial" w:eastAsia="Arial" w:hAnsi="Arial"/>
          <w:sz w:val="18"/>
          <w:szCs w:val="18"/>
          <w:color w:val="auto"/>
        </w:rPr>
      </w:pPr>
    </w:p>
    <w:p>
      <w:pPr>
        <w:ind w:left="660" w:right="62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June: Twenty-eight data presentations, including one oral presentation, were featured at the 18th International Conference on Malignant Lymphoma (ICML).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Tivdak (tisotumab vedotin) – First and only ADC for recurrent or metastatic cervical cancer in the U.S., Europe and Japan</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ADC directed to TF, a protein highly prevalent in solid tumors, including cervical cancer, which is associated with poor prognosis</w:t>
      </w:r>
    </w:p>
    <w:p>
      <w:pPr>
        <w:spacing w:after="0" w:line="27"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Tisotumab vedotin, approved as Tivdak, is the first and only ADC approved in the U.S., Europe and Japan for the treatment of recurrent or metastatic cervical cancer after prior therapy and is the only ADC with demonstrated overall survival data in this setting compared to chemotherapy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Co-developed globally and co-promoted in the U.S. in collaboration with Pfizer, exclusively by Genmab outside of the U.S. and China</w:t>
      </w:r>
    </w:p>
    <w:p>
      <w:pPr>
        <w:spacing w:after="0" w:line="16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Tisotumab vedotin is an ADC composed of Genmab’s human monoclonal antibody directed to TF and Pfizer’s ADC technology that utilizes a protease-cleavable linker that covalently attaches the microtubule-disrupting agent monomethyl auristatin E to the antibody. Genmab used technology licensed from Medarex to generate the TF antibody forming part of tisotumab vedotin. Tisotumab vedotin, marketed as Tivdak, is the first and only ADC approved for the treatment of adult patients with recurrent or metastatic cervical cancer after prior therapy in the U.S., Europe and Japan. Tisotumab vedotin is being co-developed by Genmab and Pfizer. Under a joint commercialization agreement, Genmab is co-promoting Tivdak in the U.S. and is leading commercial operational activities in Japan, Europe and all other regions globally, excluding the United States and the China region. Pfizer is leading commercial operational activities in the U.S. and will lead commercial operational</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8/44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activities in China once approved in connection with the sublicense of its rights to develop and commercialize tisotumab vedotin in China to Zai Lab. Genmab will record sales for Europe, Japan and rest of world markets (excluding the United States and the China region), and will provide royalties in the low teens to Pfizer on net sales. The companies have joint decision-making power on the worldwide development and commercialization strategy for Tivdak.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w:t>
      </w:r>
      <w:r>
        <w:rPr>
          <w:rFonts w:ascii="Arial" w:cs="Arial" w:eastAsia="Arial" w:hAnsi="Arial"/>
          <w:sz w:val="18"/>
          <w:szCs w:val="18"/>
          <w:color w:val="auto"/>
        </w:rPr>
        <w:t xml:space="preserve"> </w:t>
      </w:r>
      <w:r>
        <w:rPr>
          <w:rFonts w:ascii="Arial" w:cs="Arial" w:eastAsia="Arial" w:hAnsi="Arial"/>
          <w:sz w:val="18"/>
          <w:szCs w:val="18"/>
          <w:color w:val="029C93"/>
        </w:rPr>
        <w:t xml:space="preserve">Characteristics </w:t>
      </w:r>
      <w:r>
        <w:rPr>
          <w:rFonts w:ascii="Arial" w:cs="Arial" w:eastAsia="Arial" w:hAnsi="Arial"/>
          <w:sz w:val="18"/>
          <w:szCs w:val="18"/>
          <w:color w:val="000000"/>
        </w:rPr>
        <w:t>for the labeled indication and safety information for Tivdak.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Rinatabart Sesutecan (Rina-S, GEN1184) – Potential best-in-class FRα-targeted topoisomerase I (TOPO1) ADC</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FRα-targeted TOPO1 ADC being evaluated for potential treatment of FRα-expressing cancers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3 clinical trial (NCT06619236) in PROC is recruiting</w:t>
      </w:r>
    </w:p>
    <w:p>
      <w:pPr>
        <w:spacing w:after="0" w:line="9" w:lineRule="exact"/>
        <w:rPr>
          <w:rFonts w:ascii="Arial" w:cs="Arial" w:eastAsia="Arial" w:hAnsi="Arial"/>
          <w:sz w:val="18"/>
          <w:szCs w:val="18"/>
          <w:color w:val="auto"/>
        </w:rPr>
      </w:pPr>
    </w:p>
    <w:p>
      <w:pPr>
        <w:ind w:left="660" w:right="30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trials announced including Phase 3 trials in second line plus endometrial cancer, second line platinum sensitive ovarian cancer (PSOC), and a planned Phase 2 trial in NSCLC</w:t>
      </w:r>
    </w:p>
    <w:p>
      <w:pPr>
        <w:spacing w:after="0" w:line="1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Rina-S is a novel FRα-targeted TOPO1 ADC being evaluated for the potential treatment of ovarian cancer and other FRα-expressing cancers. Dose expansion data suggests that Rina-S has robust single agent activity in various cancers across a broad range of FRα expression levels. In January 2024, Rina-S was granted Fast Track Designation by the FDA for the treatment of FRα-expressing high-grade serous or endometrioid PROC. A Phase 3 trial in second line plus platinum PROC is recruiting.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Update</w:t>
      </w:r>
    </w:p>
    <w:p>
      <w:pPr>
        <w:spacing w:after="0" w:line="27" w:lineRule="exact"/>
        <w:rPr>
          <w:sz w:val="20"/>
          <w:szCs w:val="20"/>
          <w:color w:val="auto"/>
        </w:rPr>
      </w:pPr>
    </w:p>
    <w:p>
      <w:pPr>
        <w:ind w:left="660" w:right="240" w:hanging="328"/>
        <w:spacing w:after="0"/>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June: The first disclosure of data from the Phase 1/2 RAINFOL™-01 trial (NCT05579366, B2 cohort) in patients with recurrent/advanced endometrial cancer was presented at the 2025 ASCO Annual Meeting. Results showed that with a median on-study follow-up of 7.7 months, treatment with Rina-S 100 mg/m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every 3 weeks (Q3W) resulted in a 50% confirmed objective response rate (ORR), including two CRs, in heavily pre-treated advanced endometrial cancer patients who experienced disease progression on or after treatment with platinum-based chemotherapy and an immune checkpoint inhibitor. The median duration of response (mDOR) was not reached.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Acasunlimab (GEN1046) – Bispecific next-generation immunotherapy</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Bispecific antibody targeting PD-L1 and 4-1BB, created using Genmab’s DuoBody technology platform</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Phase 3 trial (NCT06635824, ABBIL1TY™ NSCLC-06) in NSCLC is recruiting</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Acasunlimab (GEN1046, DuoBody-PD-L1x4-1BB) is a proprietary bispecific antibody, created using Genmab’s DuoBody technology platform. Originally developed in collaboration with BioNTech, in 2024 Genmab assumed sole responsibility for the continued development and potential commercialization of acasunlimab. The program will be subject to payment of certain milestones and a tiered single-digit royalty on net sales by Genmab to BioNTech. Acasunlimab is designed to induce an antitumor immune response by simultaneous and complementary PD-L1 blockade and conditional 4-1BB stimulation using an inert DuoBody format. A Phase 3 trial of acasunlimab in combination with pembrolizumab compared to docetaxel in checkpoint inhibitor (CPI)-experienced, PD-L1 positive metastatic NSCLC is recruiting.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Update</w:t>
      </w:r>
    </w:p>
    <w:p>
      <w:pPr>
        <w:spacing w:after="0" w:line="14" w:lineRule="exact"/>
        <w:rPr>
          <w:sz w:val="20"/>
          <w:szCs w:val="20"/>
          <w:color w:val="auto"/>
        </w:rPr>
      </w:pPr>
    </w:p>
    <w:p>
      <w:pPr>
        <w:ind w:left="660" w:right="64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June: Announcement of the Phase 2 ABBIL1TY MELANOMA-07 (NCT06984328) study of the effectiveness and safety of acasunlimab alone and with pembrolizumab to treat advanced melanoma of the skin that has returned after treatment with an approved checkpoint inhibitor therapy.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GEN1042 (BNT312) – Potential first-in-class bispecific agonistic antibody</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Bispecific antibody targeting CD40 and 4-1BB, created using Genmab’s DuoBody technology platform</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clinical trials in solid tumors ongoing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Co-developed in collaboration with BioNTech</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9/44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GEN1042 (DuoBody-CD40x4-1BB, BNT312) is a proprietary bispecific antibody, jointly owned by Genmab and BioNTech, created using Genmab’s DuoBody technology platform. It is being co-developed by Genmab and BioNTech under an agreement in which the companies share all costs and future potential profits for GEN1042 on a 50:50 basis. CD40 and 4-1BB were selected as targets to enhance activation of both dendritic cells and antigen-dependent T-cells. Three clinical trials of GEN1042 in solid tumors are ongoing.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GEN1059 (BNT314) – Bispecific antibody with potential in solid tumors</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Bispecific antibody targeting EpCAM and 4-1BB, created using Genmab’s DuoBody technology platform</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1 clinical trial (NCT06150183) in solid tumors is recruiting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Co-developed in collaboration with BioNTech</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GEN1059 (DuoBody-EpCAMx4-1BB, BNT314), jointly owned by Genmab and BioNTech and created using Genmab’s DuoBody technology platform, is a bispecific antibody aimed at boosting antitumor immune responses through EpCAM-dependent 4-1BB agonistic activity. GEN1059 is being co-developed by Genmab and BioNTech under an agreement in which the companies share all costs and future potential profits for GEN1059 on a 50:50 basis. A Phase 1 clinical trial of GEN1059 in solid tumors is recruiting.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Update</w:t>
      </w:r>
    </w:p>
    <w:p>
      <w:pPr>
        <w:spacing w:after="0" w:line="27" w:lineRule="exact"/>
        <w:rPr>
          <w:sz w:val="20"/>
          <w:szCs w:val="20"/>
          <w:color w:val="auto"/>
        </w:rPr>
      </w:pPr>
    </w:p>
    <w:p>
      <w:pPr>
        <w:ind w:left="660" w:right="160" w:hanging="328"/>
        <w:spacing w:after="0" w:line="25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April: Poster presentation at the 2025 Annual Meeting of the American Association for Cancer Research (AACR), “The combination of an EpCAMx4-1BB bispecific antibody with PD-1 blockade exhibits antitumor activity in a murine tumor model unresponsive to each individual antibody.”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GEN1055 (BNT315) – HexaBody-based antibody with potential in solid tumors</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Antibody targeting OX40, created using Genmab’s HexaBody technology platform</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Co-developed in collaboration with BioNTech</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GEN1055 (HexaBody-OX40, BNT315), jointly owned by Genmab and BioNTech and created using Genmab’s HexaBody technology platform, is an immune-modulating OX40 agonist antibody designed to promote immunity by enhancing T-cell responses through FcγR-independent OX40 clustering on T cells. GEN1055 is being co-developed by Genmab and BioNTech under an agreement in which the companies share all costs and future potential profits for GEN1055 on a 50:50 basis. Following a strategic evaluation of GEN1055 within the context of Genmab's and BioNTech's portfolios, a decision was made to discontinue the Phase 1/2 clinical trial (NCT06391775) of GEN1055 in malignant solid tumors.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GEN1160 – ADC with potential in both solid tumors and hematological malignancies</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CD70-targeted ADC being evaluated in advanced solid and liquid tumors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1/2 clinical trial (NCT05721222) in advanced solid and liquid tumors is recruiting</w:t>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GEN1160 is a CD70-targeted ADC created using Genmab’s ADC technology. CD70 is a protein expressed on both solid tumors and hematological malignancies. A Phase 1/2 clinical study of GEN1160 in advanced renal cell carcinoma, nasopharyngeal carcinoma and NHL is recruiting.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GEN1107 – ADC with potential in solid tumors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PTK7-targeted ADC being evaluated in advanced solid tumors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Phase 1/2 clinical trial (NCT06171789) in advanced solid tumors is recruiting</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GEN1107 is a PTK7-targeted ADC created using Genmab’s ADC technology. PTK7 is a clinically validated ADC target with broad solid tumor expression, particularly in tumor-initiating cells. A Phase 1/2 clinical study of GEN1107 in advanced solid tumors is recruiting.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10/44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GEN1057 – Bispecific antibody with potential in solid tumors</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Bispecific antibody targeting FAPα and DR4, created using Genmab’s DuoBody technology platform</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1/2 clinical trial (NCT06573294) in malignant solid tumors is recruiting</w:t>
      </w:r>
    </w:p>
    <w:p>
      <w:pPr>
        <w:spacing w:after="0" w:line="16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GEN1057 (DuoBody-FAPαxDR4) is a bispecific antibody-based investigational medicine created using Genmab’s DuoBody technology platform. GEN1057 is designed for the conditional DR4 transactivation-mediated tumor cell killing by crosslinking FAPα expression on cancer-associated fibroplasts with DR4 expressed on tumor cells. A Phase 1/2 clinical trial of GEN1057 in malignant solid tumors is recruiting.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Update</w:t>
      </w:r>
    </w:p>
    <w:p>
      <w:pPr>
        <w:spacing w:after="0" w:line="27" w:lineRule="exact"/>
        <w:rPr>
          <w:sz w:val="20"/>
          <w:szCs w:val="20"/>
          <w:color w:val="auto"/>
        </w:rPr>
      </w:pPr>
    </w:p>
    <w:p>
      <w:pPr>
        <w:ind w:left="660" w:right="200" w:hanging="328"/>
        <w:spacing w:after="0" w:line="26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April: Poster presentation at the 2025 Annual Meeting of the AACR, “DuoBody-FAPαxDR4 induces tumor cell death through FAPα-dependent, DR4 transactivation-mediated apoptosis.”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GEN1286 – ADC with potential in solid tumors</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ADC that targets EGFR and cMet being evaluated in advanced solid tumors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Phase 1/2 clinical trial (NCT06685068) in advanced solid tumors is recruiting</w:t>
      </w:r>
    </w:p>
    <w:p>
      <w:pPr>
        <w:spacing w:after="0" w:line="15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GEN1286 is an ADC targeting EGFR and cMet, two validated cancer targets created using Genmab’s ADC technology. A Phase 1/2 clinical study of GEN1286 in advanced solid tumors is recruiting.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Preclinical Programs</w:t>
      </w:r>
    </w:p>
    <w:p>
      <w:pPr>
        <w:spacing w:after="0" w:line="36" w:lineRule="exact"/>
        <w:rPr>
          <w:sz w:val="20"/>
          <w:szCs w:val="20"/>
          <w:color w:val="auto"/>
        </w:rPr>
      </w:pPr>
    </w:p>
    <w:p>
      <w:pPr>
        <w:ind w:left="660" w:right="4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Broad preclinical pipeline that includes both partnered products and in-house programs based on our proprietary technologies and/or antibodies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Multiple new Investigational New Drug (IND) applications expected to be submitted over the coming years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Genmab has entered multiple strategic collaborations to support the expansion of our innovative pipeline, including our acquisition of ProfoundBio in 2024</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preclinical pipeline includes immune effector function enhanced antibodies developed with our HexaBody technology platform, bispecific antibodies created with our DuoBody technology platform and ADCs created with our ADC technology platforms. We are also collaborating with our partners to generate additional new antibody-based product concepts. A number of the preclinical programs are conducted in cooperation with our collaboration partners.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Programs Incorporating Genmab’s Innovation and Technology</w:t>
      </w:r>
      <w:r>
        <w:rPr>
          <w:rFonts w:ascii="Arial" w:cs="Arial" w:eastAsia="Arial" w:hAnsi="Arial"/>
          <w:sz w:val="25"/>
          <w:szCs w:val="25"/>
          <w:color w:val="02756E"/>
          <w:vertAlign w:val="superscript"/>
        </w:rPr>
        <w:t>1</w:t>
      </w:r>
    </w:p>
    <w:p>
      <w:pPr>
        <w:ind w:right="460"/>
        <w:spacing w:after="0" w:line="255" w:lineRule="auto"/>
        <w:rPr>
          <w:sz w:val="20"/>
          <w:szCs w:val="20"/>
          <w:color w:val="auto"/>
        </w:rPr>
      </w:pPr>
      <w:r>
        <w:rPr>
          <w:rFonts w:ascii="Arial" w:cs="Arial" w:eastAsia="Arial" w:hAnsi="Arial"/>
          <w:sz w:val="18"/>
          <w:szCs w:val="18"/>
          <w:color w:val="auto"/>
        </w:rPr>
        <w:t>In addition to Genmab’s own pipeline of investigational medicines and preclinical pipeline candidates, our innovations and proprietary technology platforms are applied in the pipelines of global pharmaceutical and biotechnology companies. These companies are running clinical development programs with antibodies created by Genmab or created using Genmab’s proprietary DuoBody bispecific antibody technology platform.</w:t>
      </w:r>
    </w:p>
    <w:p>
      <w:pPr>
        <w:spacing w:after="0" w:line="14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information in this section includes those therapies that have been approved by regulatory agencies in certain territories. Under the agreements for these medicines Genmab is entitled to certain potential milestones and royalties.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11/44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Approved Medicines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0" w:type="dxa"/>
            <w:vAlign w:val="bottom"/>
            <w:tcBorders>
              <w:bottom w:val="single" w:sz="8" w:color="029C93"/>
            </w:tcBorders>
          </w:tcPr>
          <w:p>
            <w:pPr>
              <w:spacing w:after="0"/>
              <w:rPr>
                <w:sz w:val="22"/>
                <w:szCs w:val="22"/>
                <w:color w:val="auto"/>
              </w:rPr>
            </w:pPr>
          </w:p>
        </w:tc>
        <w:tc>
          <w:tcPr>
            <w:tcW w:w="3360" w:type="dxa"/>
            <w:vAlign w:val="bottom"/>
            <w:tcBorders>
              <w:bottom w:val="single" w:sz="8" w:color="029C93"/>
            </w:tcBorders>
          </w:tcPr>
          <w:p>
            <w:pPr>
              <w:ind w:left="20"/>
              <w:spacing w:after="0"/>
              <w:rPr>
                <w:sz w:val="20"/>
                <w:szCs w:val="20"/>
                <w:color w:val="auto"/>
              </w:rPr>
            </w:pPr>
            <w:r>
              <w:rPr>
                <w:rFonts w:ascii="Arial" w:cs="Arial" w:eastAsia="Arial" w:hAnsi="Arial"/>
                <w:sz w:val="17"/>
                <w:szCs w:val="17"/>
                <w:b w:val="1"/>
                <w:bCs w:val="1"/>
                <w:color w:val="auto"/>
              </w:rPr>
              <w:t>Approved Product</w:t>
            </w:r>
          </w:p>
        </w:tc>
        <w:tc>
          <w:tcPr>
            <w:tcW w:w="4060" w:type="dxa"/>
            <w:vAlign w:val="bottom"/>
            <w:tcBorders>
              <w:bottom w:val="single" w:sz="8" w:color="029C93"/>
            </w:tcBorders>
          </w:tcPr>
          <w:p>
            <w:pPr>
              <w:ind w:left="380"/>
              <w:spacing w:after="0"/>
              <w:rPr>
                <w:sz w:val="20"/>
                <w:szCs w:val="20"/>
                <w:color w:val="auto"/>
              </w:rPr>
            </w:pPr>
            <w:r>
              <w:rPr>
                <w:rFonts w:ascii="Arial" w:cs="Arial" w:eastAsia="Arial" w:hAnsi="Arial"/>
                <w:sz w:val="17"/>
                <w:szCs w:val="17"/>
                <w:b w:val="1"/>
                <w:bCs w:val="1"/>
                <w:color w:val="auto"/>
              </w:rPr>
              <w:t>Discovered and/or Developed &amp; Marketed By</w:t>
            </w:r>
          </w:p>
        </w:tc>
        <w:tc>
          <w:tcPr>
            <w:tcW w:w="3740" w:type="dxa"/>
            <w:vAlign w:val="bottom"/>
            <w:tcBorders>
              <w:bottom w:val="single" w:sz="8" w:color="029C93"/>
            </w:tcBorders>
          </w:tcPr>
          <w:p>
            <w:pPr>
              <w:ind w:left="40"/>
              <w:spacing w:after="0"/>
              <w:rPr>
                <w:sz w:val="20"/>
                <w:szCs w:val="20"/>
                <w:color w:val="auto"/>
              </w:rPr>
            </w:pPr>
            <w:r>
              <w:rPr>
                <w:rFonts w:ascii="Arial" w:cs="Arial" w:eastAsia="Arial" w:hAnsi="Arial"/>
                <w:sz w:val="17"/>
                <w:szCs w:val="17"/>
                <w:b w:val="1"/>
                <w:bCs w:val="1"/>
                <w:color w:val="auto"/>
              </w:rPr>
              <w:t>Disease Indication(s)</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DARZALEX</w:t>
            </w:r>
          </w:p>
        </w:tc>
        <w:tc>
          <w:tcPr>
            <w:tcW w:w="4060" w:type="dxa"/>
            <w:vAlign w:val="bottom"/>
          </w:tcPr>
          <w:p>
            <w:pPr>
              <w:ind w:left="380"/>
              <w:spacing w:after="0"/>
              <w:rPr>
                <w:sz w:val="20"/>
                <w:szCs w:val="20"/>
                <w:color w:val="auto"/>
              </w:rPr>
            </w:pPr>
            <w:r>
              <w:rPr>
                <w:rFonts w:ascii="Arial" w:cs="Arial" w:eastAsia="Arial" w:hAnsi="Arial"/>
                <w:sz w:val="17"/>
                <w:szCs w:val="17"/>
                <w:color w:val="auto"/>
              </w:rPr>
              <w:t>J&amp;J (Royalties to Genmab on global net sales)</w:t>
            </w:r>
          </w:p>
        </w:tc>
        <w:tc>
          <w:tcPr>
            <w:tcW w:w="3740" w:type="dxa"/>
            <w:vAlign w:val="bottom"/>
          </w:tcPr>
          <w:p>
            <w:pPr>
              <w:ind w:left="40"/>
              <w:spacing w:after="0"/>
              <w:rPr>
                <w:sz w:val="20"/>
                <w:szCs w:val="20"/>
                <w:color w:val="auto"/>
              </w:rPr>
            </w:pPr>
            <w:r>
              <w:rPr>
                <w:rFonts w:ascii="Arial" w:cs="Arial" w:eastAsia="Arial" w:hAnsi="Arial"/>
                <w:sz w:val="17"/>
                <w:szCs w:val="17"/>
                <w:color w:val="auto"/>
              </w:rPr>
              <w:t>Multiple myeloma</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7"/>
                <w:szCs w:val="17"/>
                <w:color w:val="auto"/>
              </w:rPr>
              <w:t xml:space="preserve">(daratumumab)/ </w:t>
            </w:r>
            <w:r>
              <w:rPr>
                <w:rFonts w:ascii="Arial" w:cs="Arial" w:eastAsia="Arial" w:hAnsi="Arial"/>
                <w:sz w:val="17"/>
                <w:szCs w:val="17"/>
                <w:b w:val="1"/>
                <w:bCs w:val="1"/>
                <w:color w:val="auto"/>
              </w:rPr>
              <w:t>DARZALEX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FASPRO</w:t>
            </w:r>
          </w:p>
        </w:tc>
        <w:tc>
          <w:tcPr>
            <w:tcW w:w="4060" w:type="dxa"/>
            <w:vAlign w:val="bottom"/>
          </w:tcPr>
          <w:p>
            <w:pPr>
              <w:spacing w:after="0"/>
              <w:rPr>
                <w:sz w:val="17"/>
                <w:szCs w:val="17"/>
                <w:color w:val="auto"/>
              </w:rPr>
            </w:pPr>
          </w:p>
        </w:tc>
        <w:tc>
          <w:tcPr>
            <w:tcW w:w="3740" w:type="dxa"/>
            <w:vAlign w:val="bottom"/>
            <w:vMerge w:val="restart"/>
          </w:tcPr>
          <w:p>
            <w:pPr>
              <w:ind w:left="40"/>
              <w:spacing w:after="0"/>
              <w:rPr>
                <w:sz w:val="20"/>
                <w:szCs w:val="20"/>
                <w:color w:val="auto"/>
              </w:rPr>
            </w:pPr>
            <w:r>
              <w:rPr>
                <w:rFonts w:ascii="Arial" w:cs="Arial" w:eastAsia="Arial" w:hAnsi="Arial"/>
                <w:sz w:val="17"/>
                <w:szCs w:val="17"/>
                <w:color w:val="auto"/>
              </w:rPr>
              <w:t>Light-chain (AL) Amyloidosis</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7"/>
                <w:szCs w:val="17"/>
                <w:color w:val="auto"/>
              </w:rPr>
              <w:t>(daratumumab and hyaluronidase-fihj)</w:t>
            </w:r>
          </w:p>
        </w:tc>
        <w:tc>
          <w:tcPr>
            <w:tcW w:w="4060" w:type="dxa"/>
            <w:vAlign w:val="bottom"/>
          </w:tcPr>
          <w:p>
            <w:pPr>
              <w:spacing w:after="0"/>
              <w:rPr>
                <w:sz w:val="19"/>
                <w:szCs w:val="19"/>
                <w:color w:val="auto"/>
              </w:rPr>
            </w:pPr>
          </w:p>
        </w:tc>
        <w:tc>
          <w:tcPr>
            <w:tcW w:w="3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 w:type="dxa"/>
            <w:vAlign w:val="bottom"/>
            <w:tcBorders>
              <w:bottom w:val="single" w:sz="8" w:color="029C93"/>
            </w:tcBorders>
          </w:tcPr>
          <w:p>
            <w:pPr>
              <w:spacing w:after="0"/>
              <w:rPr>
                <w:sz w:val="3"/>
                <w:szCs w:val="3"/>
                <w:color w:val="auto"/>
              </w:rPr>
            </w:pPr>
          </w:p>
        </w:tc>
        <w:tc>
          <w:tcPr>
            <w:tcW w:w="3360" w:type="dxa"/>
            <w:vAlign w:val="bottom"/>
            <w:tcBorders>
              <w:bottom w:val="single" w:sz="8" w:color="029C93"/>
            </w:tcBorders>
          </w:tcPr>
          <w:p>
            <w:pPr>
              <w:spacing w:after="0"/>
              <w:rPr>
                <w:sz w:val="3"/>
                <w:szCs w:val="3"/>
                <w:color w:val="auto"/>
              </w:rPr>
            </w:pPr>
          </w:p>
        </w:tc>
        <w:tc>
          <w:tcPr>
            <w:tcW w:w="4060" w:type="dxa"/>
            <w:vAlign w:val="bottom"/>
            <w:tcBorders>
              <w:bottom w:val="single" w:sz="8" w:color="029C93"/>
            </w:tcBorders>
          </w:tcPr>
          <w:p>
            <w:pPr>
              <w:spacing w:after="0"/>
              <w:rPr>
                <w:sz w:val="3"/>
                <w:szCs w:val="3"/>
                <w:color w:val="auto"/>
              </w:rPr>
            </w:pPr>
          </w:p>
        </w:tc>
        <w:tc>
          <w:tcPr>
            <w:tcW w:w="3740" w:type="dxa"/>
            <w:vAlign w:val="bottom"/>
            <w:tcBorders>
              <w:bottom w:val="single" w:sz="8" w:color="029C9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Kesimpta</w:t>
            </w:r>
          </w:p>
        </w:tc>
        <w:tc>
          <w:tcPr>
            <w:tcW w:w="4060" w:type="dxa"/>
            <w:vAlign w:val="bottom"/>
          </w:tcPr>
          <w:p>
            <w:pPr>
              <w:ind w:left="380"/>
              <w:spacing w:after="0"/>
              <w:rPr>
                <w:sz w:val="20"/>
                <w:szCs w:val="20"/>
                <w:color w:val="auto"/>
              </w:rPr>
            </w:pPr>
            <w:r>
              <w:rPr>
                <w:rFonts w:ascii="Arial" w:cs="Arial" w:eastAsia="Arial" w:hAnsi="Arial"/>
                <w:sz w:val="17"/>
                <w:szCs w:val="17"/>
                <w:color w:val="auto"/>
              </w:rPr>
              <w:t>Novartis (Royalties to Genmab on global net</w:t>
            </w:r>
          </w:p>
        </w:tc>
        <w:tc>
          <w:tcPr>
            <w:tcW w:w="3740" w:type="dxa"/>
            <w:vAlign w:val="bottom"/>
          </w:tcPr>
          <w:p>
            <w:pPr>
              <w:ind w:left="40"/>
              <w:spacing w:after="0"/>
              <w:rPr>
                <w:sz w:val="20"/>
                <w:szCs w:val="20"/>
                <w:color w:val="auto"/>
              </w:rPr>
            </w:pPr>
            <w:r>
              <w:rPr>
                <w:rFonts w:ascii="Arial" w:cs="Arial" w:eastAsia="Arial" w:hAnsi="Arial"/>
                <w:sz w:val="17"/>
                <w:szCs w:val="17"/>
                <w:color w:val="auto"/>
              </w:rPr>
              <w:t>Relapsing multiple sclerosis (RMS)</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7"/>
                <w:szCs w:val="17"/>
                <w:color w:val="auto"/>
              </w:rPr>
              <w:t>(ofatumumab)</w:t>
            </w:r>
          </w:p>
        </w:tc>
        <w:tc>
          <w:tcPr>
            <w:tcW w:w="4060" w:type="dxa"/>
            <w:vAlign w:val="bottom"/>
          </w:tcPr>
          <w:p>
            <w:pPr>
              <w:ind w:left="380"/>
              <w:spacing w:after="0"/>
              <w:rPr>
                <w:sz w:val="20"/>
                <w:szCs w:val="20"/>
                <w:color w:val="auto"/>
              </w:rPr>
            </w:pPr>
            <w:r>
              <w:rPr>
                <w:rFonts w:ascii="Arial" w:cs="Arial" w:eastAsia="Arial" w:hAnsi="Arial"/>
                <w:sz w:val="17"/>
                <w:szCs w:val="17"/>
                <w:color w:val="auto"/>
              </w:rPr>
              <w:t>sales)</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029C93"/>
            </w:tcBorders>
          </w:tcPr>
          <w:p>
            <w:pPr>
              <w:spacing w:after="0"/>
              <w:rPr>
                <w:sz w:val="2"/>
                <w:szCs w:val="2"/>
                <w:color w:val="auto"/>
              </w:rPr>
            </w:pPr>
          </w:p>
        </w:tc>
        <w:tc>
          <w:tcPr>
            <w:tcW w:w="3360" w:type="dxa"/>
            <w:vAlign w:val="bottom"/>
            <w:tcBorders>
              <w:bottom w:val="single" w:sz="8" w:color="029C93"/>
            </w:tcBorders>
          </w:tcPr>
          <w:p>
            <w:pPr>
              <w:spacing w:after="0"/>
              <w:rPr>
                <w:sz w:val="2"/>
                <w:szCs w:val="2"/>
                <w:color w:val="auto"/>
              </w:rPr>
            </w:pPr>
          </w:p>
        </w:tc>
        <w:tc>
          <w:tcPr>
            <w:tcW w:w="4060" w:type="dxa"/>
            <w:vAlign w:val="bottom"/>
            <w:tcBorders>
              <w:bottom w:val="single" w:sz="8" w:color="029C93"/>
            </w:tcBorders>
          </w:tcPr>
          <w:p>
            <w:pPr>
              <w:spacing w:after="0"/>
              <w:rPr>
                <w:sz w:val="2"/>
                <w:szCs w:val="2"/>
                <w:color w:val="auto"/>
              </w:rPr>
            </w:pPr>
          </w:p>
        </w:tc>
        <w:tc>
          <w:tcPr>
            <w:tcW w:w="374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TEPEZZA</w:t>
            </w:r>
          </w:p>
        </w:tc>
        <w:tc>
          <w:tcPr>
            <w:tcW w:w="4060" w:type="dxa"/>
            <w:vAlign w:val="bottom"/>
          </w:tcPr>
          <w:p>
            <w:pPr>
              <w:ind w:left="380"/>
              <w:spacing w:after="0"/>
              <w:rPr>
                <w:sz w:val="20"/>
                <w:szCs w:val="20"/>
                <w:color w:val="auto"/>
              </w:rPr>
            </w:pPr>
            <w:r>
              <w:rPr>
                <w:rFonts w:ascii="Arial" w:cs="Arial" w:eastAsia="Arial" w:hAnsi="Arial"/>
                <w:sz w:val="17"/>
                <w:szCs w:val="17"/>
                <w:color w:val="auto"/>
              </w:rPr>
              <w:t>Amgen Inc. (Amgen) (under sublicense from</w:t>
            </w:r>
          </w:p>
        </w:tc>
        <w:tc>
          <w:tcPr>
            <w:tcW w:w="3740" w:type="dxa"/>
            <w:vAlign w:val="bottom"/>
          </w:tcPr>
          <w:p>
            <w:pPr>
              <w:ind w:left="40"/>
              <w:spacing w:after="0"/>
              <w:rPr>
                <w:sz w:val="20"/>
                <w:szCs w:val="20"/>
                <w:color w:val="auto"/>
              </w:rPr>
            </w:pPr>
            <w:r>
              <w:rPr>
                <w:rFonts w:ascii="Arial" w:cs="Arial" w:eastAsia="Arial" w:hAnsi="Arial"/>
                <w:sz w:val="17"/>
                <w:szCs w:val="17"/>
                <w:color w:val="auto"/>
              </w:rPr>
              <w:t>Thyroid Eye Disease (TED)</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7"/>
                <w:szCs w:val="17"/>
                <w:color w:val="auto"/>
              </w:rPr>
              <w:t>(teprotumumab-trbw)</w:t>
            </w:r>
          </w:p>
        </w:tc>
        <w:tc>
          <w:tcPr>
            <w:tcW w:w="4060" w:type="dxa"/>
            <w:vAlign w:val="bottom"/>
          </w:tcPr>
          <w:p>
            <w:pPr>
              <w:ind w:left="380"/>
              <w:spacing w:after="0"/>
              <w:rPr>
                <w:sz w:val="20"/>
                <w:szCs w:val="20"/>
                <w:color w:val="auto"/>
              </w:rPr>
            </w:pPr>
            <w:r>
              <w:rPr>
                <w:rFonts w:ascii="Arial" w:cs="Arial" w:eastAsia="Arial" w:hAnsi="Arial"/>
                <w:sz w:val="17"/>
                <w:szCs w:val="17"/>
                <w:color w:val="auto"/>
              </w:rPr>
              <w:t>Roche, royalties to Genmab on global net sales)</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029C93"/>
            </w:tcBorders>
          </w:tcPr>
          <w:p>
            <w:pPr>
              <w:spacing w:after="0"/>
              <w:rPr>
                <w:sz w:val="2"/>
                <w:szCs w:val="2"/>
                <w:color w:val="auto"/>
              </w:rPr>
            </w:pPr>
          </w:p>
        </w:tc>
        <w:tc>
          <w:tcPr>
            <w:tcW w:w="3360" w:type="dxa"/>
            <w:vAlign w:val="bottom"/>
            <w:tcBorders>
              <w:bottom w:val="single" w:sz="8" w:color="029C93"/>
            </w:tcBorders>
          </w:tcPr>
          <w:p>
            <w:pPr>
              <w:spacing w:after="0"/>
              <w:rPr>
                <w:sz w:val="2"/>
                <w:szCs w:val="2"/>
                <w:color w:val="auto"/>
              </w:rPr>
            </w:pPr>
          </w:p>
        </w:tc>
        <w:tc>
          <w:tcPr>
            <w:tcW w:w="4060" w:type="dxa"/>
            <w:vAlign w:val="bottom"/>
            <w:tcBorders>
              <w:bottom w:val="single" w:sz="8" w:color="029C93"/>
            </w:tcBorders>
          </w:tcPr>
          <w:p>
            <w:pPr>
              <w:spacing w:after="0"/>
              <w:rPr>
                <w:sz w:val="2"/>
                <w:szCs w:val="2"/>
                <w:color w:val="auto"/>
              </w:rPr>
            </w:pPr>
          </w:p>
        </w:tc>
        <w:tc>
          <w:tcPr>
            <w:tcW w:w="374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RYBREVANT</w:t>
            </w:r>
          </w:p>
        </w:tc>
        <w:tc>
          <w:tcPr>
            <w:tcW w:w="4060" w:type="dxa"/>
            <w:vAlign w:val="bottom"/>
          </w:tcPr>
          <w:p>
            <w:pPr>
              <w:ind w:left="380"/>
              <w:spacing w:after="0"/>
              <w:rPr>
                <w:sz w:val="20"/>
                <w:szCs w:val="20"/>
                <w:color w:val="auto"/>
              </w:rPr>
            </w:pPr>
            <w:r>
              <w:rPr>
                <w:rFonts w:ascii="Arial" w:cs="Arial" w:eastAsia="Arial" w:hAnsi="Arial"/>
                <w:sz w:val="17"/>
                <w:szCs w:val="17"/>
                <w:color w:val="auto"/>
              </w:rPr>
              <w:t>J&amp;J (Royalties to Genmab on global net sales)</w:t>
            </w:r>
          </w:p>
        </w:tc>
        <w:tc>
          <w:tcPr>
            <w:tcW w:w="3740" w:type="dxa"/>
            <w:vAlign w:val="bottom"/>
          </w:tcPr>
          <w:p>
            <w:pPr>
              <w:ind w:left="40"/>
              <w:spacing w:after="0"/>
              <w:rPr>
                <w:sz w:val="20"/>
                <w:szCs w:val="20"/>
                <w:color w:val="auto"/>
              </w:rPr>
            </w:pPr>
            <w:r>
              <w:rPr>
                <w:rFonts w:ascii="Arial" w:cs="Arial" w:eastAsia="Arial" w:hAnsi="Arial"/>
                <w:sz w:val="17"/>
                <w:szCs w:val="17"/>
                <w:color w:val="auto"/>
              </w:rPr>
              <w:t>Advanced NSCLC with certain epidermal</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3360" w:type="dxa"/>
            <w:vAlign w:val="bottom"/>
          </w:tcPr>
          <w:p>
            <w:pPr>
              <w:ind w:left="20"/>
              <w:spacing w:after="0"/>
              <w:rPr>
                <w:sz w:val="20"/>
                <w:szCs w:val="20"/>
                <w:color w:val="auto"/>
              </w:rPr>
            </w:pPr>
            <w:r>
              <w:rPr>
                <w:rFonts w:ascii="Arial" w:cs="Arial" w:eastAsia="Arial" w:hAnsi="Arial"/>
                <w:sz w:val="17"/>
                <w:szCs w:val="17"/>
                <w:color w:val="auto"/>
              </w:rPr>
              <w:t>(amivantamab/amivantamab-vmjw)</w:t>
            </w:r>
          </w:p>
        </w:tc>
        <w:tc>
          <w:tcPr>
            <w:tcW w:w="4060" w:type="dxa"/>
            <w:vAlign w:val="bottom"/>
          </w:tcPr>
          <w:p>
            <w:pPr>
              <w:spacing w:after="0"/>
              <w:rPr>
                <w:sz w:val="22"/>
                <w:szCs w:val="22"/>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growth factor receptor (</w:t>
            </w:r>
            <w:r>
              <w:rPr>
                <w:rFonts w:ascii="Arial" w:cs="Arial" w:eastAsia="Arial" w:hAnsi="Arial"/>
                <w:sz w:val="17"/>
                <w:szCs w:val="17"/>
                <w:color w:val="auto"/>
              </w:rPr>
              <w:t>EGFR) mutations</w:t>
            </w:r>
          </w:p>
        </w:tc>
        <w:tc>
          <w:tcPr>
            <w:tcW w:w="0" w:type="dxa"/>
            <w:vAlign w:val="bottom"/>
          </w:tcPr>
          <w:p>
            <w:pPr>
              <w:spacing w:after="0"/>
              <w:rPr>
                <w:sz w:val="1"/>
                <w:szCs w:val="1"/>
                <w:color w:val="auto"/>
              </w:rPr>
            </w:pPr>
          </w:p>
        </w:tc>
      </w:tr>
      <w:tr>
        <w:trPr>
          <w:trHeight w:val="23"/>
        </w:trPr>
        <w:tc>
          <w:tcPr>
            <w:tcW w:w="80" w:type="dxa"/>
            <w:vAlign w:val="bottom"/>
            <w:tcBorders>
              <w:bottom w:val="single" w:sz="8" w:color="029C93"/>
            </w:tcBorders>
          </w:tcPr>
          <w:p>
            <w:pPr>
              <w:spacing w:after="0"/>
              <w:rPr>
                <w:sz w:val="2"/>
                <w:szCs w:val="2"/>
                <w:color w:val="auto"/>
              </w:rPr>
            </w:pPr>
          </w:p>
        </w:tc>
        <w:tc>
          <w:tcPr>
            <w:tcW w:w="3360" w:type="dxa"/>
            <w:vAlign w:val="bottom"/>
            <w:tcBorders>
              <w:bottom w:val="single" w:sz="8" w:color="029C93"/>
            </w:tcBorders>
          </w:tcPr>
          <w:p>
            <w:pPr>
              <w:spacing w:after="0"/>
              <w:rPr>
                <w:sz w:val="2"/>
                <w:szCs w:val="2"/>
                <w:color w:val="auto"/>
              </w:rPr>
            </w:pPr>
          </w:p>
        </w:tc>
        <w:tc>
          <w:tcPr>
            <w:tcW w:w="4060" w:type="dxa"/>
            <w:vAlign w:val="bottom"/>
            <w:tcBorders>
              <w:bottom w:val="single" w:sz="8" w:color="029C93"/>
            </w:tcBorders>
          </w:tcPr>
          <w:p>
            <w:pPr>
              <w:spacing w:after="0"/>
              <w:rPr>
                <w:sz w:val="2"/>
                <w:szCs w:val="2"/>
                <w:color w:val="auto"/>
              </w:rPr>
            </w:pPr>
          </w:p>
        </w:tc>
        <w:tc>
          <w:tcPr>
            <w:tcW w:w="374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TECVAYLI</w:t>
            </w:r>
          </w:p>
        </w:tc>
        <w:tc>
          <w:tcPr>
            <w:tcW w:w="4060" w:type="dxa"/>
            <w:vAlign w:val="bottom"/>
          </w:tcPr>
          <w:p>
            <w:pPr>
              <w:ind w:left="380"/>
              <w:spacing w:after="0"/>
              <w:rPr>
                <w:sz w:val="20"/>
                <w:szCs w:val="20"/>
                <w:color w:val="auto"/>
              </w:rPr>
            </w:pPr>
            <w:r>
              <w:rPr>
                <w:rFonts w:ascii="Arial" w:cs="Arial" w:eastAsia="Arial" w:hAnsi="Arial"/>
                <w:sz w:val="17"/>
                <w:szCs w:val="17"/>
                <w:color w:val="auto"/>
              </w:rPr>
              <w:t>J&amp;J (Royalties to Genmab on global net sales)</w:t>
            </w:r>
          </w:p>
        </w:tc>
        <w:tc>
          <w:tcPr>
            <w:tcW w:w="3740" w:type="dxa"/>
            <w:vAlign w:val="bottom"/>
          </w:tcPr>
          <w:p>
            <w:pPr>
              <w:ind w:left="40"/>
              <w:spacing w:after="0"/>
              <w:rPr>
                <w:sz w:val="20"/>
                <w:szCs w:val="20"/>
                <w:color w:val="auto"/>
              </w:rPr>
            </w:pPr>
            <w:r>
              <w:rPr>
                <w:rFonts w:ascii="Arial" w:cs="Arial" w:eastAsia="Arial" w:hAnsi="Arial"/>
                <w:sz w:val="17"/>
                <w:szCs w:val="17"/>
                <w:color w:val="auto"/>
              </w:rPr>
              <w:t>Relapsed and refractory multiple myeloma</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7"/>
                <w:szCs w:val="17"/>
                <w:color w:val="auto"/>
              </w:rPr>
              <w:t>(teclistamab/teclistamab-cqyv)</w:t>
            </w:r>
          </w:p>
        </w:tc>
        <w:tc>
          <w:tcPr>
            <w:tcW w:w="40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360" w:type="dxa"/>
            <w:vAlign w:val="bottom"/>
            <w:tcBorders>
              <w:bottom w:val="single" w:sz="8" w:color="029C93"/>
            </w:tcBorders>
          </w:tcPr>
          <w:p>
            <w:pPr>
              <w:spacing w:after="0"/>
              <w:rPr>
                <w:sz w:val="2"/>
                <w:szCs w:val="2"/>
                <w:color w:val="auto"/>
              </w:rPr>
            </w:pPr>
          </w:p>
        </w:tc>
        <w:tc>
          <w:tcPr>
            <w:tcW w:w="4060" w:type="dxa"/>
            <w:vAlign w:val="bottom"/>
            <w:tcBorders>
              <w:bottom w:val="single" w:sz="8" w:color="029C93"/>
            </w:tcBorders>
          </w:tcPr>
          <w:p>
            <w:pPr>
              <w:spacing w:after="0"/>
              <w:rPr>
                <w:sz w:val="2"/>
                <w:szCs w:val="2"/>
                <w:color w:val="auto"/>
              </w:rPr>
            </w:pPr>
          </w:p>
        </w:tc>
        <w:tc>
          <w:tcPr>
            <w:tcW w:w="374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TALVEY</w:t>
            </w:r>
          </w:p>
        </w:tc>
        <w:tc>
          <w:tcPr>
            <w:tcW w:w="4060" w:type="dxa"/>
            <w:vAlign w:val="bottom"/>
          </w:tcPr>
          <w:p>
            <w:pPr>
              <w:ind w:left="380"/>
              <w:spacing w:after="0"/>
              <w:rPr>
                <w:sz w:val="20"/>
                <w:szCs w:val="20"/>
                <w:color w:val="auto"/>
              </w:rPr>
            </w:pPr>
            <w:r>
              <w:rPr>
                <w:rFonts w:ascii="Arial" w:cs="Arial" w:eastAsia="Arial" w:hAnsi="Arial"/>
                <w:sz w:val="17"/>
                <w:szCs w:val="17"/>
                <w:color w:val="auto"/>
              </w:rPr>
              <w:t>J&amp;J (Royalties to Genmab on global net sales)</w:t>
            </w:r>
          </w:p>
        </w:tc>
        <w:tc>
          <w:tcPr>
            <w:tcW w:w="3740" w:type="dxa"/>
            <w:vAlign w:val="bottom"/>
          </w:tcPr>
          <w:p>
            <w:pPr>
              <w:ind w:left="40"/>
              <w:spacing w:after="0"/>
              <w:rPr>
                <w:sz w:val="20"/>
                <w:szCs w:val="20"/>
                <w:color w:val="auto"/>
              </w:rPr>
            </w:pPr>
            <w:r>
              <w:rPr>
                <w:rFonts w:ascii="Arial" w:cs="Arial" w:eastAsia="Arial" w:hAnsi="Arial"/>
                <w:sz w:val="17"/>
                <w:szCs w:val="17"/>
                <w:color w:val="auto"/>
              </w:rPr>
              <w:t>Relapsed and refractory multiple myeloma</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7"/>
                <w:szCs w:val="17"/>
                <w:color w:val="auto"/>
              </w:rPr>
              <w:t>(talquetamab/talquetamab-tgvs)</w:t>
            </w:r>
          </w:p>
        </w:tc>
        <w:tc>
          <w:tcPr>
            <w:tcW w:w="40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029C93"/>
            </w:tcBorders>
          </w:tcPr>
          <w:p>
            <w:pPr>
              <w:spacing w:after="0"/>
              <w:rPr>
                <w:sz w:val="2"/>
                <w:szCs w:val="2"/>
                <w:color w:val="auto"/>
              </w:rPr>
            </w:pPr>
          </w:p>
        </w:tc>
        <w:tc>
          <w:tcPr>
            <w:tcW w:w="3360" w:type="dxa"/>
            <w:vAlign w:val="bottom"/>
            <w:tcBorders>
              <w:bottom w:val="single" w:sz="8" w:color="029C93"/>
            </w:tcBorders>
          </w:tcPr>
          <w:p>
            <w:pPr>
              <w:spacing w:after="0"/>
              <w:rPr>
                <w:sz w:val="2"/>
                <w:szCs w:val="2"/>
                <w:color w:val="auto"/>
              </w:rPr>
            </w:pPr>
          </w:p>
        </w:tc>
        <w:tc>
          <w:tcPr>
            <w:tcW w:w="4060" w:type="dxa"/>
            <w:vAlign w:val="bottom"/>
            <w:tcBorders>
              <w:bottom w:val="single" w:sz="8" w:color="029C93"/>
            </w:tcBorders>
          </w:tcPr>
          <w:p>
            <w:pPr>
              <w:spacing w:after="0"/>
              <w:rPr>
                <w:sz w:val="2"/>
                <w:szCs w:val="2"/>
                <w:color w:val="auto"/>
              </w:rPr>
            </w:pPr>
          </w:p>
        </w:tc>
        <w:tc>
          <w:tcPr>
            <w:tcW w:w="374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Approved and investigational medicines created by Genmab or created by collaboration partners leveraging Genmab’s DuoBody technology platform, under development, and</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14"/>
          <w:szCs w:val="14"/>
          <w:color w:val="auto"/>
        </w:rPr>
        <w:t>where relevant, commercialized by a third party.</w:t>
      </w:r>
    </w:p>
    <w:p>
      <w:pPr>
        <w:ind w:left="80" w:hanging="72"/>
        <w:spacing w:after="0" w:line="209" w:lineRule="auto"/>
        <w:tabs>
          <w:tab w:leader="none" w:pos="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See local prescribing information for precise indication and safety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Including Further Development for Approved Medicines, ≥ Phase 2 Development</w:t>
      </w:r>
    </w:p>
    <w:p>
      <w:pPr>
        <w:spacing w:after="0" w:line="69" w:lineRule="exact"/>
        <w:rPr>
          <w:sz w:val="20"/>
          <w:szCs w:val="20"/>
          <w:color w:val="auto"/>
        </w:rPr>
      </w:pPr>
    </w:p>
    <w:tbl>
      <w:tblPr>
        <w:tblLayout w:type="fixed"/>
        <w:tblInd w:w="1040" w:type="dxa"/>
        <w:tblCellMar>
          <w:top w:w="0" w:type="dxa"/>
          <w:left w:w="0" w:type="dxa"/>
          <w:bottom w:w="0" w:type="dxa"/>
          <w:right w:w="0" w:type="dxa"/>
        </w:tblCellMar>
      </w:tblPr>
      <w:tr>
        <w:trPr>
          <w:trHeight w:val="108"/>
        </w:trPr>
        <w:tc>
          <w:tcPr>
            <w:tcW w:w="134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Product</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8"/>
              </w:rPr>
              <w:t>Technology</w:t>
            </w:r>
          </w:p>
        </w:tc>
        <w:tc>
          <w:tcPr>
            <w:tcW w:w="1380" w:type="dxa"/>
            <w:vAlign w:val="bottom"/>
            <w:gridSpan w:val="2"/>
          </w:tcPr>
          <w:p>
            <w:pPr>
              <w:ind w:left="20"/>
              <w:spacing w:after="0"/>
              <w:rPr>
                <w:sz w:val="20"/>
                <w:szCs w:val="20"/>
                <w:color w:val="auto"/>
              </w:rPr>
            </w:pPr>
            <w:r>
              <w:rPr>
                <w:rFonts w:ascii="Arial" w:cs="Arial" w:eastAsia="Arial" w:hAnsi="Arial"/>
                <w:sz w:val="9"/>
                <w:szCs w:val="9"/>
                <w:b w:val="1"/>
                <w:bCs w:val="1"/>
                <w:color w:val="auto"/>
              </w:rPr>
              <w:t>Discovered and/or</w:t>
            </w:r>
          </w:p>
        </w:tc>
        <w:tc>
          <w:tcPr>
            <w:tcW w:w="184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Disease Indications</w:t>
            </w:r>
          </w:p>
        </w:tc>
        <w:tc>
          <w:tcPr>
            <w:tcW w:w="178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Most Advanced Development Phase</w:t>
            </w: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34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Developed By</w:t>
            </w:r>
          </w:p>
        </w:tc>
        <w:tc>
          <w:tcPr>
            <w:tcW w:w="1840" w:type="dxa"/>
            <w:vAlign w:val="bottom"/>
            <w:gridSpan w:val="2"/>
            <w:vMerge w:val="continue"/>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9"/>
                <w:szCs w:val="9"/>
                <w:color w:val="auto"/>
              </w:rPr>
              <w:t>Preclinical</w:t>
            </w:r>
          </w:p>
        </w:tc>
        <w:tc>
          <w:tcPr>
            <w:tcW w:w="880" w:type="dxa"/>
            <w:vAlign w:val="bottom"/>
          </w:tcPr>
          <w:p>
            <w:pPr>
              <w:jc w:val="right"/>
              <w:ind w:right="375"/>
              <w:spacing w:after="0"/>
              <w:rPr>
                <w:sz w:val="20"/>
                <w:szCs w:val="20"/>
                <w:color w:val="auto"/>
              </w:rPr>
            </w:pPr>
            <w:r>
              <w:rPr>
                <w:rFonts w:ascii="Arial" w:cs="Arial" w:eastAsia="Arial" w:hAnsi="Arial"/>
                <w:sz w:val="9"/>
                <w:szCs w:val="9"/>
                <w:color w:val="auto"/>
              </w:rPr>
              <w:t>1</w:t>
            </w:r>
          </w:p>
        </w:tc>
        <w:tc>
          <w:tcPr>
            <w:tcW w:w="900" w:type="dxa"/>
            <w:vAlign w:val="bottom"/>
          </w:tcPr>
          <w:p>
            <w:pPr>
              <w:jc w:val="right"/>
              <w:ind w:right="375"/>
              <w:spacing w:after="0"/>
              <w:rPr>
                <w:sz w:val="20"/>
                <w:szCs w:val="20"/>
                <w:color w:val="auto"/>
              </w:rPr>
            </w:pPr>
            <w:r>
              <w:rPr>
                <w:rFonts w:ascii="Arial" w:cs="Arial" w:eastAsia="Arial" w:hAnsi="Arial"/>
                <w:sz w:val="9"/>
                <w:szCs w:val="9"/>
                <w:color w:val="auto"/>
              </w:rPr>
              <w:t>2</w:t>
            </w:r>
          </w:p>
        </w:tc>
        <w:tc>
          <w:tcPr>
            <w:tcW w:w="920" w:type="dxa"/>
            <w:vAlign w:val="bottom"/>
            <w:gridSpan w:val="2"/>
          </w:tcPr>
          <w:p>
            <w:pPr>
              <w:jc w:val="right"/>
              <w:ind w:right="4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6"/>
        </w:trPr>
        <w:tc>
          <w:tcPr>
            <w:tcW w:w="1180" w:type="dxa"/>
            <w:vAlign w:val="bottom"/>
            <w:tcBorders>
              <w:bottom w:val="single" w:sz="8" w:color="029C93"/>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029C93"/>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029C93"/>
            </w:tcBorders>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Borders>
              <w:bottom w:val="single" w:sz="8" w:color="029C93"/>
            </w:tcBorders>
          </w:tcPr>
          <w:p>
            <w:pPr>
              <w:spacing w:after="0"/>
              <w:rPr>
                <w:sz w:val="2"/>
                <w:szCs w:val="2"/>
                <w:color w:val="auto"/>
              </w:rPr>
            </w:pPr>
          </w:p>
        </w:tc>
        <w:tc>
          <w:tcPr>
            <w:tcW w:w="20" w:type="dxa"/>
            <w:vAlign w:val="bottom"/>
            <w:tcBorders>
              <w:bottom w:val="single" w:sz="8" w:color="029C93"/>
            </w:tcBorders>
          </w:tcPr>
          <w:p>
            <w:pPr>
              <w:spacing w:after="0"/>
              <w:rPr>
                <w:sz w:val="2"/>
                <w:szCs w:val="2"/>
                <w:color w:val="auto"/>
              </w:rPr>
            </w:pPr>
          </w:p>
        </w:tc>
        <w:tc>
          <w:tcPr>
            <w:tcW w:w="900" w:type="dxa"/>
            <w:vAlign w:val="bottom"/>
            <w:tcBorders>
              <w:bottom w:val="single" w:sz="8" w:color="029C93"/>
            </w:tcBorders>
          </w:tcPr>
          <w:p>
            <w:pPr>
              <w:spacing w:after="0"/>
              <w:rPr>
                <w:sz w:val="2"/>
                <w:szCs w:val="2"/>
                <w:color w:val="auto"/>
              </w:rPr>
            </w:pPr>
          </w:p>
        </w:tc>
        <w:tc>
          <w:tcPr>
            <w:tcW w:w="880" w:type="dxa"/>
            <w:vAlign w:val="bottom"/>
            <w:tcBorders>
              <w:bottom w:val="single" w:sz="8" w:color="029C93"/>
            </w:tcBorders>
          </w:tcPr>
          <w:p>
            <w:pPr>
              <w:spacing w:after="0"/>
              <w:rPr>
                <w:sz w:val="2"/>
                <w:szCs w:val="2"/>
                <w:color w:val="auto"/>
              </w:rPr>
            </w:pPr>
          </w:p>
        </w:tc>
        <w:tc>
          <w:tcPr>
            <w:tcW w:w="900" w:type="dxa"/>
            <w:vAlign w:val="bottom"/>
            <w:tcBorders>
              <w:bottom w:val="single" w:sz="8" w:color="029C93"/>
            </w:tcBorders>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460" w:type="dxa"/>
            <w:vAlign w:val="bottom"/>
            <w:tcBorders>
              <w:bottom w:val="single" w:sz="8" w:color="029C93"/>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340" w:type="dxa"/>
            <w:vAlign w:val="bottom"/>
            <w:gridSpan w:val="2"/>
          </w:tcPr>
          <w:p>
            <w:pPr>
              <w:ind w:left="60"/>
              <w:spacing w:after="0"/>
              <w:rPr>
                <w:sz w:val="20"/>
                <w:szCs w:val="20"/>
                <w:color w:val="auto"/>
              </w:rPr>
            </w:pPr>
            <w:r>
              <w:rPr>
                <w:rFonts w:ascii="Arial" w:cs="Arial" w:eastAsia="Arial" w:hAnsi="Arial"/>
                <w:sz w:val="9"/>
                <w:szCs w:val="9"/>
                <w:b w:val="1"/>
                <w:bCs w:val="1"/>
                <w:color w:val="auto"/>
              </w:rPr>
              <w:t>Daratumumab</w:t>
            </w:r>
          </w:p>
        </w:tc>
        <w:tc>
          <w:tcPr>
            <w:tcW w:w="1020" w:type="dxa"/>
            <w:vAlign w:val="bottom"/>
            <w:gridSpan w:val="2"/>
          </w:tcPr>
          <w:p>
            <w:pPr>
              <w:jc w:val="center"/>
              <w:ind w:right="140"/>
              <w:spacing w:after="0"/>
              <w:rPr>
                <w:sz w:val="20"/>
                <w:szCs w:val="20"/>
                <w:color w:val="auto"/>
              </w:rPr>
            </w:pPr>
            <w:r>
              <w:rPr>
                <w:rFonts w:ascii="Arial" w:cs="Arial" w:eastAsia="Arial" w:hAnsi="Arial"/>
                <w:sz w:val="9"/>
                <w:szCs w:val="9"/>
                <w:color w:val="auto"/>
              </w:rPr>
              <w:t>UltiMAb*</w:t>
            </w:r>
          </w:p>
        </w:tc>
        <w:tc>
          <w:tcPr>
            <w:tcW w:w="1380" w:type="dxa"/>
            <w:vAlign w:val="bottom"/>
            <w:gridSpan w:val="2"/>
          </w:tcPr>
          <w:p>
            <w:pPr>
              <w:ind w:left="80"/>
              <w:spacing w:after="0"/>
              <w:rPr>
                <w:sz w:val="20"/>
                <w:szCs w:val="20"/>
                <w:color w:val="auto"/>
              </w:rPr>
            </w:pPr>
            <w:r>
              <w:rPr>
                <w:rFonts w:ascii="Arial" w:cs="Arial" w:eastAsia="Arial" w:hAnsi="Arial"/>
                <w:sz w:val="9"/>
                <w:szCs w:val="9"/>
                <w:color w:val="auto"/>
              </w:rPr>
              <w:t>J&amp;J</w:t>
            </w:r>
          </w:p>
        </w:tc>
        <w:tc>
          <w:tcPr>
            <w:tcW w:w="1840" w:type="dxa"/>
            <w:vAlign w:val="bottom"/>
            <w:gridSpan w:val="2"/>
          </w:tcPr>
          <w:p>
            <w:pPr>
              <w:ind w:left="60"/>
              <w:spacing w:after="0"/>
              <w:rPr>
                <w:sz w:val="20"/>
                <w:szCs w:val="20"/>
                <w:color w:val="auto"/>
              </w:rPr>
            </w:pPr>
            <w:r>
              <w:rPr>
                <w:rFonts w:ascii="Arial" w:cs="Arial" w:eastAsia="Arial" w:hAnsi="Arial"/>
                <w:sz w:val="9"/>
                <w:szCs w:val="9"/>
                <w:color w:val="auto"/>
              </w:rPr>
              <w:t>Multiple myeloma</w:t>
            </w:r>
          </w:p>
        </w:tc>
        <w:tc>
          <w:tcPr>
            <w:tcW w:w="900" w:type="dxa"/>
            <w:vAlign w:val="bottom"/>
            <w:shd w:val="clear" w:color="auto" w:fill="691A6B"/>
          </w:tcPr>
          <w:p>
            <w:pPr>
              <w:spacing w:after="0"/>
              <w:rPr>
                <w:sz w:val="11"/>
                <w:szCs w:val="11"/>
                <w:color w:val="auto"/>
              </w:rPr>
            </w:pPr>
          </w:p>
        </w:tc>
        <w:tc>
          <w:tcPr>
            <w:tcW w:w="880" w:type="dxa"/>
            <w:vAlign w:val="bottom"/>
            <w:shd w:val="clear" w:color="auto" w:fill="D149D3"/>
          </w:tcPr>
          <w:p>
            <w:pPr>
              <w:spacing w:after="0"/>
              <w:rPr>
                <w:sz w:val="11"/>
                <w:szCs w:val="11"/>
                <w:color w:val="auto"/>
              </w:rPr>
            </w:pPr>
          </w:p>
        </w:tc>
        <w:tc>
          <w:tcPr>
            <w:tcW w:w="900" w:type="dxa"/>
            <w:vAlign w:val="bottom"/>
            <w:shd w:val="clear" w:color="auto" w:fill="DF86E2"/>
          </w:tcPr>
          <w:p>
            <w:pPr>
              <w:spacing w:after="0"/>
              <w:rPr>
                <w:sz w:val="11"/>
                <w:szCs w:val="11"/>
                <w:color w:val="auto"/>
              </w:rPr>
            </w:pPr>
          </w:p>
        </w:tc>
        <w:tc>
          <w:tcPr>
            <w:tcW w:w="460" w:type="dxa"/>
            <w:vAlign w:val="bottom"/>
            <w:shd w:val="clear" w:color="auto" w:fill="EDC4F0"/>
          </w:tcPr>
          <w:p>
            <w:pPr>
              <w:spacing w:after="0"/>
              <w:rPr>
                <w:sz w:val="11"/>
                <w:szCs w:val="11"/>
                <w:color w:val="auto"/>
              </w:rPr>
            </w:pPr>
          </w:p>
        </w:tc>
        <w:tc>
          <w:tcPr>
            <w:tcW w:w="460" w:type="dxa"/>
            <w:vAlign w:val="bottom"/>
            <w:shd w:val="clear" w:color="auto" w:fill="EDC4F0"/>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0" w:type="dxa"/>
            <w:vAlign w:val="bottom"/>
            <w:tcBorders>
              <w:bottom w:val="single" w:sz="8" w:color="029C93"/>
            </w:tcBorders>
          </w:tcPr>
          <w:p>
            <w:pPr>
              <w:spacing w:after="0"/>
              <w:rPr>
                <w:sz w:val="6"/>
                <w:szCs w:val="6"/>
                <w:color w:val="auto"/>
              </w:rPr>
            </w:pPr>
          </w:p>
        </w:tc>
        <w:tc>
          <w:tcPr>
            <w:tcW w:w="900" w:type="dxa"/>
            <w:vAlign w:val="bottom"/>
            <w:tcBorders>
              <w:bottom w:val="single" w:sz="8" w:color="029C93"/>
            </w:tcBorders>
            <w:shd w:val="clear" w:color="auto" w:fill="691A6B"/>
          </w:tcPr>
          <w:p>
            <w:pPr>
              <w:spacing w:after="0"/>
              <w:rPr>
                <w:sz w:val="6"/>
                <w:szCs w:val="6"/>
                <w:color w:val="auto"/>
              </w:rPr>
            </w:pPr>
          </w:p>
        </w:tc>
        <w:tc>
          <w:tcPr>
            <w:tcW w:w="880" w:type="dxa"/>
            <w:vAlign w:val="bottom"/>
            <w:tcBorders>
              <w:bottom w:val="single" w:sz="8" w:color="029C93"/>
            </w:tcBorders>
            <w:shd w:val="clear" w:color="auto" w:fill="D149D3"/>
          </w:tcPr>
          <w:p>
            <w:pPr>
              <w:spacing w:after="0"/>
              <w:rPr>
                <w:sz w:val="6"/>
                <w:szCs w:val="6"/>
                <w:color w:val="auto"/>
              </w:rPr>
            </w:pPr>
          </w:p>
        </w:tc>
        <w:tc>
          <w:tcPr>
            <w:tcW w:w="900" w:type="dxa"/>
            <w:vAlign w:val="bottom"/>
            <w:tcBorders>
              <w:bottom w:val="single" w:sz="8" w:color="029C93"/>
            </w:tcBorders>
            <w:shd w:val="clear" w:color="auto" w:fill="DF86E2"/>
          </w:tcPr>
          <w:p>
            <w:pPr>
              <w:spacing w:after="0"/>
              <w:rPr>
                <w:sz w:val="6"/>
                <w:szCs w:val="6"/>
                <w:color w:val="auto"/>
              </w:rPr>
            </w:pPr>
          </w:p>
        </w:tc>
        <w:tc>
          <w:tcPr>
            <w:tcW w:w="460" w:type="dxa"/>
            <w:vAlign w:val="bottom"/>
            <w:tcBorders>
              <w:bottom w:val="single" w:sz="8" w:color="029C93"/>
            </w:tcBorders>
            <w:shd w:val="clear" w:color="auto" w:fill="EDC4F0"/>
          </w:tcPr>
          <w:p>
            <w:pPr>
              <w:spacing w:after="0"/>
              <w:rPr>
                <w:sz w:val="6"/>
                <w:szCs w:val="6"/>
                <w:color w:val="auto"/>
              </w:rPr>
            </w:pPr>
          </w:p>
        </w:tc>
        <w:tc>
          <w:tcPr>
            <w:tcW w:w="460" w:type="dxa"/>
            <w:vAlign w:val="bottom"/>
            <w:tcBorders>
              <w:bottom w:val="single" w:sz="8" w:color="029C93"/>
            </w:tcBorders>
            <w:shd w:val="clear" w:color="auto" w:fill="EDC4F0"/>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2"/>
          </w:tcPr>
          <w:p>
            <w:pPr>
              <w:ind w:left="60"/>
              <w:spacing w:after="0"/>
              <w:rPr>
                <w:sz w:val="20"/>
                <w:szCs w:val="20"/>
                <w:color w:val="auto"/>
              </w:rPr>
            </w:pPr>
            <w:r>
              <w:rPr>
                <w:rFonts w:ascii="Arial" w:cs="Arial" w:eastAsia="Arial" w:hAnsi="Arial"/>
                <w:sz w:val="9"/>
                <w:szCs w:val="9"/>
                <w:color w:val="auto"/>
              </w:rPr>
              <w:t>AL Amyloidosis</w:t>
            </w:r>
          </w:p>
        </w:tc>
        <w:tc>
          <w:tcPr>
            <w:tcW w:w="900" w:type="dxa"/>
            <w:vAlign w:val="bottom"/>
            <w:tcBorders>
              <w:bottom w:val="single" w:sz="8" w:color="691A6B"/>
            </w:tcBorders>
            <w:shd w:val="clear" w:color="auto" w:fill="691A6B"/>
          </w:tcPr>
          <w:p>
            <w:pPr>
              <w:spacing w:after="0"/>
              <w:rPr>
                <w:sz w:val="13"/>
                <w:szCs w:val="13"/>
                <w:color w:val="auto"/>
              </w:rPr>
            </w:pPr>
          </w:p>
        </w:tc>
        <w:tc>
          <w:tcPr>
            <w:tcW w:w="880" w:type="dxa"/>
            <w:vAlign w:val="bottom"/>
            <w:tcBorders>
              <w:bottom w:val="single" w:sz="8" w:color="D149D3"/>
            </w:tcBorders>
            <w:shd w:val="clear" w:color="auto" w:fill="D149D3"/>
          </w:tcPr>
          <w:p>
            <w:pPr>
              <w:spacing w:after="0"/>
              <w:rPr>
                <w:sz w:val="13"/>
                <w:szCs w:val="13"/>
                <w:color w:val="auto"/>
              </w:rPr>
            </w:pPr>
          </w:p>
        </w:tc>
        <w:tc>
          <w:tcPr>
            <w:tcW w:w="900" w:type="dxa"/>
            <w:vAlign w:val="bottom"/>
            <w:tcBorders>
              <w:bottom w:val="single" w:sz="8" w:color="DF86E2"/>
            </w:tcBorders>
            <w:shd w:val="clear" w:color="auto" w:fill="DF86E2"/>
          </w:tcPr>
          <w:p>
            <w:pPr>
              <w:spacing w:after="0"/>
              <w:rPr>
                <w:sz w:val="13"/>
                <w:szCs w:val="13"/>
                <w:color w:val="auto"/>
              </w:rPr>
            </w:pPr>
          </w:p>
        </w:tc>
        <w:tc>
          <w:tcPr>
            <w:tcW w:w="460" w:type="dxa"/>
            <w:vAlign w:val="bottom"/>
            <w:tcBorders>
              <w:bottom w:val="single" w:sz="8" w:color="EDC4F0"/>
            </w:tcBorders>
            <w:shd w:val="clear" w:color="auto" w:fill="EDC4F0"/>
          </w:tcPr>
          <w:p>
            <w:pPr>
              <w:spacing w:after="0"/>
              <w:rPr>
                <w:sz w:val="13"/>
                <w:szCs w:val="13"/>
                <w:color w:val="auto"/>
              </w:rPr>
            </w:pPr>
          </w:p>
        </w:tc>
        <w:tc>
          <w:tcPr>
            <w:tcW w:w="460" w:type="dxa"/>
            <w:vAlign w:val="bottom"/>
            <w:tcBorders>
              <w:bottom w:val="single" w:sz="8" w:color="EDC4F0"/>
            </w:tcBorders>
            <w:shd w:val="clear" w:color="auto" w:fill="EDC4F0"/>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80" w:type="dxa"/>
            <w:vAlign w:val="bottom"/>
            <w:tcBorders>
              <w:top w:val="single" w:sz="8" w:color="029C93"/>
            </w:tcBorders>
          </w:tcPr>
          <w:p>
            <w:pPr>
              <w:ind w:left="60"/>
              <w:spacing w:after="0"/>
              <w:rPr>
                <w:sz w:val="20"/>
                <w:szCs w:val="20"/>
                <w:color w:val="auto"/>
              </w:rPr>
            </w:pPr>
            <w:r>
              <w:rPr>
                <w:rFonts w:ascii="Arial" w:cs="Arial" w:eastAsia="Arial" w:hAnsi="Arial"/>
                <w:sz w:val="9"/>
                <w:szCs w:val="9"/>
                <w:b w:val="1"/>
                <w:bCs w:val="1"/>
                <w:color w:val="auto"/>
              </w:rPr>
              <w:t>Teprotumumab</w:t>
            </w:r>
          </w:p>
        </w:tc>
        <w:tc>
          <w:tcPr>
            <w:tcW w:w="160" w:type="dxa"/>
            <w:vAlign w:val="bottom"/>
          </w:tcPr>
          <w:p>
            <w:pPr>
              <w:spacing w:after="0"/>
              <w:rPr>
                <w:sz w:val="15"/>
                <w:szCs w:val="15"/>
                <w:color w:val="auto"/>
              </w:rPr>
            </w:pPr>
          </w:p>
        </w:tc>
        <w:tc>
          <w:tcPr>
            <w:tcW w:w="880" w:type="dxa"/>
            <w:vAlign w:val="bottom"/>
            <w:tcBorders>
              <w:top w:val="single" w:sz="8" w:color="029C93"/>
            </w:tcBorders>
          </w:tcPr>
          <w:p>
            <w:pPr>
              <w:jc w:val="center"/>
              <w:spacing w:after="0"/>
              <w:rPr>
                <w:sz w:val="20"/>
                <w:szCs w:val="20"/>
                <w:color w:val="auto"/>
              </w:rPr>
            </w:pPr>
            <w:r>
              <w:rPr>
                <w:rFonts w:ascii="Arial" w:cs="Arial" w:eastAsia="Arial" w:hAnsi="Arial"/>
                <w:sz w:val="9"/>
                <w:szCs w:val="9"/>
                <w:color w:val="auto"/>
              </w:rPr>
              <w:t>UltiMAb</w:t>
            </w:r>
          </w:p>
        </w:tc>
        <w:tc>
          <w:tcPr>
            <w:tcW w:w="140" w:type="dxa"/>
            <w:vAlign w:val="bottom"/>
          </w:tcPr>
          <w:p>
            <w:pPr>
              <w:spacing w:after="0"/>
              <w:rPr>
                <w:sz w:val="15"/>
                <w:szCs w:val="15"/>
                <w:color w:val="auto"/>
              </w:rPr>
            </w:pPr>
          </w:p>
        </w:tc>
        <w:tc>
          <w:tcPr>
            <w:tcW w:w="1240" w:type="dxa"/>
            <w:vAlign w:val="bottom"/>
            <w:tcBorders>
              <w:top w:val="single" w:sz="8" w:color="029C93"/>
            </w:tcBorders>
          </w:tcPr>
          <w:p>
            <w:pPr>
              <w:ind w:left="80"/>
              <w:spacing w:after="0"/>
              <w:rPr>
                <w:sz w:val="20"/>
                <w:szCs w:val="20"/>
                <w:color w:val="auto"/>
              </w:rPr>
            </w:pPr>
            <w:r>
              <w:rPr>
                <w:rFonts w:ascii="Arial" w:cs="Arial" w:eastAsia="Arial" w:hAnsi="Arial"/>
                <w:sz w:val="9"/>
                <w:szCs w:val="9"/>
                <w:color w:val="auto"/>
              </w:rPr>
              <w:t>Amgen</w:t>
            </w:r>
          </w:p>
        </w:tc>
        <w:tc>
          <w:tcPr>
            <w:tcW w:w="140" w:type="dxa"/>
            <w:vAlign w:val="bottom"/>
          </w:tcPr>
          <w:p>
            <w:pPr>
              <w:spacing w:after="0"/>
              <w:rPr>
                <w:sz w:val="15"/>
                <w:szCs w:val="15"/>
                <w:color w:val="auto"/>
              </w:rPr>
            </w:pPr>
          </w:p>
        </w:tc>
        <w:tc>
          <w:tcPr>
            <w:tcW w:w="1840" w:type="dxa"/>
            <w:vAlign w:val="bottom"/>
            <w:tcBorders>
              <w:top w:val="single" w:sz="8" w:color="029C93"/>
            </w:tcBorders>
            <w:gridSpan w:val="2"/>
          </w:tcPr>
          <w:p>
            <w:pPr>
              <w:ind w:left="60"/>
              <w:spacing w:after="0"/>
              <w:rPr>
                <w:sz w:val="20"/>
                <w:szCs w:val="20"/>
                <w:color w:val="auto"/>
              </w:rPr>
            </w:pPr>
            <w:r>
              <w:rPr>
                <w:rFonts w:ascii="Arial" w:cs="Arial" w:eastAsia="Arial" w:hAnsi="Arial"/>
                <w:sz w:val="9"/>
                <w:szCs w:val="9"/>
                <w:color w:val="auto"/>
              </w:rPr>
              <w:t>TED</w:t>
            </w:r>
          </w:p>
        </w:tc>
        <w:tc>
          <w:tcPr>
            <w:tcW w:w="900" w:type="dxa"/>
            <w:vAlign w:val="bottom"/>
            <w:tcBorders>
              <w:top w:val="single" w:sz="8" w:color="029C93"/>
            </w:tcBorders>
            <w:shd w:val="clear" w:color="auto" w:fill="691A6B"/>
          </w:tcPr>
          <w:p>
            <w:pPr>
              <w:spacing w:after="0"/>
              <w:rPr>
                <w:sz w:val="15"/>
                <w:szCs w:val="15"/>
                <w:color w:val="auto"/>
              </w:rPr>
            </w:pPr>
          </w:p>
        </w:tc>
        <w:tc>
          <w:tcPr>
            <w:tcW w:w="880" w:type="dxa"/>
            <w:vAlign w:val="bottom"/>
            <w:tcBorders>
              <w:top w:val="single" w:sz="8" w:color="029C93"/>
            </w:tcBorders>
            <w:shd w:val="clear" w:color="auto" w:fill="D149D3"/>
          </w:tcPr>
          <w:p>
            <w:pPr>
              <w:spacing w:after="0"/>
              <w:rPr>
                <w:sz w:val="15"/>
                <w:szCs w:val="15"/>
                <w:color w:val="auto"/>
              </w:rPr>
            </w:pPr>
          </w:p>
        </w:tc>
        <w:tc>
          <w:tcPr>
            <w:tcW w:w="900" w:type="dxa"/>
            <w:vAlign w:val="bottom"/>
            <w:tcBorders>
              <w:top w:val="single" w:sz="8" w:color="029C93"/>
            </w:tcBorders>
            <w:shd w:val="clear" w:color="auto" w:fill="DF86E2"/>
          </w:tcPr>
          <w:p>
            <w:pPr>
              <w:spacing w:after="0"/>
              <w:rPr>
                <w:sz w:val="15"/>
                <w:szCs w:val="15"/>
                <w:color w:val="auto"/>
              </w:rPr>
            </w:pPr>
          </w:p>
        </w:tc>
        <w:tc>
          <w:tcPr>
            <w:tcW w:w="460" w:type="dxa"/>
            <w:vAlign w:val="bottom"/>
            <w:tcBorders>
              <w:top w:val="single" w:sz="8" w:color="029C93"/>
            </w:tcBorders>
            <w:shd w:val="clear" w:color="auto" w:fill="EDC4F0"/>
          </w:tcPr>
          <w:p>
            <w:pPr>
              <w:spacing w:after="0"/>
              <w:rPr>
                <w:sz w:val="15"/>
                <w:szCs w:val="15"/>
                <w:color w:val="auto"/>
              </w:rPr>
            </w:pPr>
          </w:p>
        </w:tc>
        <w:tc>
          <w:tcPr>
            <w:tcW w:w="460" w:type="dxa"/>
            <w:vAlign w:val="bottom"/>
            <w:tcBorders>
              <w:top w:val="single" w:sz="8" w:color="029C93"/>
            </w:tcBorders>
            <w:shd w:val="clear" w:color="auto" w:fill="EDC4F0"/>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180" w:type="dxa"/>
            <w:vAlign w:val="bottom"/>
            <w:tcBorders>
              <w:bottom w:val="single" w:sz="8" w:color="029C93"/>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Borders>
              <w:bottom w:val="single" w:sz="8" w:color="029C93"/>
            </w:tcBorders>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Borders>
              <w:bottom w:val="single" w:sz="8" w:color="029C93"/>
            </w:tcBorders>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Borders>
              <w:bottom w:val="single" w:sz="8" w:color="029C93"/>
            </w:tcBorders>
          </w:tcPr>
          <w:p>
            <w:pPr>
              <w:spacing w:after="0"/>
              <w:rPr>
                <w:sz w:val="6"/>
                <w:szCs w:val="6"/>
                <w:color w:val="auto"/>
              </w:rPr>
            </w:pPr>
          </w:p>
        </w:tc>
        <w:tc>
          <w:tcPr>
            <w:tcW w:w="20" w:type="dxa"/>
            <w:vAlign w:val="bottom"/>
            <w:tcBorders>
              <w:bottom w:val="single" w:sz="8" w:color="029C93"/>
            </w:tcBorders>
          </w:tcPr>
          <w:p>
            <w:pPr>
              <w:spacing w:after="0"/>
              <w:rPr>
                <w:sz w:val="6"/>
                <w:szCs w:val="6"/>
                <w:color w:val="auto"/>
              </w:rPr>
            </w:pPr>
          </w:p>
        </w:tc>
        <w:tc>
          <w:tcPr>
            <w:tcW w:w="900" w:type="dxa"/>
            <w:vAlign w:val="bottom"/>
            <w:tcBorders>
              <w:bottom w:val="single" w:sz="8" w:color="029C93"/>
            </w:tcBorders>
            <w:shd w:val="clear" w:color="auto" w:fill="691A6B"/>
          </w:tcPr>
          <w:p>
            <w:pPr>
              <w:spacing w:after="0"/>
              <w:rPr>
                <w:sz w:val="6"/>
                <w:szCs w:val="6"/>
                <w:color w:val="auto"/>
              </w:rPr>
            </w:pPr>
          </w:p>
        </w:tc>
        <w:tc>
          <w:tcPr>
            <w:tcW w:w="880" w:type="dxa"/>
            <w:vAlign w:val="bottom"/>
            <w:tcBorders>
              <w:bottom w:val="single" w:sz="8" w:color="029C93"/>
            </w:tcBorders>
            <w:shd w:val="clear" w:color="auto" w:fill="D149D3"/>
          </w:tcPr>
          <w:p>
            <w:pPr>
              <w:spacing w:after="0"/>
              <w:rPr>
                <w:sz w:val="6"/>
                <w:szCs w:val="6"/>
                <w:color w:val="auto"/>
              </w:rPr>
            </w:pPr>
          </w:p>
        </w:tc>
        <w:tc>
          <w:tcPr>
            <w:tcW w:w="900" w:type="dxa"/>
            <w:vAlign w:val="bottom"/>
            <w:tcBorders>
              <w:bottom w:val="single" w:sz="8" w:color="029C93"/>
            </w:tcBorders>
            <w:shd w:val="clear" w:color="auto" w:fill="DF86E2"/>
          </w:tcPr>
          <w:p>
            <w:pPr>
              <w:spacing w:after="0"/>
              <w:rPr>
                <w:sz w:val="6"/>
                <w:szCs w:val="6"/>
                <w:color w:val="auto"/>
              </w:rPr>
            </w:pPr>
          </w:p>
        </w:tc>
        <w:tc>
          <w:tcPr>
            <w:tcW w:w="460" w:type="dxa"/>
            <w:vAlign w:val="bottom"/>
            <w:tcBorders>
              <w:bottom w:val="single" w:sz="8" w:color="029C93"/>
            </w:tcBorders>
            <w:shd w:val="clear" w:color="auto" w:fill="EDC4F0"/>
          </w:tcPr>
          <w:p>
            <w:pPr>
              <w:spacing w:after="0"/>
              <w:rPr>
                <w:sz w:val="6"/>
                <w:szCs w:val="6"/>
                <w:color w:val="auto"/>
              </w:rPr>
            </w:pPr>
          </w:p>
        </w:tc>
        <w:tc>
          <w:tcPr>
            <w:tcW w:w="460" w:type="dxa"/>
            <w:vAlign w:val="bottom"/>
            <w:tcBorders>
              <w:bottom w:val="single" w:sz="8" w:color="029C93"/>
            </w:tcBorders>
            <w:shd w:val="clear" w:color="auto" w:fill="EDC4F0"/>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340" w:type="dxa"/>
            <w:vAlign w:val="bottom"/>
            <w:gridSpan w:val="2"/>
          </w:tcPr>
          <w:p>
            <w:pPr>
              <w:ind w:left="60"/>
              <w:spacing w:after="0"/>
              <w:rPr>
                <w:sz w:val="20"/>
                <w:szCs w:val="20"/>
                <w:color w:val="auto"/>
              </w:rPr>
            </w:pPr>
            <w:r>
              <w:rPr>
                <w:rFonts w:ascii="Arial" w:cs="Arial" w:eastAsia="Arial" w:hAnsi="Arial"/>
                <w:sz w:val="9"/>
                <w:szCs w:val="9"/>
                <w:b w:val="1"/>
                <w:bCs w:val="1"/>
                <w:color w:val="auto"/>
              </w:rPr>
              <w:t>Amivantamab</w:t>
            </w:r>
          </w:p>
        </w:tc>
        <w:tc>
          <w:tcPr>
            <w:tcW w:w="1020" w:type="dxa"/>
            <w:vAlign w:val="bottom"/>
            <w:gridSpan w:val="2"/>
          </w:tcPr>
          <w:p>
            <w:pPr>
              <w:jc w:val="center"/>
              <w:ind w:right="140"/>
              <w:spacing w:after="0"/>
              <w:rPr>
                <w:sz w:val="20"/>
                <w:szCs w:val="20"/>
                <w:color w:val="auto"/>
              </w:rPr>
            </w:pPr>
            <w:r>
              <w:rPr>
                <w:rFonts w:ascii="Arial" w:cs="Arial" w:eastAsia="Arial" w:hAnsi="Arial"/>
                <w:sz w:val="9"/>
                <w:szCs w:val="9"/>
                <w:color w:val="auto"/>
                <w:w w:val="97"/>
              </w:rPr>
              <w:t>DuoBody</w:t>
            </w:r>
          </w:p>
        </w:tc>
        <w:tc>
          <w:tcPr>
            <w:tcW w:w="1380" w:type="dxa"/>
            <w:vAlign w:val="bottom"/>
            <w:gridSpan w:val="2"/>
          </w:tcPr>
          <w:p>
            <w:pPr>
              <w:ind w:left="80"/>
              <w:spacing w:after="0"/>
              <w:rPr>
                <w:sz w:val="20"/>
                <w:szCs w:val="20"/>
                <w:color w:val="auto"/>
              </w:rPr>
            </w:pPr>
            <w:r>
              <w:rPr>
                <w:rFonts w:ascii="Arial" w:cs="Arial" w:eastAsia="Arial" w:hAnsi="Arial"/>
                <w:sz w:val="9"/>
                <w:szCs w:val="9"/>
                <w:color w:val="auto"/>
              </w:rPr>
              <w:t>J&amp;J</w:t>
            </w:r>
          </w:p>
        </w:tc>
        <w:tc>
          <w:tcPr>
            <w:tcW w:w="1840" w:type="dxa"/>
            <w:vAlign w:val="bottom"/>
            <w:gridSpan w:val="2"/>
          </w:tcPr>
          <w:p>
            <w:pPr>
              <w:ind w:left="60"/>
              <w:spacing w:after="0"/>
              <w:rPr>
                <w:sz w:val="20"/>
                <w:szCs w:val="20"/>
                <w:color w:val="auto"/>
              </w:rPr>
            </w:pPr>
            <w:r>
              <w:rPr>
                <w:rFonts w:ascii="Arial" w:cs="Arial" w:eastAsia="Arial" w:hAnsi="Arial"/>
                <w:sz w:val="9"/>
                <w:szCs w:val="9"/>
                <w:color w:val="auto"/>
              </w:rPr>
              <w:t>NSCLC</w:t>
            </w:r>
          </w:p>
        </w:tc>
        <w:tc>
          <w:tcPr>
            <w:tcW w:w="900" w:type="dxa"/>
            <w:vAlign w:val="bottom"/>
            <w:shd w:val="clear" w:color="auto" w:fill="691A6B"/>
          </w:tcPr>
          <w:p>
            <w:pPr>
              <w:spacing w:after="0"/>
              <w:rPr>
                <w:sz w:val="11"/>
                <w:szCs w:val="11"/>
                <w:color w:val="auto"/>
              </w:rPr>
            </w:pPr>
          </w:p>
        </w:tc>
        <w:tc>
          <w:tcPr>
            <w:tcW w:w="880" w:type="dxa"/>
            <w:vAlign w:val="bottom"/>
            <w:shd w:val="clear" w:color="auto" w:fill="D149D3"/>
          </w:tcPr>
          <w:p>
            <w:pPr>
              <w:spacing w:after="0"/>
              <w:rPr>
                <w:sz w:val="11"/>
                <w:szCs w:val="11"/>
                <w:color w:val="auto"/>
              </w:rPr>
            </w:pPr>
          </w:p>
        </w:tc>
        <w:tc>
          <w:tcPr>
            <w:tcW w:w="900" w:type="dxa"/>
            <w:vAlign w:val="bottom"/>
            <w:shd w:val="clear" w:color="auto" w:fill="DF86E2"/>
          </w:tcPr>
          <w:p>
            <w:pPr>
              <w:spacing w:after="0"/>
              <w:rPr>
                <w:sz w:val="11"/>
                <w:szCs w:val="11"/>
                <w:color w:val="auto"/>
              </w:rPr>
            </w:pPr>
          </w:p>
        </w:tc>
        <w:tc>
          <w:tcPr>
            <w:tcW w:w="460" w:type="dxa"/>
            <w:vAlign w:val="bottom"/>
            <w:shd w:val="clear" w:color="auto" w:fill="EDC4F0"/>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Arial" w:cs="Arial" w:eastAsia="Arial" w:hAnsi="Arial"/>
                <w:sz w:val="9"/>
                <w:szCs w:val="9"/>
                <w:color w:val="auto"/>
              </w:rPr>
              <w:t>Advanced or metastatic colorectal cancer</w:t>
            </w:r>
          </w:p>
        </w:tc>
        <w:tc>
          <w:tcPr>
            <w:tcW w:w="900" w:type="dxa"/>
            <w:vAlign w:val="bottom"/>
            <w:tcBorders>
              <w:bottom w:val="single" w:sz="8" w:color="691A6B"/>
            </w:tcBorders>
            <w:shd w:val="clear" w:color="auto" w:fill="691A6B"/>
          </w:tcPr>
          <w:p>
            <w:pPr>
              <w:spacing w:after="0"/>
              <w:rPr>
                <w:sz w:val="20"/>
                <w:szCs w:val="20"/>
                <w:color w:val="auto"/>
              </w:rPr>
            </w:pPr>
          </w:p>
        </w:tc>
        <w:tc>
          <w:tcPr>
            <w:tcW w:w="880" w:type="dxa"/>
            <w:vAlign w:val="bottom"/>
            <w:tcBorders>
              <w:bottom w:val="single" w:sz="8" w:color="D149D3"/>
            </w:tcBorders>
            <w:shd w:val="clear" w:color="auto" w:fill="D149D3"/>
          </w:tcPr>
          <w:p>
            <w:pPr>
              <w:spacing w:after="0"/>
              <w:rPr>
                <w:sz w:val="20"/>
                <w:szCs w:val="20"/>
                <w:color w:val="auto"/>
              </w:rPr>
            </w:pPr>
          </w:p>
        </w:tc>
        <w:tc>
          <w:tcPr>
            <w:tcW w:w="900" w:type="dxa"/>
            <w:vAlign w:val="bottom"/>
            <w:tcBorders>
              <w:bottom w:val="single" w:sz="8" w:color="DF86E2"/>
            </w:tcBorders>
            <w:shd w:val="clear" w:color="auto" w:fill="DF86E2"/>
          </w:tcPr>
          <w:p>
            <w:pPr>
              <w:spacing w:after="0"/>
              <w:rPr>
                <w:sz w:val="20"/>
                <w:szCs w:val="20"/>
                <w:color w:val="auto"/>
              </w:rPr>
            </w:pPr>
          </w:p>
        </w:tc>
        <w:tc>
          <w:tcPr>
            <w:tcW w:w="460" w:type="dxa"/>
            <w:vAlign w:val="bottom"/>
            <w:tcBorders>
              <w:bottom w:val="single" w:sz="8" w:color="EDC4F0"/>
            </w:tcBorders>
            <w:shd w:val="clear" w:color="auto" w:fill="EDC4F0"/>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ind w:left="60"/>
              <w:spacing w:after="0"/>
              <w:rPr>
                <w:sz w:val="20"/>
                <w:szCs w:val="20"/>
                <w:color w:val="auto"/>
              </w:rPr>
            </w:pPr>
            <w:r>
              <w:rPr>
                <w:rFonts w:ascii="Arial" w:cs="Arial" w:eastAsia="Arial" w:hAnsi="Arial"/>
                <w:sz w:val="9"/>
                <w:szCs w:val="9"/>
                <w:color w:val="auto"/>
              </w:rPr>
              <w:t>Recurrent/metastatic head and neck cancer</w:t>
            </w:r>
          </w:p>
        </w:tc>
        <w:tc>
          <w:tcPr>
            <w:tcW w:w="900" w:type="dxa"/>
            <w:vAlign w:val="bottom"/>
            <w:tcBorders>
              <w:bottom w:val="single" w:sz="8" w:color="691A6B"/>
            </w:tcBorders>
            <w:shd w:val="clear" w:color="auto" w:fill="691A6B"/>
          </w:tcPr>
          <w:p>
            <w:pPr>
              <w:spacing w:after="0"/>
              <w:rPr>
                <w:sz w:val="15"/>
                <w:szCs w:val="15"/>
                <w:color w:val="auto"/>
              </w:rPr>
            </w:pPr>
          </w:p>
        </w:tc>
        <w:tc>
          <w:tcPr>
            <w:tcW w:w="880" w:type="dxa"/>
            <w:vAlign w:val="bottom"/>
            <w:tcBorders>
              <w:bottom w:val="single" w:sz="8" w:color="D149D3"/>
            </w:tcBorders>
            <w:shd w:val="clear" w:color="auto" w:fill="D149D3"/>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180" w:type="dxa"/>
            <w:vAlign w:val="bottom"/>
            <w:tcBorders>
              <w:top w:val="single" w:sz="8" w:color="029C93"/>
            </w:tcBorders>
          </w:tcPr>
          <w:p>
            <w:pPr>
              <w:ind w:left="60"/>
              <w:spacing w:after="0"/>
              <w:rPr>
                <w:sz w:val="20"/>
                <w:szCs w:val="20"/>
                <w:color w:val="auto"/>
              </w:rPr>
            </w:pPr>
            <w:r>
              <w:rPr>
                <w:rFonts w:ascii="Arial" w:cs="Arial" w:eastAsia="Arial" w:hAnsi="Arial"/>
                <w:sz w:val="9"/>
                <w:szCs w:val="9"/>
                <w:b w:val="1"/>
                <w:bCs w:val="1"/>
                <w:color w:val="auto"/>
              </w:rPr>
              <w:t>Teclistamab</w:t>
            </w:r>
          </w:p>
        </w:tc>
        <w:tc>
          <w:tcPr>
            <w:tcW w:w="160" w:type="dxa"/>
            <w:vAlign w:val="bottom"/>
          </w:tcPr>
          <w:p>
            <w:pPr>
              <w:spacing w:after="0"/>
              <w:rPr>
                <w:sz w:val="11"/>
                <w:szCs w:val="11"/>
                <w:color w:val="auto"/>
              </w:rPr>
            </w:pPr>
          </w:p>
        </w:tc>
        <w:tc>
          <w:tcPr>
            <w:tcW w:w="880" w:type="dxa"/>
            <w:vAlign w:val="bottom"/>
            <w:tcBorders>
              <w:top w:val="single" w:sz="8" w:color="029C93"/>
            </w:tcBorders>
          </w:tcPr>
          <w:p>
            <w:pPr>
              <w:jc w:val="center"/>
              <w:spacing w:after="0"/>
              <w:rPr>
                <w:sz w:val="20"/>
                <w:szCs w:val="20"/>
                <w:color w:val="auto"/>
              </w:rPr>
            </w:pPr>
            <w:r>
              <w:rPr>
                <w:rFonts w:ascii="Arial" w:cs="Arial" w:eastAsia="Arial" w:hAnsi="Arial"/>
                <w:sz w:val="9"/>
                <w:szCs w:val="9"/>
                <w:color w:val="auto"/>
                <w:w w:val="97"/>
              </w:rPr>
              <w:t>DuoBody</w:t>
            </w:r>
          </w:p>
        </w:tc>
        <w:tc>
          <w:tcPr>
            <w:tcW w:w="140" w:type="dxa"/>
            <w:vAlign w:val="bottom"/>
          </w:tcPr>
          <w:p>
            <w:pPr>
              <w:spacing w:after="0"/>
              <w:rPr>
                <w:sz w:val="11"/>
                <w:szCs w:val="11"/>
                <w:color w:val="auto"/>
              </w:rPr>
            </w:pPr>
          </w:p>
        </w:tc>
        <w:tc>
          <w:tcPr>
            <w:tcW w:w="1240" w:type="dxa"/>
            <w:vAlign w:val="bottom"/>
            <w:tcBorders>
              <w:top w:val="single" w:sz="8" w:color="029C93"/>
            </w:tcBorders>
          </w:tcPr>
          <w:p>
            <w:pPr>
              <w:ind w:left="80"/>
              <w:spacing w:after="0"/>
              <w:rPr>
                <w:sz w:val="20"/>
                <w:szCs w:val="20"/>
                <w:color w:val="auto"/>
              </w:rPr>
            </w:pPr>
            <w:r>
              <w:rPr>
                <w:rFonts w:ascii="Arial" w:cs="Arial" w:eastAsia="Arial" w:hAnsi="Arial"/>
                <w:sz w:val="9"/>
                <w:szCs w:val="9"/>
                <w:color w:val="auto"/>
              </w:rPr>
              <w:t>J&amp;J</w:t>
            </w:r>
          </w:p>
        </w:tc>
        <w:tc>
          <w:tcPr>
            <w:tcW w:w="140" w:type="dxa"/>
            <w:vAlign w:val="bottom"/>
          </w:tcPr>
          <w:p>
            <w:pPr>
              <w:spacing w:after="0"/>
              <w:rPr>
                <w:sz w:val="11"/>
                <w:szCs w:val="11"/>
                <w:color w:val="auto"/>
              </w:rPr>
            </w:pPr>
          </w:p>
        </w:tc>
        <w:tc>
          <w:tcPr>
            <w:tcW w:w="1840" w:type="dxa"/>
            <w:vAlign w:val="bottom"/>
            <w:tcBorders>
              <w:top w:val="single" w:sz="8" w:color="029C93"/>
            </w:tcBorders>
            <w:gridSpan w:val="2"/>
          </w:tcPr>
          <w:p>
            <w:pPr>
              <w:ind w:left="60"/>
              <w:spacing w:after="0"/>
              <w:rPr>
                <w:sz w:val="20"/>
                <w:szCs w:val="20"/>
                <w:color w:val="auto"/>
              </w:rPr>
            </w:pPr>
            <w:r>
              <w:rPr>
                <w:rFonts w:ascii="Arial" w:cs="Arial" w:eastAsia="Arial" w:hAnsi="Arial"/>
                <w:sz w:val="9"/>
                <w:szCs w:val="9"/>
                <w:color w:val="auto"/>
              </w:rPr>
              <w:t>Multiple myeloma</w:t>
            </w:r>
          </w:p>
        </w:tc>
        <w:tc>
          <w:tcPr>
            <w:tcW w:w="900" w:type="dxa"/>
            <w:vAlign w:val="bottom"/>
            <w:tcBorders>
              <w:top w:val="single" w:sz="8" w:color="029C93"/>
            </w:tcBorders>
            <w:shd w:val="clear" w:color="auto" w:fill="691A6B"/>
          </w:tcPr>
          <w:p>
            <w:pPr>
              <w:spacing w:after="0"/>
              <w:rPr>
                <w:sz w:val="11"/>
                <w:szCs w:val="11"/>
                <w:color w:val="auto"/>
              </w:rPr>
            </w:pPr>
          </w:p>
        </w:tc>
        <w:tc>
          <w:tcPr>
            <w:tcW w:w="880" w:type="dxa"/>
            <w:vAlign w:val="bottom"/>
            <w:tcBorders>
              <w:top w:val="single" w:sz="8" w:color="029C93"/>
            </w:tcBorders>
            <w:shd w:val="clear" w:color="auto" w:fill="D149D3"/>
          </w:tcPr>
          <w:p>
            <w:pPr>
              <w:spacing w:after="0"/>
              <w:rPr>
                <w:sz w:val="11"/>
                <w:szCs w:val="11"/>
                <w:color w:val="auto"/>
              </w:rPr>
            </w:pPr>
          </w:p>
        </w:tc>
        <w:tc>
          <w:tcPr>
            <w:tcW w:w="900" w:type="dxa"/>
            <w:vAlign w:val="bottom"/>
            <w:tcBorders>
              <w:top w:val="single" w:sz="8" w:color="029C93"/>
            </w:tcBorders>
            <w:shd w:val="clear" w:color="auto" w:fill="DF86E2"/>
          </w:tcPr>
          <w:p>
            <w:pPr>
              <w:spacing w:after="0"/>
              <w:rPr>
                <w:sz w:val="11"/>
                <w:szCs w:val="11"/>
                <w:color w:val="auto"/>
              </w:rPr>
            </w:pPr>
          </w:p>
        </w:tc>
        <w:tc>
          <w:tcPr>
            <w:tcW w:w="460" w:type="dxa"/>
            <w:vAlign w:val="bottom"/>
            <w:tcBorders>
              <w:top w:val="single" w:sz="8" w:color="029C93"/>
            </w:tcBorders>
            <w:shd w:val="clear" w:color="auto" w:fill="EDC4F0"/>
          </w:tcPr>
          <w:p>
            <w:pPr>
              <w:spacing w:after="0"/>
              <w:rPr>
                <w:sz w:val="11"/>
                <w:szCs w:val="11"/>
                <w:color w:val="auto"/>
              </w:rPr>
            </w:pPr>
          </w:p>
        </w:tc>
        <w:tc>
          <w:tcPr>
            <w:tcW w:w="460" w:type="dxa"/>
            <w:vAlign w:val="bottom"/>
            <w:tcBorders>
              <w:top w:val="single" w:sz="8" w:color="029C93"/>
            </w:tcBorders>
            <w:shd w:val="clear" w:color="auto" w:fill="EDC4F0"/>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80" w:type="dxa"/>
            <w:vAlign w:val="bottom"/>
            <w:tcBorders>
              <w:bottom w:val="single" w:sz="8" w:color="029C93"/>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Borders>
              <w:bottom w:val="single" w:sz="8" w:color="029C93"/>
            </w:tcBorders>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Borders>
              <w:bottom w:val="single" w:sz="8" w:color="029C93"/>
            </w:tcBorders>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Borders>
              <w:bottom w:val="single" w:sz="8" w:color="029C93"/>
            </w:tcBorders>
          </w:tcPr>
          <w:p>
            <w:pPr>
              <w:spacing w:after="0"/>
              <w:rPr>
                <w:sz w:val="6"/>
                <w:szCs w:val="6"/>
                <w:color w:val="auto"/>
              </w:rPr>
            </w:pPr>
          </w:p>
        </w:tc>
        <w:tc>
          <w:tcPr>
            <w:tcW w:w="20" w:type="dxa"/>
            <w:vAlign w:val="bottom"/>
            <w:tcBorders>
              <w:bottom w:val="single" w:sz="8" w:color="029C93"/>
            </w:tcBorders>
          </w:tcPr>
          <w:p>
            <w:pPr>
              <w:spacing w:after="0"/>
              <w:rPr>
                <w:sz w:val="6"/>
                <w:szCs w:val="6"/>
                <w:color w:val="auto"/>
              </w:rPr>
            </w:pPr>
          </w:p>
        </w:tc>
        <w:tc>
          <w:tcPr>
            <w:tcW w:w="900" w:type="dxa"/>
            <w:vAlign w:val="bottom"/>
            <w:tcBorders>
              <w:bottom w:val="single" w:sz="8" w:color="029C93"/>
            </w:tcBorders>
            <w:shd w:val="clear" w:color="auto" w:fill="691A6B"/>
          </w:tcPr>
          <w:p>
            <w:pPr>
              <w:spacing w:after="0"/>
              <w:rPr>
                <w:sz w:val="6"/>
                <w:szCs w:val="6"/>
                <w:color w:val="auto"/>
              </w:rPr>
            </w:pPr>
          </w:p>
        </w:tc>
        <w:tc>
          <w:tcPr>
            <w:tcW w:w="880" w:type="dxa"/>
            <w:vAlign w:val="bottom"/>
            <w:tcBorders>
              <w:bottom w:val="single" w:sz="8" w:color="029C93"/>
            </w:tcBorders>
            <w:shd w:val="clear" w:color="auto" w:fill="D149D3"/>
          </w:tcPr>
          <w:p>
            <w:pPr>
              <w:spacing w:after="0"/>
              <w:rPr>
                <w:sz w:val="6"/>
                <w:szCs w:val="6"/>
                <w:color w:val="auto"/>
              </w:rPr>
            </w:pPr>
          </w:p>
        </w:tc>
        <w:tc>
          <w:tcPr>
            <w:tcW w:w="900" w:type="dxa"/>
            <w:vAlign w:val="bottom"/>
            <w:tcBorders>
              <w:bottom w:val="single" w:sz="8" w:color="029C93"/>
            </w:tcBorders>
            <w:shd w:val="clear" w:color="auto" w:fill="DF86E2"/>
          </w:tcPr>
          <w:p>
            <w:pPr>
              <w:spacing w:after="0"/>
              <w:rPr>
                <w:sz w:val="6"/>
                <w:szCs w:val="6"/>
                <w:color w:val="auto"/>
              </w:rPr>
            </w:pPr>
          </w:p>
        </w:tc>
        <w:tc>
          <w:tcPr>
            <w:tcW w:w="460" w:type="dxa"/>
            <w:vAlign w:val="bottom"/>
            <w:tcBorders>
              <w:bottom w:val="single" w:sz="8" w:color="029C93"/>
            </w:tcBorders>
            <w:shd w:val="clear" w:color="auto" w:fill="EDC4F0"/>
          </w:tcPr>
          <w:p>
            <w:pPr>
              <w:spacing w:after="0"/>
              <w:rPr>
                <w:sz w:val="6"/>
                <w:szCs w:val="6"/>
                <w:color w:val="auto"/>
              </w:rPr>
            </w:pPr>
          </w:p>
        </w:tc>
        <w:tc>
          <w:tcPr>
            <w:tcW w:w="460" w:type="dxa"/>
            <w:vAlign w:val="bottom"/>
            <w:tcBorders>
              <w:bottom w:val="single" w:sz="8" w:color="029C93"/>
            </w:tcBorders>
            <w:shd w:val="clear" w:color="auto" w:fill="EDC4F0"/>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60"/>
              <w:spacing w:after="0"/>
              <w:rPr>
                <w:sz w:val="20"/>
                <w:szCs w:val="20"/>
                <w:color w:val="auto"/>
              </w:rPr>
            </w:pPr>
            <w:r>
              <w:rPr>
                <w:rFonts w:ascii="Arial" w:cs="Arial" w:eastAsia="Arial" w:hAnsi="Arial"/>
                <w:sz w:val="9"/>
                <w:szCs w:val="9"/>
                <w:b w:val="1"/>
                <w:bCs w:val="1"/>
                <w:color w:val="auto"/>
              </w:rPr>
              <w:t>Talquetamab</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9"/>
                <w:szCs w:val="9"/>
                <w:color w:val="auto"/>
                <w:w w:val="97"/>
              </w:rPr>
              <w:t>DuoBody</w:t>
            </w:r>
          </w:p>
        </w:tc>
        <w:tc>
          <w:tcPr>
            <w:tcW w:w="140" w:type="dxa"/>
            <w:vAlign w:val="bottom"/>
          </w:tcPr>
          <w:p>
            <w:pPr>
              <w:spacing w:after="0"/>
              <w:rPr>
                <w:sz w:val="13"/>
                <w:szCs w:val="13"/>
                <w:color w:val="auto"/>
              </w:rPr>
            </w:pPr>
          </w:p>
        </w:tc>
        <w:tc>
          <w:tcPr>
            <w:tcW w:w="1240" w:type="dxa"/>
            <w:vAlign w:val="bottom"/>
          </w:tcPr>
          <w:p>
            <w:pPr>
              <w:ind w:left="80"/>
              <w:spacing w:after="0"/>
              <w:rPr>
                <w:sz w:val="20"/>
                <w:szCs w:val="20"/>
                <w:color w:val="auto"/>
              </w:rPr>
            </w:pPr>
            <w:r>
              <w:rPr>
                <w:rFonts w:ascii="Arial" w:cs="Arial" w:eastAsia="Arial" w:hAnsi="Arial"/>
                <w:sz w:val="9"/>
                <w:szCs w:val="9"/>
                <w:color w:val="auto"/>
              </w:rPr>
              <w:t>J&amp;J</w:t>
            </w:r>
          </w:p>
        </w:tc>
        <w:tc>
          <w:tcPr>
            <w:tcW w:w="140" w:type="dxa"/>
            <w:vAlign w:val="bottom"/>
          </w:tcPr>
          <w:p>
            <w:pPr>
              <w:spacing w:after="0"/>
              <w:rPr>
                <w:sz w:val="13"/>
                <w:szCs w:val="13"/>
                <w:color w:val="auto"/>
              </w:rPr>
            </w:pPr>
          </w:p>
        </w:tc>
        <w:tc>
          <w:tcPr>
            <w:tcW w:w="1840" w:type="dxa"/>
            <w:vAlign w:val="bottom"/>
            <w:gridSpan w:val="2"/>
          </w:tcPr>
          <w:p>
            <w:pPr>
              <w:ind w:left="60"/>
              <w:spacing w:after="0"/>
              <w:rPr>
                <w:sz w:val="20"/>
                <w:szCs w:val="20"/>
                <w:color w:val="auto"/>
              </w:rPr>
            </w:pPr>
            <w:r>
              <w:rPr>
                <w:rFonts w:ascii="Arial" w:cs="Arial" w:eastAsia="Arial" w:hAnsi="Arial"/>
                <w:sz w:val="9"/>
                <w:szCs w:val="9"/>
                <w:color w:val="auto"/>
              </w:rPr>
              <w:t>Multiple myeloma</w:t>
            </w:r>
          </w:p>
        </w:tc>
        <w:tc>
          <w:tcPr>
            <w:tcW w:w="900" w:type="dxa"/>
            <w:vAlign w:val="bottom"/>
            <w:tcBorders>
              <w:bottom w:val="single" w:sz="8" w:color="691A6B"/>
            </w:tcBorders>
            <w:shd w:val="clear" w:color="auto" w:fill="691A6B"/>
          </w:tcPr>
          <w:p>
            <w:pPr>
              <w:spacing w:after="0"/>
              <w:rPr>
                <w:sz w:val="13"/>
                <w:szCs w:val="13"/>
                <w:color w:val="auto"/>
              </w:rPr>
            </w:pPr>
          </w:p>
        </w:tc>
        <w:tc>
          <w:tcPr>
            <w:tcW w:w="880" w:type="dxa"/>
            <w:vAlign w:val="bottom"/>
            <w:tcBorders>
              <w:bottom w:val="single" w:sz="8" w:color="D149D3"/>
            </w:tcBorders>
            <w:shd w:val="clear" w:color="auto" w:fill="D149D3"/>
          </w:tcPr>
          <w:p>
            <w:pPr>
              <w:spacing w:after="0"/>
              <w:rPr>
                <w:sz w:val="13"/>
                <w:szCs w:val="13"/>
                <w:color w:val="auto"/>
              </w:rPr>
            </w:pPr>
          </w:p>
        </w:tc>
        <w:tc>
          <w:tcPr>
            <w:tcW w:w="900" w:type="dxa"/>
            <w:vAlign w:val="bottom"/>
            <w:tcBorders>
              <w:bottom w:val="single" w:sz="8" w:color="DF86E2"/>
            </w:tcBorders>
            <w:shd w:val="clear" w:color="auto" w:fill="DF86E2"/>
          </w:tcPr>
          <w:p>
            <w:pPr>
              <w:spacing w:after="0"/>
              <w:rPr>
                <w:sz w:val="13"/>
                <w:szCs w:val="13"/>
                <w:color w:val="auto"/>
              </w:rPr>
            </w:pPr>
          </w:p>
        </w:tc>
        <w:tc>
          <w:tcPr>
            <w:tcW w:w="460" w:type="dxa"/>
            <w:vAlign w:val="bottom"/>
            <w:tcBorders>
              <w:bottom w:val="single" w:sz="8" w:color="EDC4F0"/>
            </w:tcBorders>
            <w:shd w:val="clear" w:color="auto" w:fill="EDC4F0"/>
          </w:tcPr>
          <w:p>
            <w:pPr>
              <w:spacing w:after="0"/>
              <w:rPr>
                <w:sz w:val="13"/>
                <w:szCs w:val="13"/>
                <w:color w:val="auto"/>
              </w:rPr>
            </w:pPr>
          </w:p>
        </w:tc>
        <w:tc>
          <w:tcPr>
            <w:tcW w:w="460" w:type="dxa"/>
            <w:vAlign w:val="bottom"/>
            <w:tcBorders>
              <w:bottom w:val="single" w:sz="8" w:color="EDC4F0"/>
            </w:tcBorders>
            <w:shd w:val="clear" w:color="auto" w:fill="EDC4F0"/>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180" w:type="dxa"/>
            <w:vAlign w:val="bottom"/>
            <w:tcBorders>
              <w:top w:val="single" w:sz="8" w:color="029C93"/>
            </w:tcBorders>
          </w:tcPr>
          <w:p>
            <w:pPr>
              <w:ind w:left="60"/>
              <w:spacing w:after="0"/>
              <w:rPr>
                <w:sz w:val="20"/>
                <w:szCs w:val="20"/>
                <w:color w:val="auto"/>
              </w:rPr>
            </w:pPr>
            <w:r>
              <w:rPr>
                <w:rFonts w:ascii="Arial" w:cs="Arial" w:eastAsia="Arial" w:hAnsi="Arial"/>
                <w:sz w:val="9"/>
                <w:szCs w:val="9"/>
                <w:b w:val="1"/>
                <w:bCs w:val="1"/>
                <w:color w:val="auto"/>
              </w:rPr>
              <w:t>Amlenetug</w:t>
            </w:r>
          </w:p>
        </w:tc>
        <w:tc>
          <w:tcPr>
            <w:tcW w:w="160" w:type="dxa"/>
            <w:vAlign w:val="bottom"/>
          </w:tcPr>
          <w:p>
            <w:pPr>
              <w:spacing w:after="0"/>
              <w:rPr>
                <w:sz w:val="10"/>
                <w:szCs w:val="10"/>
                <w:color w:val="auto"/>
              </w:rPr>
            </w:pPr>
          </w:p>
        </w:tc>
        <w:tc>
          <w:tcPr>
            <w:tcW w:w="880" w:type="dxa"/>
            <w:vAlign w:val="bottom"/>
            <w:tcBorders>
              <w:top w:val="single" w:sz="8" w:color="029C93"/>
            </w:tcBorders>
          </w:tcPr>
          <w:p>
            <w:pPr>
              <w:jc w:val="center"/>
              <w:spacing w:after="0"/>
              <w:rPr>
                <w:sz w:val="20"/>
                <w:szCs w:val="20"/>
                <w:color w:val="auto"/>
              </w:rPr>
            </w:pPr>
            <w:r>
              <w:rPr>
                <w:rFonts w:ascii="Arial" w:cs="Arial" w:eastAsia="Arial" w:hAnsi="Arial"/>
                <w:sz w:val="9"/>
                <w:szCs w:val="9"/>
                <w:color w:val="auto"/>
              </w:rPr>
              <w:t>UltiMAb</w:t>
            </w:r>
          </w:p>
        </w:tc>
        <w:tc>
          <w:tcPr>
            <w:tcW w:w="140" w:type="dxa"/>
            <w:vAlign w:val="bottom"/>
          </w:tcPr>
          <w:p>
            <w:pPr>
              <w:spacing w:after="0"/>
              <w:rPr>
                <w:sz w:val="10"/>
                <w:szCs w:val="10"/>
                <w:color w:val="auto"/>
              </w:rPr>
            </w:pPr>
          </w:p>
        </w:tc>
        <w:tc>
          <w:tcPr>
            <w:tcW w:w="1240" w:type="dxa"/>
            <w:vAlign w:val="bottom"/>
            <w:tcBorders>
              <w:top w:val="single" w:sz="8" w:color="029C93"/>
            </w:tcBorders>
          </w:tcPr>
          <w:p>
            <w:pPr>
              <w:ind w:left="80"/>
              <w:spacing w:after="0"/>
              <w:rPr>
                <w:sz w:val="20"/>
                <w:szCs w:val="20"/>
                <w:color w:val="auto"/>
              </w:rPr>
            </w:pPr>
            <w:r>
              <w:rPr>
                <w:rFonts w:ascii="Arial" w:cs="Arial" w:eastAsia="Arial" w:hAnsi="Arial"/>
                <w:sz w:val="9"/>
                <w:szCs w:val="9"/>
                <w:color w:val="auto"/>
              </w:rPr>
              <w:t>Lundbeck</w:t>
            </w:r>
          </w:p>
        </w:tc>
        <w:tc>
          <w:tcPr>
            <w:tcW w:w="140" w:type="dxa"/>
            <w:vAlign w:val="bottom"/>
          </w:tcPr>
          <w:p>
            <w:pPr>
              <w:spacing w:after="0"/>
              <w:rPr>
                <w:sz w:val="10"/>
                <w:szCs w:val="10"/>
                <w:color w:val="auto"/>
              </w:rPr>
            </w:pPr>
          </w:p>
        </w:tc>
        <w:tc>
          <w:tcPr>
            <w:tcW w:w="1840" w:type="dxa"/>
            <w:vAlign w:val="bottom"/>
            <w:tcBorders>
              <w:top w:val="single" w:sz="8" w:color="029C93"/>
            </w:tcBorders>
            <w:gridSpan w:val="2"/>
          </w:tcPr>
          <w:p>
            <w:pPr>
              <w:ind w:left="60"/>
              <w:spacing w:after="0"/>
              <w:rPr>
                <w:sz w:val="20"/>
                <w:szCs w:val="20"/>
                <w:color w:val="auto"/>
              </w:rPr>
            </w:pPr>
            <w:r>
              <w:rPr>
                <w:rFonts w:ascii="Arial" w:cs="Arial" w:eastAsia="Arial" w:hAnsi="Arial"/>
                <w:sz w:val="9"/>
                <w:szCs w:val="9"/>
                <w:color w:val="auto"/>
              </w:rPr>
              <w:t>Multiple system atrophy</w:t>
            </w:r>
          </w:p>
        </w:tc>
        <w:tc>
          <w:tcPr>
            <w:tcW w:w="900" w:type="dxa"/>
            <w:vAlign w:val="bottom"/>
            <w:tcBorders>
              <w:top w:val="single" w:sz="8" w:color="029C93"/>
            </w:tcBorders>
            <w:shd w:val="clear" w:color="auto" w:fill="691A6B"/>
          </w:tcPr>
          <w:p>
            <w:pPr>
              <w:spacing w:after="0"/>
              <w:rPr>
                <w:sz w:val="10"/>
                <w:szCs w:val="10"/>
                <w:color w:val="auto"/>
              </w:rPr>
            </w:pPr>
          </w:p>
        </w:tc>
        <w:tc>
          <w:tcPr>
            <w:tcW w:w="880" w:type="dxa"/>
            <w:vAlign w:val="bottom"/>
            <w:tcBorders>
              <w:top w:val="single" w:sz="8" w:color="029C93"/>
            </w:tcBorders>
            <w:shd w:val="clear" w:color="auto" w:fill="D149D3"/>
          </w:tcPr>
          <w:p>
            <w:pPr>
              <w:spacing w:after="0"/>
              <w:rPr>
                <w:sz w:val="10"/>
                <w:szCs w:val="10"/>
                <w:color w:val="auto"/>
              </w:rPr>
            </w:pPr>
          </w:p>
        </w:tc>
        <w:tc>
          <w:tcPr>
            <w:tcW w:w="900" w:type="dxa"/>
            <w:vAlign w:val="bottom"/>
            <w:tcBorders>
              <w:top w:val="single" w:sz="8" w:color="029C93"/>
            </w:tcBorders>
            <w:shd w:val="clear" w:color="auto" w:fill="DF86E2"/>
          </w:tcPr>
          <w:p>
            <w:pPr>
              <w:spacing w:after="0"/>
              <w:rPr>
                <w:sz w:val="10"/>
                <w:szCs w:val="10"/>
                <w:color w:val="auto"/>
              </w:rPr>
            </w:pPr>
          </w:p>
        </w:tc>
        <w:tc>
          <w:tcPr>
            <w:tcW w:w="460" w:type="dxa"/>
            <w:vAlign w:val="bottom"/>
            <w:tcBorders>
              <w:top w:val="single" w:sz="8" w:color="029C93"/>
            </w:tcBorders>
            <w:shd w:val="clear" w:color="auto" w:fill="EDC4F0"/>
          </w:tcPr>
          <w:p>
            <w:pPr>
              <w:spacing w:after="0"/>
              <w:rPr>
                <w:sz w:val="10"/>
                <w:szCs w:val="10"/>
                <w:color w:val="auto"/>
              </w:rPr>
            </w:pPr>
          </w:p>
        </w:tc>
        <w:tc>
          <w:tcPr>
            <w:tcW w:w="460" w:type="dxa"/>
            <w:vAlign w:val="bottom"/>
            <w:tcBorders>
              <w:top w:val="single" w:sz="8" w:color="029C93"/>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180" w:type="dxa"/>
            <w:vAlign w:val="bottom"/>
          </w:tcPr>
          <w:p>
            <w:pPr>
              <w:ind w:left="60"/>
              <w:spacing w:after="0"/>
              <w:rPr>
                <w:sz w:val="20"/>
                <w:szCs w:val="20"/>
                <w:color w:val="auto"/>
              </w:rPr>
            </w:pPr>
            <w:r>
              <w:rPr>
                <w:rFonts w:ascii="Arial" w:cs="Arial" w:eastAsia="Arial" w:hAnsi="Arial"/>
                <w:sz w:val="9"/>
                <w:szCs w:val="9"/>
                <w:color w:val="auto"/>
              </w:rPr>
              <w:t>(Lu AF82422)</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691A6B"/>
            </w:tcBorders>
            <w:shd w:val="clear" w:color="auto" w:fill="691A6B"/>
          </w:tcPr>
          <w:p>
            <w:pPr>
              <w:spacing w:after="0"/>
              <w:rPr>
                <w:sz w:val="12"/>
                <w:szCs w:val="12"/>
                <w:color w:val="auto"/>
              </w:rPr>
            </w:pPr>
          </w:p>
        </w:tc>
        <w:tc>
          <w:tcPr>
            <w:tcW w:w="880" w:type="dxa"/>
            <w:vAlign w:val="bottom"/>
            <w:tcBorders>
              <w:bottom w:val="single" w:sz="8" w:color="D149D3"/>
            </w:tcBorders>
            <w:shd w:val="clear" w:color="auto" w:fill="D149D3"/>
          </w:tcPr>
          <w:p>
            <w:pPr>
              <w:spacing w:after="0"/>
              <w:rPr>
                <w:sz w:val="12"/>
                <w:szCs w:val="12"/>
                <w:color w:val="auto"/>
              </w:rPr>
            </w:pPr>
          </w:p>
        </w:tc>
        <w:tc>
          <w:tcPr>
            <w:tcW w:w="900" w:type="dxa"/>
            <w:vAlign w:val="bottom"/>
            <w:tcBorders>
              <w:bottom w:val="single" w:sz="8" w:color="DF86E2"/>
            </w:tcBorders>
            <w:shd w:val="clear" w:color="auto" w:fill="DF86E2"/>
          </w:tcPr>
          <w:p>
            <w:pPr>
              <w:spacing w:after="0"/>
              <w:rPr>
                <w:sz w:val="12"/>
                <w:szCs w:val="12"/>
                <w:color w:val="auto"/>
              </w:rPr>
            </w:pPr>
          </w:p>
        </w:tc>
        <w:tc>
          <w:tcPr>
            <w:tcW w:w="460" w:type="dxa"/>
            <w:vAlign w:val="bottom"/>
            <w:tcBorders>
              <w:bottom w:val="single" w:sz="8" w:color="EDC4F0"/>
            </w:tcBorders>
            <w:shd w:val="clear" w:color="auto" w:fill="EDC4F0"/>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80" w:type="dxa"/>
            <w:vAlign w:val="bottom"/>
            <w:tcBorders>
              <w:top w:val="single" w:sz="8" w:color="029C93"/>
            </w:tcBorders>
          </w:tcPr>
          <w:p>
            <w:pPr>
              <w:ind w:left="60"/>
              <w:spacing w:after="0"/>
              <w:rPr>
                <w:sz w:val="20"/>
                <w:szCs w:val="20"/>
                <w:color w:val="auto"/>
              </w:rPr>
            </w:pPr>
            <w:r>
              <w:rPr>
                <w:rFonts w:ascii="Arial" w:cs="Arial" w:eastAsia="Arial" w:hAnsi="Arial"/>
                <w:sz w:val="9"/>
                <w:szCs w:val="9"/>
                <w:b w:val="1"/>
                <w:bCs w:val="1"/>
                <w:color w:val="auto"/>
              </w:rPr>
              <w:t>Inclacumab</w:t>
            </w:r>
          </w:p>
        </w:tc>
        <w:tc>
          <w:tcPr>
            <w:tcW w:w="160" w:type="dxa"/>
            <w:vAlign w:val="bottom"/>
          </w:tcPr>
          <w:p>
            <w:pPr>
              <w:spacing w:after="0"/>
              <w:rPr>
                <w:sz w:val="13"/>
                <w:szCs w:val="13"/>
                <w:color w:val="auto"/>
              </w:rPr>
            </w:pPr>
          </w:p>
        </w:tc>
        <w:tc>
          <w:tcPr>
            <w:tcW w:w="880" w:type="dxa"/>
            <w:vAlign w:val="bottom"/>
            <w:tcBorders>
              <w:top w:val="single" w:sz="8" w:color="029C93"/>
            </w:tcBorders>
          </w:tcPr>
          <w:p>
            <w:pPr>
              <w:jc w:val="center"/>
              <w:spacing w:after="0"/>
              <w:rPr>
                <w:sz w:val="20"/>
                <w:szCs w:val="20"/>
                <w:color w:val="auto"/>
              </w:rPr>
            </w:pPr>
            <w:r>
              <w:rPr>
                <w:rFonts w:ascii="Arial" w:cs="Arial" w:eastAsia="Arial" w:hAnsi="Arial"/>
                <w:sz w:val="9"/>
                <w:szCs w:val="9"/>
                <w:color w:val="auto"/>
              </w:rPr>
              <w:t>UltiMAb</w:t>
            </w:r>
          </w:p>
        </w:tc>
        <w:tc>
          <w:tcPr>
            <w:tcW w:w="140" w:type="dxa"/>
            <w:vAlign w:val="bottom"/>
          </w:tcPr>
          <w:p>
            <w:pPr>
              <w:spacing w:after="0"/>
              <w:rPr>
                <w:sz w:val="13"/>
                <w:szCs w:val="13"/>
                <w:color w:val="auto"/>
              </w:rPr>
            </w:pPr>
          </w:p>
        </w:tc>
        <w:tc>
          <w:tcPr>
            <w:tcW w:w="1240" w:type="dxa"/>
            <w:vAlign w:val="bottom"/>
            <w:tcBorders>
              <w:top w:val="single" w:sz="8" w:color="029C93"/>
            </w:tcBorders>
          </w:tcPr>
          <w:p>
            <w:pPr>
              <w:ind w:left="80"/>
              <w:spacing w:after="0"/>
              <w:rPr>
                <w:sz w:val="20"/>
                <w:szCs w:val="20"/>
                <w:color w:val="auto"/>
              </w:rPr>
            </w:pPr>
            <w:r>
              <w:rPr>
                <w:rFonts w:ascii="Arial" w:cs="Arial" w:eastAsia="Arial" w:hAnsi="Arial"/>
                <w:sz w:val="9"/>
                <w:szCs w:val="9"/>
                <w:color w:val="auto"/>
              </w:rPr>
              <w:t>Pfizer</w:t>
            </w:r>
          </w:p>
        </w:tc>
        <w:tc>
          <w:tcPr>
            <w:tcW w:w="140" w:type="dxa"/>
            <w:vAlign w:val="bottom"/>
          </w:tcPr>
          <w:p>
            <w:pPr>
              <w:spacing w:after="0"/>
              <w:rPr>
                <w:sz w:val="13"/>
                <w:szCs w:val="13"/>
                <w:color w:val="auto"/>
              </w:rPr>
            </w:pPr>
          </w:p>
        </w:tc>
        <w:tc>
          <w:tcPr>
            <w:tcW w:w="1840" w:type="dxa"/>
            <w:vAlign w:val="bottom"/>
            <w:tcBorders>
              <w:top w:val="single" w:sz="8" w:color="029C93"/>
            </w:tcBorders>
            <w:gridSpan w:val="2"/>
          </w:tcPr>
          <w:p>
            <w:pPr>
              <w:ind w:left="60"/>
              <w:spacing w:after="0"/>
              <w:rPr>
                <w:sz w:val="20"/>
                <w:szCs w:val="20"/>
                <w:color w:val="auto"/>
              </w:rPr>
            </w:pPr>
            <w:r>
              <w:rPr>
                <w:rFonts w:ascii="Arial" w:cs="Arial" w:eastAsia="Arial" w:hAnsi="Arial"/>
                <w:sz w:val="9"/>
                <w:szCs w:val="9"/>
                <w:color w:val="auto"/>
              </w:rPr>
              <w:t>Sickle cell disease</w:t>
            </w:r>
          </w:p>
        </w:tc>
        <w:tc>
          <w:tcPr>
            <w:tcW w:w="900" w:type="dxa"/>
            <w:vAlign w:val="bottom"/>
            <w:tcBorders>
              <w:top w:val="single" w:sz="8" w:color="029C93"/>
              <w:bottom w:val="single" w:sz="8" w:color="691A6B"/>
            </w:tcBorders>
            <w:shd w:val="clear" w:color="auto" w:fill="691A6B"/>
          </w:tcPr>
          <w:p>
            <w:pPr>
              <w:spacing w:after="0"/>
              <w:rPr>
                <w:sz w:val="13"/>
                <w:szCs w:val="13"/>
                <w:color w:val="auto"/>
              </w:rPr>
            </w:pPr>
          </w:p>
        </w:tc>
        <w:tc>
          <w:tcPr>
            <w:tcW w:w="880" w:type="dxa"/>
            <w:vAlign w:val="bottom"/>
            <w:tcBorders>
              <w:top w:val="single" w:sz="8" w:color="029C93"/>
              <w:bottom w:val="single" w:sz="8" w:color="D149D3"/>
            </w:tcBorders>
            <w:shd w:val="clear" w:color="auto" w:fill="D149D3"/>
          </w:tcPr>
          <w:p>
            <w:pPr>
              <w:spacing w:after="0"/>
              <w:rPr>
                <w:sz w:val="13"/>
                <w:szCs w:val="13"/>
                <w:color w:val="auto"/>
              </w:rPr>
            </w:pPr>
          </w:p>
        </w:tc>
        <w:tc>
          <w:tcPr>
            <w:tcW w:w="900" w:type="dxa"/>
            <w:vAlign w:val="bottom"/>
            <w:tcBorders>
              <w:top w:val="single" w:sz="8" w:color="029C93"/>
              <w:bottom w:val="single" w:sz="8" w:color="DF86E2"/>
            </w:tcBorders>
            <w:shd w:val="clear" w:color="auto" w:fill="DF86E2"/>
          </w:tcPr>
          <w:p>
            <w:pPr>
              <w:spacing w:after="0"/>
              <w:rPr>
                <w:sz w:val="13"/>
                <w:szCs w:val="13"/>
                <w:color w:val="auto"/>
              </w:rPr>
            </w:pPr>
          </w:p>
        </w:tc>
        <w:tc>
          <w:tcPr>
            <w:tcW w:w="460" w:type="dxa"/>
            <w:vAlign w:val="bottom"/>
            <w:tcBorders>
              <w:top w:val="single" w:sz="8" w:color="029C93"/>
              <w:bottom w:val="single" w:sz="8" w:color="EDC4F0"/>
            </w:tcBorders>
            <w:shd w:val="clear" w:color="auto" w:fill="EDC4F0"/>
          </w:tcPr>
          <w:p>
            <w:pPr>
              <w:spacing w:after="0"/>
              <w:rPr>
                <w:sz w:val="13"/>
                <w:szCs w:val="13"/>
                <w:color w:val="auto"/>
              </w:rPr>
            </w:pPr>
          </w:p>
        </w:tc>
        <w:tc>
          <w:tcPr>
            <w:tcW w:w="460" w:type="dxa"/>
            <w:vAlign w:val="bottom"/>
            <w:tcBorders>
              <w:top w:val="single" w:sz="8" w:color="029C93"/>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80" w:type="dxa"/>
            <w:vAlign w:val="bottom"/>
            <w:tcBorders>
              <w:top w:val="single" w:sz="8" w:color="029C93"/>
            </w:tcBorders>
          </w:tcPr>
          <w:p>
            <w:pPr>
              <w:ind w:left="60"/>
              <w:spacing w:after="0"/>
              <w:rPr>
                <w:sz w:val="20"/>
                <w:szCs w:val="20"/>
                <w:color w:val="auto"/>
              </w:rPr>
            </w:pPr>
            <w:r>
              <w:rPr>
                <w:rFonts w:ascii="Arial" w:cs="Arial" w:eastAsia="Arial" w:hAnsi="Arial"/>
                <w:sz w:val="9"/>
                <w:szCs w:val="9"/>
                <w:b w:val="1"/>
                <w:bCs w:val="1"/>
                <w:color w:val="auto"/>
              </w:rPr>
              <w:t>Mim8</w:t>
            </w:r>
          </w:p>
        </w:tc>
        <w:tc>
          <w:tcPr>
            <w:tcW w:w="160" w:type="dxa"/>
            <w:vAlign w:val="bottom"/>
          </w:tcPr>
          <w:p>
            <w:pPr>
              <w:spacing w:after="0"/>
              <w:rPr>
                <w:sz w:val="11"/>
                <w:szCs w:val="11"/>
                <w:color w:val="auto"/>
              </w:rPr>
            </w:pPr>
          </w:p>
        </w:tc>
        <w:tc>
          <w:tcPr>
            <w:tcW w:w="880" w:type="dxa"/>
            <w:vAlign w:val="bottom"/>
            <w:tcBorders>
              <w:top w:val="single" w:sz="8" w:color="029C93"/>
            </w:tcBorders>
          </w:tcPr>
          <w:p>
            <w:pPr>
              <w:jc w:val="center"/>
              <w:spacing w:after="0"/>
              <w:rPr>
                <w:sz w:val="20"/>
                <w:szCs w:val="20"/>
                <w:color w:val="auto"/>
              </w:rPr>
            </w:pPr>
            <w:r>
              <w:rPr>
                <w:rFonts w:ascii="Arial" w:cs="Arial" w:eastAsia="Arial" w:hAnsi="Arial"/>
                <w:sz w:val="9"/>
                <w:szCs w:val="9"/>
                <w:color w:val="auto"/>
                <w:w w:val="97"/>
              </w:rPr>
              <w:t>DuoBody</w:t>
            </w:r>
          </w:p>
        </w:tc>
        <w:tc>
          <w:tcPr>
            <w:tcW w:w="140" w:type="dxa"/>
            <w:vAlign w:val="bottom"/>
          </w:tcPr>
          <w:p>
            <w:pPr>
              <w:spacing w:after="0"/>
              <w:rPr>
                <w:sz w:val="11"/>
                <w:szCs w:val="11"/>
                <w:color w:val="auto"/>
              </w:rPr>
            </w:pPr>
          </w:p>
        </w:tc>
        <w:tc>
          <w:tcPr>
            <w:tcW w:w="1240" w:type="dxa"/>
            <w:vAlign w:val="bottom"/>
            <w:tcBorders>
              <w:top w:val="single" w:sz="8" w:color="029C93"/>
            </w:tcBorders>
          </w:tcPr>
          <w:p>
            <w:pPr>
              <w:ind w:left="80"/>
              <w:spacing w:after="0"/>
              <w:rPr>
                <w:sz w:val="20"/>
                <w:szCs w:val="20"/>
                <w:color w:val="auto"/>
              </w:rPr>
            </w:pPr>
            <w:r>
              <w:rPr>
                <w:rFonts w:ascii="Arial" w:cs="Arial" w:eastAsia="Arial" w:hAnsi="Arial"/>
                <w:sz w:val="9"/>
                <w:szCs w:val="9"/>
                <w:color w:val="auto"/>
              </w:rPr>
              <w:t>Novo Nordisk</w:t>
            </w:r>
          </w:p>
        </w:tc>
        <w:tc>
          <w:tcPr>
            <w:tcW w:w="140" w:type="dxa"/>
            <w:vAlign w:val="bottom"/>
          </w:tcPr>
          <w:p>
            <w:pPr>
              <w:spacing w:after="0"/>
              <w:rPr>
                <w:sz w:val="11"/>
                <w:szCs w:val="11"/>
                <w:color w:val="auto"/>
              </w:rPr>
            </w:pPr>
          </w:p>
        </w:tc>
        <w:tc>
          <w:tcPr>
            <w:tcW w:w="1840" w:type="dxa"/>
            <w:vAlign w:val="bottom"/>
            <w:tcBorders>
              <w:top w:val="single" w:sz="8" w:color="029C93"/>
            </w:tcBorders>
            <w:gridSpan w:val="2"/>
          </w:tcPr>
          <w:p>
            <w:pPr>
              <w:ind w:left="60"/>
              <w:spacing w:after="0"/>
              <w:rPr>
                <w:sz w:val="20"/>
                <w:szCs w:val="20"/>
                <w:color w:val="auto"/>
              </w:rPr>
            </w:pPr>
            <w:r>
              <w:rPr>
                <w:rFonts w:ascii="Arial" w:cs="Arial" w:eastAsia="Arial" w:hAnsi="Arial"/>
                <w:sz w:val="9"/>
                <w:szCs w:val="9"/>
                <w:color w:val="auto"/>
              </w:rPr>
              <w:t>Hemophilia A</w:t>
            </w:r>
          </w:p>
        </w:tc>
        <w:tc>
          <w:tcPr>
            <w:tcW w:w="900" w:type="dxa"/>
            <w:vAlign w:val="bottom"/>
            <w:tcBorders>
              <w:top w:val="single" w:sz="8" w:color="029C93"/>
              <w:bottom w:val="single" w:sz="8" w:color="691A6B"/>
            </w:tcBorders>
            <w:shd w:val="clear" w:color="auto" w:fill="691A6B"/>
          </w:tcPr>
          <w:p>
            <w:pPr>
              <w:spacing w:after="0"/>
              <w:rPr>
                <w:sz w:val="11"/>
                <w:szCs w:val="11"/>
                <w:color w:val="auto"/>
              </w:rPr>
            </w:pPr>
          </w:p>
        </w:tc>
        <w:tc>
          <w:tcPr>
            <w:tcW w:w="880" w:type="dxa"/>
            <w:vAlign w:val="bottom"/>
            <w:tcBorders>
              <w:top w:val="single" w:sz="8" w:color="029C93"/>
              <w:bottom w:val="single" w:sz="8" w:color="D149D3"/>
            </w:tcBorders>
            <w:shd w:val="clear" w:color="auto" w:fill="D149D3"/>
          </w:tcPr>
          <w:p>
            <w:pPr>
              <w:spacing w:after="0"/>
              <w:rPr>
                <w:sz w:val="11"/>
                <w:szCs w:val="11"/>
                <w:color w:val="auto"/>
              </w:rPr>
            </w:pPr>
          </w:p>
        </w:tc>
        <w:tc>
          <w:tcPr>
            <w:tcW w:w="900" w:type="dxa"/>
            <w:vAlign w:val="bottom"/>
            <w:tcBorders>
              <w:top w:val="single" w:sz="8" w:color="029C93"/>
              <w:bottom w:val="single" w:sz="8" w:color="DF86E2"/>
            </w:tcBorders>
            <w:shd w:val="clear" w:color="auto" w:fill="DF86E2"/>
          </w:tcPr>
          <w:p>
            <w:pPr>
              <w:spacing w:after="0"/>
              <w:rPr>
                <w:sz w:val="11"/>
                <w:szCs w:val="11"/>
                <w:color w:val="auto"/>
              </w:rPr>
            </w:pPr>
          </w:p>
        </w:tc>
        <w:tc>
          <w:tcPr>
            <w:tcW w:w="460" w:type="dxa"/>
            <w:vAlign w:val="bottom"/>
            <w:tcBorders>
              <w:top w:val="single" w:sz="8" w:color="029C93"/>
              <w:bottom w:val="single" w:sz="8" w:color="EDC4F0"/>
            </w:tcBorders>
            <w:shd w:val="clear" w:color="auto" w:fill="EDC4F0"/>
          </w:tcPr>
          <w:p>
            <w:pPr>
              <w:spacing w:after="0"/>
              <w:rPr>
                <w:sz w:val="11"/>
                <w:szCs w:val="11"/>
                <w:color w:val="auto"/>
              </w:rPr>
            </w:pPr>
          </w:p>
        </w:tc>
        <w:tc>
          <w:tcPr>
            <w:tcW w:w="460" w:type="dxa"/>
            <w:vAlign w:val="bottom"/>
            <w:tcBorders>
              <w:top w:val="single" w:sz="8" w:color="029C93"/>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29C9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29C9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shd w:val="clear" w:color="auto" w:fill="029C9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shd w:val="clear" w:color="auto" w:fill="029C93"/>
          </w:tcPr>
          <w:p>
            <w:pPr>
              <w:spacing w:after="0" w:line="20" w:lineRule="exact"/>
              <w:rPr>
                <w:sz w:val="1"/>
                <w:szCs w:val="1"/>
                <w:color w:val="auto"/>
              </w:rPr>
            </w:pPr>
          </w:p>
        </w:tc>
        <w:tc>
          <w:tcPr>
            <w:tcW w:w="20" w:type="dxa"/>
            <w:vAlign w:val="bottom"/>
            <w:shd w:val="clear" w:color="auto" w:fill="029C93"/>
          </w:tcPr>
          <w:p>
            <w:pPr>
              <w:spacing w:after="0" w:line="20" w:lineRule="exact"/>
              <w:rPr>
                <w:sz w:val="1"/>
                <w:szCs w:val="1"/>
                <w:color w:val="auto"/>
              </w:rPr>
            </w:pPr>
          </w:p>
        </w:tc>
        <w:tc>
          <w:tcPr>
            <w:tcW w:w="900" w:type="dxa"/>
            <w:vAlign w:val="bottom"/>
            <w:shd w:val="clear" w:color="auto" w:fill="029C93"/>
          </w:tcPr>
          <w:p>
            <w:pPr>
              <w:spacing w:after="0" w:line="20" w:lineRule="exact"/>
              <w:rPr>
                <w:sz w:val="1"/>
                <w:szCs w:val="1"/>
                <w:color w:val="auto"/>
              </w:rPr>
            </w:pPr>
          </w:p>
        </w:tc>
        <w:tc>
          <w:tcPr>
            <w:tcW w:w="880" w:type="dxa"/>
            <w:vAlign w:val="bottom"/>
            <w:shd w:val="clear" w:color="auto" w:fill="029C93"/>
          </w:tcPr>
          <w:p>
            <w:pPr>
              <w:spacing w:after="0" w:line="20" w:lineRule="exact"/>
              <w:rPr>
                <w:sz w:val="1"/>
                <w:szCs w:val="1"/>
                <w:color w:val="auto"/>
              </w:rPr>
            </w:pPr>
          </w:p>
        </w:tc>
        <w:tc>
          <w:tcPr>
            <w:tcW w:w="900" w:type="dxa"/>
            <w:vAlign w:val="bottom"/>
            <w:shd w:val="clear" w:color="auto" w:fill="029C93"/>
          </w:tcPr>
          <w:p>
            <w:pPr>
              <w:spacing w:after="0" w:line="20" w:lineRule="exact"/>
              <w:rPr>
                <w:sz w:val="1"/>
                <w:szCs w:val="1"/>
                <w:color w:val="auto"/>
              </w:rPr>
            </w:pPr>
          </w:p>
        </w:tc>
        <w:tc>
          <w:tcPr>
            <w:tcW w:w="460" w:type="dxa"/>
            <w:vAlign w:val="bottom"/>
            <w:shd w:val="clear" w:color="auto" w:fill="029C93"/>
          </w:tcPr>
          <w:p>
            <w:pPr>
              <w:spacing w:after="0" w:line="20" w:lineRule="exact"/>
              <w:rPr>
                <w:sz w:val="1"/>
                <w:szCs w:val="1"/>
                <w:color w:val="auto"/>
              </w:rPr>
            </w:pPr>
          </w:p>
        </w:tc>
        <w:tc>
          <w:tcPr>
            <w:tcW w:w="460" w:type="dxa"/>
            <w:vAlign w:val="bottom"/>
            <w:shd w:val="clear" w:color="auto" w:fill="029C9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-1464945</wp:posOffset>
            </wp:positionV>
            <wp:extent cx="3446145" cy="1465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46145" cy="146558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*UltiMAb transgenic mouse technology licensed from Medarex, a wholly owned subsidiary of Bristol-Myers Squibb.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DARZALEX (daratumumab) – Redefining the treatment of multiple myeloma</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First-in-class human CD38 monoclonal antibody</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Developed and commercialized by J&amp;J under an exclusive worldwide license from Genmab</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Intravenous (IV) formulation approved in combination with other therapies and as monotherapy for certain multiple myeloma indications</w:t>
      </w:r>
    </w:p>
    <w:p>
      <w:pPr>
        <w:ind w:left="660" w:right="1100" w:hanging="328"/>
        <w:spacing w:after="0" w:line="26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First and only SC CD38-directed antibody approved for the treatment of certain multiple myeloma indications, known as DARZALEX </w:t>
      </w:r>
      <w:r>
        <w:rPr>
          <w:rFonts w:ascii="Arial" w:cs="Arial" w:eastAsia="Arial" w:hAnsi="Arial"/>
          <w:sz w:val="18"/>
          <w:szCs w:val="18"/>
          <w:i w:val="1"/>
          <w:iCs w:val="1"/>
          <w:color w:val="auto"/>
        </w:rPr>
        <w:t>FASPRO</w:t>
      </w:r>
      <w:r>
        <w:rPr>
          <w:rFonts w:ascii="Arial" w:cs="Arial" w:eastAsia="Arial" w:hAnsi="Arial"/>
          <w:sz w:val="18"/>
          <w:szCs w:val="18"/>
          <w:color w:val="auto"/>
        </w:rPr>
        <w:t xml:space="preserve"> in the U.S., and DARZALEX SC in Europe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12/44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 daratumumab is the first and only approved therapy for AL amyloidosis in the U.S., Europe, and Japan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sales of DARZALEX by J&amp;J were $6,776 million in the first six months of 2025</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Daratumumab is a human monoclonal antibody that binds with high affinity to the CD38 molecule, which is highly expressed on the surface of multiple myeloma cells and is also expressed by AL amyloidosis plasma cells. Genmab used technology licensed from Medarex to generate the CD38 antibody. Daratumumab is being developed and commercialized by J&amp;J under an exclusive worldwide license from Genmab. Under the terms of the agreement, Genmab receives royalties between 12% and 20% with J&amp;J reducing such royalty payments for Genmab’s share of J&amp;J’s royalty payments made to Halozyme; payments are further reduced in countries and territories where there are no relevant patents. Daratumumab (marketed as DARZALEX for IV administration and as DARZALEX </w:t>
      </w:r>
      <w:r>
        <w:rPr>
          <w:rFonts w:ascii="Arial" w:cs="Arial" w:eastAsia="Arial" w:hAnsi="Arial"/>
          <w:sz w:val="17"/>
          <w:szCs w:val="17"/>
          <w:i w:val="1"/>
          <w:iCs w:val="1"/>
          <w:color w:val="auto"/>
        </w:rPr>
        <w:t>FASPRO</w:t>
      </w:r>
      <w:r>
        <w:rPr>
          <w:rFonts w:ascii="Arial" w:cs="Arial" w:eastAsia="Arial" w:hAnsi="Arial"/>
          <w:sz w:val="17"/>
          <w:szCs w:val="17"/>
          <w:color w:val="auto"/>
        </w:rPr>
        <w:t xml:space="preserve"> in the U.S. and as DARZALEX SC in Europe for SC administration) is approved in a large number of territories for the treatment of adult patients with certain multiple myeloma indications and is the only approved therapy in the U.S., Europe and Japan for the treatment of adult patients with AL amyloidosis.</w:t>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2025 the Committee for Medicinal Products for Human Use (CHMP) of the European Medicines Agency (EMA) recommended the approval of a new indication for DARZALEX SC as monotherapy for the treatment of adult patients with smoldering multiple myeloma (SMM) at high-risk of developing multiple myeloma. The European Commission subsequently approved this indication in July 2025, making DARZALEX SC the first licensed treatment for patients with high-risk SMM. The CHMP recommendation and approval were supported by data from the Phase 3 AQUILA study (NCT03301220), evaluating the efficacy and safety of fixed-duration monotherapy daratumumab SC compared with active monitoring in those with high-risk SMM. In November 2024, J&amp;J also submitted a sBLA to the FDA seeking approval for daratumumab SC in this indication in the U.S. Please consult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DARZALEX and DARZALEX SC and the U.S. Prescribing Information for </w:t>
      </w:r>
      <w:r>
        <w:rPr>
          <w:rFonts w:ascii="Arial" w:cs="Arial" w:eastAsia="Arial" w:hAnsi="Arial"/>
          <w:sz w:val="18"/>
          <w:szCs w:val="18"/>
          <w:color w:val="029C93"/>
        </w:rPr>
        <w:t>DARZALEX</w:t>
      </w:r>
      <w:r>
        <w:rPr>
          <w:rFonts w:ascii="Arial" w:cs="Arial" w:eastAsia="Arial" w:hAnsi="Arial"/>
          <w:sz w:val="18"/>
          <w:szCs w:val="18"/>
          <w:color w:val="auto"/>
        </w:rPr>
        <w:t xml:space="preserve"> and </w:t>
      </w:r>
      <w:r>
        <w:rPr>
          <w:rFonts w:ascii="Arial" w:cs="Arial" w:eastAsia="Arial" w:hAnsi="Arial"/>
          <w:sz w:val="18"/>
          <w:szCs w:val="18"/>
          <w:color w:val="029C93"/>
        </w:rPr>
        <w:t>DARZALEX</w:t>
      </w:r>
      <w:r>
        <w:rPr>
          <w:rFonts w:ascii="Arial" w:cs="Arial" w:eastAsia="Arial" w:hAnsi="Arial"/>
          <w:sz w:val="18"/>
          <w:szCs w:val="18"/>
          <w:color w:val="auto"/>
        </w:rPr>
        <w:t xml:space="preserve"> </w:t>
      </w:r>
      <w:r>
        <w:rPr>
          <w:rFonts w:ascii="Arial" w:cs="Arial" w:eastAsia="Arial" w:hAnsi="Arial"/>
          <w:sz w:val="18"/>
          <w:szCs w:val="18"/>
          <w:i w:val="1"/>
          <w:iCs w:val="1"/>
          <w:color w:val="029C93"/>
        </w:rPr>
        <w:t>FASPRO</w:t>
      </w:r>
      <w:r>
        <w:rPr>
          <w:rFonts w:ascii="Arial" w:cs="Arial" w:eastAsia="Arial" w:hAnsi="Arial"/>
          <w:sz w:val="18"/>
          <w:szCs w:val="18"/>
          <w:color w:val="auto"/>
        </w:rPr>
        <w:t xml:space="preserve"> for the labeled indication and safety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Kesimpta (ofatumumab) – Approved for the treatment of RMS</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Human CD20 monoclonal antibody developed and commercialized by Novartis under a license agreement with Genmab</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Approved in multiple territories including the U.S., Europe and Japan for the treatment of RMS in adults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First B-cell therapy that can be self-administered by patients using the Sensoready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autoinjector pen</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Ofatumumab is a human monoclonal antibody that targets an epitope on the CD20 molecule encompassing parts of the small and large extracellular loops. Genmab used technology licensed from Medarex to generate the CD20 antibody. Ofatumumab, marketed as Kesimpta, is approved in territories including the U.S., Europe, and Japan for the treatment of certain adult patients with RMS. Kesimpta is the first B-cell therapy that can be self-administered by patients using the Sensoready autoinjector pen, once monthly after starting therapy. Ofatumumab is being developed and marketed worldwide by Novartis under a license agreement between Genmab and Novartis. Under the terms of the agreement, Genmab receives a 10% royalty on net sales of Kesimpta, and Genmab pays a low-single digit royalty to Medarex based on Kesimpta sales.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the labeled indication and safety information for Kesimpta.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TEPEZZA (teprotumumab) – First FDA-approved medicine for the treatment of TED</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Developed and commercialized by Amgen for the treatment of TED</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and only approved medicine for the treatment of TED in the U.S., Japan and Europe</w:t>
      </w:r>
    </w:p>
    <w:p>
      <w:pPr>
        <w:spacing w:after="0" w:line="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Teprotumumab, approved in the U.S., Japan and Europe under the trade name TEPEZZA, is a human monoclonal antibody that targets the Insulin-like Growth Factor 1 Receptor (IGF-1R), a validated target. It is the first and only medicine approved for the treatment of TED. Genmab used technology licensed from Medarex 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13/44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generate the IGF-1R antibody. The antibody was created by Genmab under a collaboration with Roche. Development and commercialization of the product is currently being conducted by Amgen. Under the terms of Genmab’s original agreement with Roche, Genmab receives a mid-single digit royalty on net sales (as defined) of TEPEZZA.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w:t>
      </w:r>
      <w:r>
        <w:rPr>
          <w:rFonts w:ascii="Arial" w:cs="Arial" w:eastAsia="Arial" w:hAnsi="Arial"/>
          <w:sz w:val="18"/>
          <w:szCs w:val="18"/>
          <w:color w:val="auto"/>
        </w:rPr>
        <w:t xml:space="preserve"> </w:t>
      </w:r>
      <w:r>
        <w:rPr>
          <w:rFonts w:ascii="Arial" w:cs="Arial" w:eastAsia="Arial" w:hAnsi="Arial"/>
          <w:sz w:val="18"/>
          <w:szCs w:val="18"/>
          <w:color w:val="029C93"/>
        </w:rPr>
        <w:t xml:space="preserve">Product Characteristics </w:t>
      </w:r>
      <w:r>
        <w:rPr>
          <w:rFonts w:ascii="Arial" w:cs="Arial" w:eastAsia="Arial" w:hAnsi="Arial"/>
          <w:sz w:val="18"/>
          <w:szCs w:val="18"/>
          <w:color w:val="000000"/>
        </w:rPr>
        <w:t>for the labeled indication and safety information for TEPEZZA.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RYBREVANT (amivantamab) – Bispecific antibody approved for the treatment of NSCLC</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 of Genmab and J&amp;J DuoBody research and license agreement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approved medicine created using Genmab’s proprietary DuoBody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the agreement with J&amp;J, Genmab is eligible to receive milestones and receives royalties on net sales of RYBREVANT</w:t>
      </w:r>
    </w:p>
    <w:p>
      <w:pPr>
        <w:spacing w:after="0" w:line="18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In July 2012, and as amended in December 2013, Genmab entered into a collaboration with J&amp;J to create and develop bispecific antibodies using Genmab’s DuoBody technology platform. One of these, J&amp;J’s amivantamab, is a fully human bispecific antibody that targets EGFR and cMet, two validated cancer targets. The two antibody libraries used to produce amivantamab were both generated by Genmab. In collaboration with J&amp;J, the antibody pair used to create amivantamab was co-discovered. Amivantamab, marketed as RYBREVANT, is approved in certain territories for the treatment of certain adult patients with NSCLC. J&amp;J is responsible for the development and commercialization of amivantamab. Under the terms of the agreement, Genmab receives royalties between 8% and 10% on net sales of RYBREVANT with J&amp;J reducing such royalty payments for Genmab’s share of J&amp;J’s royalty payments made to Halozyme; payments are further reduced in countries and territories where there are no relevant patents. Genmab pays a royalty to Medarex based on RYBREVANT net sales.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RYBREVANT for the labeled indication and safety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TECVAYLI (teclistamab) – Bispecific antibody approved for the treatment of relapsed and refractory multiple myeloma</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 of Genmab and J&amp;J DuoBody research and license agreement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Second approved medicine created using Genmab’s proprietary DuoBody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agreement with J&amp;J, Genmab is eligible to receive milestones and receives royalties on net sales of TECVAYLI</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July 2012, and as amended in December 2013, Genmab entered into a collaboration with J&amp;J to create and develop bispecific antibodies using Genmab’s DuoBody technology platform. One of the products subsequently discovered and developed by J&amp;J is teclistamab, a bispecific antibody that targets CD3, which is expressed on T-cells, and B-cell maturation antigen (BCMA), which is expressed in mature B lymphocytes. Teclistamab, marketed as TECVAYLI, is approved in certain territories for the treatment of certain adult patients with relapsed or refractory multiple myeloma. J&amp;J is responsible for the development and commercialization of TECVAYLI. Under our agreement with J&amp;J, Genmab is eligible to receive milestones and receives a mid-single digit royalty on net sales of TECVAYLI subject to a reduction of such royalty payments in countries and territories where there are no relevant patents, among other reductions. Please consult the </w:t>
      </w:r>
      <w:r>
        <w:rPr>
          <w:rFonts w:ascii="Arial" w:cs="Arial" w:eastAsia="Arial" w:hAnsi="Arial"/>
          <w:sz w:val="18"/>
          <w:szCs w:val="18"/>
          <w:color w:val="029C93"/>
        </w:rPr>
        <w:t>U.S.</w:t>
      </w:r>
      <w:r>
        <w:rPr>
          <w:rFonts w:ascii="Arial" w:cs="Arial" w:eastAsia="Arial" w:hAnsi="Arial"/>
          <w:sz w:val="18"/>
          <w:szCs w:val="18"/>
          <w:color w:val="auto"/>
        </w:rPr>
        <w:t xml:space="preserve"> </w:t>
      </w:r>
      <w:r>
        <w:rPr>
          <w:rFonts w:ascii="Arial" w:cs="Arial" w:eastAsia="Arial" w:hAnsi="Arial"/>
          <w:sz w:val="18"/>
          <w:szCs w:val="18"/>
          <w:color w:val="029C93"/>
        </w:rPr>
        <w:t xml:space="preserve">Prescribing Information </w:t>
      </w:r>
      <w:r>
        <w:rPr>
          <w:rFonts w:ascii="Arial" w:cs="Arial" w:eastAsia="Arial" w:hAnsi="Arial"/>
          <w:sz w:val="18"/>
          <w:szCs w:val="18"/>
          <w:color w:val="000000"/>
        </w:rPr>
        <w:t>and the</w:t>
      </w:r>
      <w:r>
        <w:rPr>
          <w:rFonts w:ascii="Arial" w:cs="Arial" w:eastAsia="Arial" w:hAnsi="Arial"/>
          <w:sz w:val="18"/>
          <w:szCs w:val="18"/>
          <w:color w:val="029C93"/>
        </w:rPr>
        <w:t xml:space="preserve"> European Summary of Product Characteristics </w:t>
      </w:r>
      <w:r>
        <w:rPr>
          <w:rFonts w:ascii="Arial" w:cs="Arial" w:eastAsia="Arial" w:hAnsi="Arial"/>
          <w:sz w:val="18"/>
          <w:szCs w:val="18"/>
          <w:color w:val="000000"/>
        </w:rPr>
        <w:t>for TECVAYLI for the labeled indication and safety</w:t>
      </w:r>
      <w:r>
        <w:rPr>
          <w:rFonts w:ascii="Arial" w:cs="Arial" w:eastAsia="Arial" w:hAnsi="Arial"/>
          <w:sz w:val="18"/>
          <w:szCs w:val="18"/>
          <w:color w:val="029C93"/>
        </w:rPr>
        <w:t xml:space="preserve"> </w:t>
      </w:r>
      <w:r>
        <w:rPr>
          <w:rFonts w:ascii="Arial" w:cs="Arial" w:eastAsia="Arial" w:hAnsi="Arial"/>
          <w:sz w:val="18"/>
          <w:szCs w:val="18"/>
          <w:color w:val="000000"/>
        </w:rPr>
        <w:t>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TALVEY (talquetamab) – Bispecific antibody approved for the treatment of relapsed and refractory multiple myeloma</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 of Genmab and J&amp;J DuoBody research and license agreement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Fourth approved medicine created using Genmab’s proprietary DuoBody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the agreement with J&amp;J, Genmab is eligible to receive milestones and royalties on net sales of TALVEY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14/44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July 2012, and as amended in December 2013, Genmab entered into a collaboration with J&amp;J to create and develop bispecific antibodies using Genmab’s DuoBody technology platform. One of the products subsequently discovered and developed by J&amp;J is talquetamab, a bispecific antibody that targets CD3, which is expressed on T-cells, and G protein-coupled receptor, family C, group 5, member D (GPRC5D), an orphan receptor expressed in malignant plasma cells. Talquetamab, marketed as TALVEY, is approved in certain territories for the treatment of certain adult patients with relapsed or refractory multiple myeloma. J&amp;J is responsible for the development and commercialization of TALVEY. Under our agreement with J&amp;J, Genmab is eligible to receive milestones and receives a mid-single digit royalty on net sales of TALVEY subject to a reduction of such royalty payments in countries and territories where there are no relevant patents, among other reductions. Please consult the </w:t>
      </w:r>
      <w:r>
        <w:rPr>
          <w:rFonts w:ascii="Arial" w:cs="Arial" w:eastAsia="Arial" w:hAnsi="Arial"/>
          <w:sz w:val="18"/>
          <w:szCs w:val="18"/>
          <w:color w:val="029C93"/>
        </w:rPr>
        <w:t>U.S. Prescribing Information</w:t>
      </w:r>
      <w:r>
        <w:rPr>
          <w:rFonts w:ascii="Arial" w:cs="Arial" w:eastAsia="Arial" w:hAnsi="Arial"/>
          <w:sz w:val="18"/>
          <w:szCs w:val="18"/>
          <w:color w:val="auto"/>
        </w:rPr>
        <w:t xml:space="preserve"> and the </w:t>
      </w:r>
      <w:r>
        <w:rPr>
          <w:rFonts w:ascii="Arial" w:cs="Arial" w:eastAsia="Arial" w:hAnsi="Arial"/>
          <w:sz w:val="18"/>
          <w:szCs w:val="18"/>
          <w:color w:val="029C93"/>
        </w:rPr>
        <w:t>European Summary of Product Characteristics</w:t>
      </w:r>
      <w:r>
        <w:rPr>
          <w:rFonts w:ascii="Arial" w:cs="Arial" w:eastAsia="Arial" w:hAnsi="Arial"/>
          <w:sz w:val="18"/>
          <w:szCs w:val="18"/>
          <w:color w:val="auto"/>
        </w:rPr>
        <w:t xml:space="preserve"> for TALVEY for the labeled indication and safety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SIGNIFICANT RISKS AND UNCERTAINTIES</w:t>
      </w:r>
    </w:p>
    <w:p>
      <w:pPr>
        <w:spacing w:after="0" w:line="36"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As a biotech company, Genmab faces a number of risks and uncertainties. These are common for the industry and relate to operations, intellectual property, research and development, commercialization, and financial activities.</w:t>
      </w:r>
    </w:p>
    <w:p>
      <w:pPr>
        <w:spacing w:after="0" w:line="1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Genmab is exposed to increasing risks related to evolving trade policies, including tariffs and other trade restrictions, which may increase costs or create regulatory uncertainty in key markets. In addition, changes made at the FDA may lead to delays in regulatory reviews, which could impact the timing of clinical milestones and product launches.</w:t>
      </w:r>
    </w:p>
    <w:p>
      <w:pPr>
        <w:spacing w:after="0" w:line="144" w:lineRule="exact"/>
        <w:rPr>
          <w:sz w:val="20"/>
          <w:szCs w:val="20"/>
          <w:color w:val="auto"/>
        </w:rPr>
      </w:pPr>
    </w:p>
    <w:p>
      <w:pPr>
        <w:ind w:right="1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further information about risks and uncertainties that Genmab faces, refer to the 2024 Annual Report filed with the Nasdaq Copenhagen and the Form 20-F filed with the U.S. SEC, both of which were filed in February 2025. At the date of this interim report, there have been no significant changes to Genmab’s overall risk profile since the publication of these reports. See Genmab’s </w:t>
      </w:r>
      <w:hyperlink r:id="rId75">
        <w:r>
          <w:rPr>
            <w:rFonts w:ascii="Arial" w:cs="Arial" w:eastAsia="Arial" w:hAnsi="Arial"/>
            <w:sz w:val="18"/>
            <w:szCs w:val="18"/>
            <w:u w:val="single" w:color="auto"/>
            <w:color w:val="0000FF"/>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detailed summary of risks related to our collaborations.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15/44</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FINANCIAL REVIEW</w:t>
      </w:r>
    </w:p>
    <w:p>
      <w:pPr>
        <w:spacing w:after="0" w:line="3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interim report is prepared on a consolidated basis for Genmab A/S (parent company) and its subsidiaries. Management determined it is appropriate to change both the functional currency of the Genmab A/S legal entity and the presentation currency of the condensed consolidated financial statements from DKK to USD effective January 1, 2025. The change in functional currency was triggered by the commercialization of EPKINLY and was made to reflect that USD has become the predominant currency of the Genmab A/S legal entity. The change has been implemented with prospective effect. The change in presentation currency is applied retrospectively and was made to better reflect the Company’s financial position. Comparative figures for prior periods have been restated accordingly. The symbol “$” is used throughout this interim report to refer to the U.S. dollar. The Genmab consolidated Group is referenced herein as “Genmab” or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all accompanying tables, amounts of dollars are expressed in millions, except per share amounts, unless otherwise noted).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Revenue</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Genmab’s revenue was $1,640 million for the first six months of 2025 compared to $1,382 million for the first six months of 2024. The increase of $258 million, or 19%, was primarily driven by higher DARZALEX and Kesimpta royalties achieved under our collaborations with J&amp;J and Novartis, respectively, and increased EPKINLY net product sales. This increase was partly offset by reduced reimbursement revenue associated with Genmab assuming full control of development, as well as future commercialization, of the acasunlimab program, effective in the second half of 2024, as well as a milestone achieved under our collaboration with AbbVie in the first six months of 2024.</w:t>
      </w:r>
    </w:p>
    <w:p>
      <w:pPr>
        <w:sectPr>
          <w:pgSz w:w="11900" w:h="16838" w:orient="portrait"/>
          <w:cols w:equalWidth="0" w:num="1">
            <w:col w:w="11240"/>
          </w:cols>
          <w:pgMar w:left="320" w:top="1440" w:right="339" w:bottom="1440" w:gutter="0" w:footer="0" w:header="0"/>
        </w:sectPr>
      </w:pPr>
    </w:p>
    <w:p>
      <w:pPr>
        <w:spacing w:after="0" w:line="129"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June 30,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0" w:type="dxa"/>
            <w:vAlign w:val="bottom"/>
            <w:tcBorders>
              <w:bottom w:val="single" w:sz="8" w:color="auto"/>
            </w:tcBorders>
          </w:tcPr>
          <w:p>
            <w:pPr>
              <w:spacing w:after="0"/>
              <w:rPr>
                <w:sz w:val="23"/>
                <w:szCs w:val="23"/>
                <w:color w:val="auto"/>
              </w:rPr>
            </w:pPr>
          </w:p>
        </w:tc>
        <w:tc>
          <w:tcPr>
            <w:tcW w:w="5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shd w:val="clear" w:color="auto" w:fill="E6E6E6"/>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40"/>
        </w:trPr>
        <w:tc>
          <w:tcPr>
            <w:tcW w:w="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Royalties</w:t>
            </w:r>
          </w:p>
        </w:tc>
        <w:tc>
          <w:tcPr>
            <w:tcW w:w="920" w:type="dxa"/>
            <w:vAlign w:val="bottom"/>
            <w:shd w:val="clear" w:color="auto" w:fill="E7E6E6"/>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789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0"/>
        </w:trPr>
        <w:tc>
          <w:tcPr>
            <w:tcW w:w="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Reimbursement revenue</w:t>
            </w:r>
          </w:p>
        </w:tc>
        <w:tc>
          <w:tcPr>
            <w:tcW w:w="920" w:type="dxa"/>
            <w:vAlign w:val="bottom"/>
            <w:shd w:val="clear" w:color="auto" w:fill="E7E6E6"/>
          </w:tcPr>
          <w:p>
            <w:pPr>
              <w:spacing w:after="0"/>
              <w:rPr>
                <w:sz w:val="23"/>
                <w:szCs w:val="23"/>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Milestone revenue</w:t>
            </w:r>
          </w:p>
        </w:tc>
        <w:tc>
          <w:tcPr>
            <w:tcW w:w="920" w:type="dxa"/>
            <w:vAlign w:val="bottom"/>
            <w:shd w:val="clear" w:color="auto" w:fill="E7E6E6"/>
          </w:tcPr>
          <w:p>
            <w:pPr>
              <w:spacing w:after="0"/>
              <w:rPr>
                <w:sz w:val="23"/>
                <w:szCs w:val="23"/>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3"/>
        </w:trPr>
        <w:tc>
          <w:tcPr>
            <w:tcW w:w="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920" w:type="dxa"/>
            <w:vAlign w:val="bottom"/>
            <w:tcBorders>
              <w:bottom w:val="single" w:sz="8" w:color="E7E6E6"/>
            </w:tcBorders>
            <w:shd w:val="clear" w:color="auto" w:fill="E7E6E6"/>
          </w:tcPr>
          <w:p>
            <w:pPr>
              <w:spacing w:after="0"/>
              <w:rPr>
                <w:sz w:val="23"/>
                <w:szCs w:val="23"/>
                <w:color w:val="auto"/>
              </w:rPr>
            </w:pPr>
          </w:p>
        </w:tc>
        <w:tc>
          <w:tcPr>
            <w:tcW w:w="42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Net product sales</w:t>
            </w:r>
          </w:p>
        </w:tc>
        <w:tc>
          <w:tcPr>
            <w:tcW w:w="92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63"/>
        </w:trPr>
        <w:tc>
          <w:tcPr>
            <w:tcW w:w="80" w:type="dxa"/>
            <w:vAlign w:val="bottom"/>
          </w:tcPr>
          <w:p>
            <w:pPr>
              <w:spacing w:after="0"/>
              <w:rPr>
                <w:sz w:val="22"/>
                <w:szCs w:val="22"/>
                <w:color w:val="auto"/>
              </w:rPr>
            </w:pPr>
          </w:p>
        </w:tc>
        <w:tc>
          <w:tcPr>
            <w:tcW w:w="5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920" w:type="dxa"/>
            <w:vAlign w:val="bottom"/>
            <w:tcBorders>
              <w:top w:val="single" w:sz="8" w:color="auto"/>
              <w:bottom w:val="single" w:sz="8" w:color="auto"/>
            </w:tcBorders>
            <w:shd w:val="clear" w:color="auto" w:fill="E6E6E6"/>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925</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w:t>
            </w: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00" w:type="dxa"/>
            <w:vAlign w:val="bottom"/>
            <w:tcBorders>
              <w:bottom w:val="single" w:sz="8" w:color="auto"/>
            </w:tcBorders>
            <w:shd w:val="clear" w:color="auto" w:fill="E6E6E6"/>
          </w:tcPr>
          <w:p>
            <w:pPr>
              <w:spacing w:after="0"/>
              <w:rPr>
                <w:sz w:val="22"/>
                <w:szCs w:val="22"/>
                <w:color w:val="auto"/>
              </w:rPr>
            </w:pPr>
          </w:p>
        </w:tc>
        <w:tc>
          <w:tcPr>
            <w:tcW w:w="1060" w:type="dxa"/>
            <w:vAlign w:val="bottom"/>
            <w:tcBorders>
              <w:bottom w:val="single" w:sz="8" w:color="auto"/>
            </w:tcBorders>
            <w:shd w:val="clear" w:color="auto" w:fill="E6E6E6"/>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40"/>
        </w:trPr>
        <w:tc>
          <w:tcPr>
            <w:tcW w:w="300" w:type="dxa"/>
            <w:vAlign w:val="bottom"/>
            <w:shd w:val="clear" w:color="auto" w:fill="E7E6E6"/>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1,378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70"/>
        </w:trPr>
        <w:tc>
          <w:tcPr>
            <w:tcW w:w="300" w:type="dxa"/>
            <w:vAlign w:val="bottom"/>
            <w:shd w:val="clear" w:color="auto" w:fill="E7E6E6"/>
          </w:tcPr>
          <w:p>
            <w:pPr>
              <w:spacing w:after="0"/>
              <w:rPr>
                <w:sz w:val="23"/>
                <w:szCs w:val="23"/>
                <w:color w:val="auto"/>
              </w:rPr>
            </w:pPr>
          </w:p>
        </w:tc>
        <w:tc>
          <w:tcPr>
            <w:tcW w:w="10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300" w:type="dxa"/>
            <w:vAlign w:val="bottom"/>
            <w:shd w:val="clear" w:color="auto" w:fill="E7E6E6"/>
          </w:tcPr>
          <w:p>
            <w:pPr>
              <w:spacing w:after="0"/>
              <w:rPr>
                <w:sz w:val="23"/>
                <w:szCs w:val="23"/>
                <w:color w:val="auto"/>
              </w:rPr>
            </w:pPr>
          </w:p>
        </w:tc>
        <w:tc>
          <w:tcPr>
            <w:tcW w:w="10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3"/>
        </w:trPr>
        <w:tc>
          <w:tcPr>
            <w:tcW w:w="300" w:type="dxa"/>
            <w:vAlign w:val="bottom"/>
            <w:tcBorders>
              <w:bottom w:val="single" w:sz="8" w:color="E7E6E6"/>
            </w:tcBorders>
            <w:shd w:val="clear" w:color="auto" w:fill="E7E6E6"/>
          </w:tcPr>
          <w:p>
            <w:pPr>
              <w:spacing w:after="0"/>
              <w:rPr>
                <w:sz w:val="23"/>
                <w:szCs w:val="23"/>
                <w:color w:val="auto"/>
              </w:rPr>
            </w:pPr>
          </w:p>
        </w:tc>
        <w:tc>
          <w:tcPr>
            <w:tcW w:w="106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300" w:type="dxa"/>
            <w:vAlign w:val="bottom"/>
            <w:tcBorders>
              <w:bottom w:val="single" w:sz="8" w:color="E6E6E6"/>
            </w:tcBorders>
            <w:shd w:val="clear" w:color="auto" w:fill="E6E6E6"/>
          </w:tcPr>
          <w:p>
            <w:pPr>
              <w:spacing w:after="0"/>
              <w:rPr>
                <w:sz w:val="23"/>
                <w:szCs w:val="23"/>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63"/>
        </w:trPr>
        <w:tc>
          <w:tcPr>
            <w:tcW w:w="300" w:type="dxa"/>
            <w:vAlign w:val="bottom"/>
            <w:tcBorders>
              <w:top w:val="single" w:sz="8" w:color="auto"/>
              <w:bottom w:val="single" w:sz="8" w:color="auto"/>
            </w:tcBorders>
            <w:shd w:val="clear" w:color="auto" w:fill="E6E6E6"/>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1,640</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1,382</w:t>
            </w:r>
          </w:p>
        </w:tc>
      </w:tr>
    </w:tbl>
    <w:p>
      <w:pPr>
        <w:spacing w:after="0" w:line="200" w:lineRule="exact"/>
        <w:rPr>
          <w:sz w:val="20"/>
          <w:szCs w:val="20"/>
          <w:color w:val="auto"/>
        </w:rPr>
      </w:pPr>
    </w:p>
    <w:p>
      <w:pPr>
        <w:sectPr>
          <w:pgSz w:w="11900" w:h="16838" w:orient="portrait"/>
          <w:cols w:equalWidth="0" w:num="2">
            <w:col w:w="8120" w:space="300"/>
            <w:col w:w="2820"/>
          </w:cols>
          <w:pgMar w:left="320" w:top="1440" w:right="3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Royalties</w:t>
      </w:r>
    </w:p>
    <w:p>
      <w:pPr>
        <w:spacing w:after="0" w:line="27" w:lineRule="exact"/>
        <w:rPr>
          <w:sz w:val="20"/>
          <w:szCs w:val="20"/>
          <w:color w:val="auto"/>
        </w:rPr>
      </w:pPr>
    </w:p>
    <w:p>
      <w:pPr>
        <w:ind w:right="340"/>
        <w:spacing w:after="0" w:line="280" w:lineRule="auto"/>
        <w:rPr>
          <w:sz w:val="20"/>
          <w:szCs w:val="20"/>
          <w:color w:val="auto"/>
        </w:rPr>
      </w:pPr>
      <w:r>
        <w:rPr>
          <w:rFonts w:ascii="Arial" w:cs="Arial" w:eastAsia="Arial" w:hAnsi="Arial"/>
          <w:sz w:val="17"/>
          <w:szCs w:val="17"/>
          <w:color w:val="auto"/>
        </w:rPr>
        <w:t>Royalty revenue amounted to $1,378 million in the first six months of 2025 compared to $1,111 million in the first six months of 2024. The increase of $ 267 million, or 24%, was primarily driven by higher DARZALEX and Kesimpta royalties achieved under our daratumumab collaboration with J&amp;J and ofatumumab collaboration with Novartis. The table below summarizes Genmab’s royalty revenue by product.</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June 30,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shd w:val="clear" w:color="auto" w:fill="E6E6E6"/>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40"/>
        </w:trPr>
        <w:tc>
          <w:tcPr>
            <w:tcW w:w="5320" w:type="dxa"/>
            <w:vAlign w:val="bottom"/>
          </w:tcPr>
          <w:p>
            <w:pPr>
              <w:ind w:left="100"/>
              <w:spacing w:after="0"/>
              <w:rPr>
                <w:sz w:val="20"/>
                <w:szCs w:val="20"/>
                <w:color w:val="auto"/>
              </w:rPr>
            </w:pPr>
            <w:r>
              <w:rPr>
                <w:rFonts w:ascii="Arial" w:cs="Arial" w:eastAsia="Arial" w:hAnsi="Arial"/>
                <w:sz w:val="18"/>
                <w:szCs w:val="18"/>
                <w:color w:val="auto"/>
              </w:rPr>
              <w:t>DARZALEX</w:t>
            </w:r>
          </w:p>
        </w:tc>
        <w:tc>
          <w:tcPr>
            <w:tcW w:w="920" w:type="dxa"/>
            <w:vAlign w:val="bottom"/>
            <w:shd w:val="clear" w:color="auto" w:fill="E7E6E6"/>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638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0"/>
        </w:trPr>
        <w:tc>
          <w:tcPr>
            <w:tcW w:w="5320" w:type="dxa"/>
            <w:vAlign w:val="bottom"/>
          </w:tcPr>
          <w:p>
            <w:pPr>
              <w:ind w:left="100"/>
              <w:spacing w:after="0"/>
              <w:rPr>
                <w:sz w:val="20"/>
                <w:szCs w:val="20"/>
                <w:color w:val="auto"/>
              </w:rPr>
            </w:pPr>
            <w:r>
              <w:rPr>
                <w:rFonts w:ascii="Arial" w:cs="Arial" w:eastAsia="Arial" w:hAnsi="Arial"/>
                <w:sz w:val="18"/>
                <w:szCs w:val="18"/>
                <w:color w:val="auto"/>
              </w:rPr>
              <w:t>Kesimpta</w:t>
            </w:r>
          </w:p>
        </w:tc>
        <w:tc>
          <w:tcPr>
            <w:tcW w:w="920" w:type="dxa"/>
            <w:vAlign w:val="bottom"/>
            <w:shd w:val="clear" w:color="auto" w:fill="E7E6E6"/>
          </w:tcPr>
          <w:p>
            <w:pPr>
              <w:spacing w:after="0"/>
              <w:rPr>
                <w:sz w:val="23"/>
                <w:szCs w:val="23"/>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5320" w:type="dxa"/>
            <w:vAlign w:val="bottom"/>
          </w:tcPr>
          <w:p>
            <w:pPr>
              <w:ind w:left="100"/>
              <w:spacing w:after="0"/>
              <w:rPr>
                <w:sz w:val="20"/>
                <w:szCs w:val="20"/>
                <w:color w:val="auto"/>
              </w:rPr>
            </w:pPr>
            <w:r>
              <w:rPr>
                <w:rFonts w:ascii="Arial" w:cs="Arial" w:eastAsia="Arial" w:hAnsi="Arial"/>
                <w:sz w:val="18"/>
                <w:szCs w:val="18"/>
                <w:color w:val="auto"/>
              </w:rPr>
              <w:t>TEPEZZA</w:t>
            </w:r>
          </w:p>
        </w:tc>
        <w:tc>
          <w:tcPr>
            <w:tcW w:w="920" w:type="dxa"/>
            <w:vAlign w:val="bottom"/>
            <w:shd w:val="clear" w:color="auto" w:fill="E7E6E6"/>
          </w:tcPr>
          <w:p>
            <w:pPr>
              <w:spacing w:after="0"/>
              <w:rPr>
                <w:sz w:val="23"/>
                <w:szCs w:val="23"/>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3"/>
        </w:trPr>
        <w:tc>
          <w:tcPr>
            <w:tcW w:w="5320" w:type="dxa"/>
            <w:vAlign w:val="bottom"/>
          </w:tcPr>
          <w:p>
            <w:pPr>
              <w:ind w:left="10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E7E6E6"/>
            </w:tcBorders>
            <w:shd w:val="clear" w:color="auto" w:fill="E7E6E6"/>
          </w:tcPr>
          <w:p>
            <w:pPr>
              <w:spacing w:after="0"/>
              <w:rPr>
                <w:sz w:val="24"/>
                <w:szCs w:val="24"/>
                <w:color w:val="auto"/>
              </w:rPr>
            </w:pPr>
          </w:p>
        </w:tc>
        <w:tc>
          <w:tcPr>
            <w:tcW w:w="42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5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 royalties</w:t>
            </w:r>
          </w:p>
        </w:tc>
        <w:tc>
          <w:tcPr>
            <w:tcW w:w="920" w:type="dxa"/>
            <w:vAlign w:val="bottom"/>
            <w:tcBorders>
              <w:top w:val="single" w:sz="8" w:color="auto"/>
              <w:bottom w:val="single" w:sz="8" w:color="auto"/>
            </w:tcBorders>
            <w:shd w:val="clear" w:color="auto" w:fill="E6E6E6"/>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789</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w:t>
            </w: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00" w:type="dxa"/>
            <w:vAlign w:val="bottom"/>
            <w:tcBorders>
              <w:bottom w:val="single" w:sz="8" w:color="auto"/>
            </w:tcBorders>
            <w:shd w:val="clear" w:color="auto" w:fill="E6E6E6"/>
          </w:tcPr>
          <w:p>
            <w:pPr>
              <w:spacing w:after="0"/>
              <w:rPr>
                <w:sz w:val="23"/>
                <w:szCs w:val="23"/>
                <w:color w:val="auto"/>
              </w:rPr>
            </w:pPr>
          </w:p>
        </w:tc>
        <w:tc>
          <w:tcPr>
            <w:tcW w:w="1060" w:type="dxa"/>
            <w:vAlign w:val="bottom"/>
            <w:tcBorders>
              <w:bottom w:val="single" w:sz="8" w:color="auto"/>
            </w:tcBorders>
            <w:shd w:val="clear" w:color="auto" w:fill="E6E6E6"/>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42"/>
        </w:trPr>
        <w:tc>
          <w:tcPr>
            <w:tcW w:w="300" w:type="dxa"/>
            <w:vAlign w:val="bottom"/>
            <w:shd w:val="clear" w:color="auto" w:fill="E7E6E6"/>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1,088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70"/>
        </w:trPr>
        <w:tc>
          <w:tcPr>
            <w:tcW w:w="300" w:type="dxa"/>
            <w:vAlign w:val="bottom"/>
            <w:shd w:val="clear" w:color="auto" w:fill="E7E6E6"/>
          </w:tcPr>
          <w:p>
            <w:pPr>
              <w:spacing w:after="0"/>
              <w:rPr>
                <w:sz w:val="23"/>
                <w:szCs w:val="23"/>
                <w:color w:val="auto"/>
              </w:rPr>
            </w:pPr>
          </w:p>
        </w:tc>
        <w:tc>
          <w:tcPr>
            <w:tcW w:w="10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300" w:type="dxa"/>
            <w:vAlign w:val="bottom"/>
            <w:shd w:val="clear" w:color="auto" w:fill="E7E6E6"/>
          </w:tcPr>
          <w:p>
            <w:pPr>
              <w:spacing w:after="0"/>
              <w:rPr>
                <w:sz w:val="23"/>
                <w:szCs w:val="23"/>
                <w:color w:val="auto"/>
              </w:rPr>
            </w:pPr>
          </w:p>
        </w:tc>
        <w:tc>
          <w:tcPr>
            <w:tcW w:w="10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3"/>
        </w:trPr>
        <w:tc>
          <w:tcPr>
            <w:tcW w:w="300" w:type="dxa"/>
            <w:vAlign w:val="bottom"/>
            <w:tcBorders>
              <w:bottom w:val="single" w:sz="8" w:color="E7E6E6"/>
            </w:tcBorders>
            <w:shd w:val="clear" w:color="auto" w:fill="E7E6E6"/>
          </w:tcPr>
          <w:p>
            <w:pPr>
              <w:spacing w:after="0"/>
              <w:rPr>
                <w:sz w:val="24"/>
                <w:szCs w:val="24"/>
                <w:color w:val="auto"/>
              </w:rPr>
            </w:pPr>
          </w:p>
        </w:tc>
        <w:tc>
          <w:tcPr>
            <w:tcW w:w="106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300" w:type="dxa"/>
            <w:vAlign w:val="bottom"/>
            <w:tcBorders>
              <w:top w:val="single" w:sz="8" w:color="auto"/>
              <w:bottom w:val="single" w:sz="8" w:color="auto"/>
            </w:tcBorders>
            <w:shd w:val="clear" w:color="auto" w:fill="E6E6E6"/>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1,378</w:t>
            </w:r>
          </w:p>
        </w:tc>
        <w:tc>
          <w:tcPr>
            <w:tcW w:w="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w:t>
            </w:r>
          </w:p>
        </w:tc>
      </w:tr>
    </w:tbl>
    <w:p>
      <w:pPr>
        <w:spacing w:after="0" w:line="200" w:lineRule="exact"/>
        <w:rPr>
          <w:sz w:val="20"/>
          <w:szCs w:val="20"/>
          <w:color w:val="auto"/>
        </w:rPr>
      </w:pPr>
    </w:p>
    <w:p>
      <w:pPr>
        <w:sectPr>
          <w:pgSz w:w="11900" w:h="16838" w:orient="portrait"/>
          <w:cols w:equalWidth="0" w:num="2">
            <w:col w:w="8120" w:space="300"/>
            <w:col w:w="2820"/>
          </w:cols>
          <w:pgMar w:left="320" w:top="1440" w:right="3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16/44</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4"/>
                <w:szCs w:val="14"/>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600" w:type="dxa"/>
            <w:vAlign w:val="bottom"/>
            <w:tcBorders>
              <w:bottom w:val="single" w:sz="8" w:color="9A9A9A"/>
            </w:tcBorders>
          </w:tcPr>
          <w:p>
            <w:pPr>
              <w:spacing w:after="0"/>
              <w:rPr>
                <w:sz w:val="20"/>
                <w:szCs w:val="20"/>
                <w:color w:val="auto"/>
              </w:rPr>
            </w:pPr>
          </w:p>
        </w:tc>
        <w:tc>
          <w:tcPr>
            <w:tcW w:w="4420" w:type="dxa"/>
            <w:vAlign w:val="bottom"/>
            <w:tcBorders>
              <w:bottom w:val="single" w:sz="8" w:color="9A9A9A"/>
            </w:tcBorders>
          </w:tcPr>
          <w:p>
            <w:pPr>
              <w:spacing w:after="0"/>
              <w:rPr>
                <w:sz w:val="20"/>
                <w:szCs w:val="20"/>
                <w:color w:val="auto"/>
              </w:rPr>
            </w:pPr>
          </w:p>
        </w:tc>
        <w:tc>
          <w:tcPr>
            <w:tcW w:w="42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J&amp;J’s net sales of DARZALEX were $6,776 million in the first six months of 2025 compared to $5,570 million in the first six months of 2024. The increase of $1,206 million, or 22%, was driven by market share gains in all regions. Royalty revenue on net sales of DARZALEX was $1,088 million in the first six months of 2025 compared to $885 million in the first six months of 2024, an increase of $203 million. The percentage increase in royalties of 23% is consistent with the percentage increase in the underlying net sales.</w:t>
      </w:r>
    </w:p>
    <w:p>
      <w:pPr>
        <w:spacing w:after="0" w:line="13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Novartis’ net sales of Kesimpta were $1,976 million in the first six months of 2025 compared to $1,436 million in the first six months of 2024. The increase of $540 million, or 38%, was primarily driven by increased demand and strong access. Royalty revenue on net sales of Kesimpta was $198 million in the first six months of 2025 compared to $144 million in the first six months of 2024, an increase of $54 million, or 38%.</w:t>
      </w:r>
    </w:p>
    <w:p>
      <w:pPr>
        <w:spacing w:after="0" w:line="14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Amgen’s net sales of TEPEZZA were $886 million in the first six months of 2025 compared to $903 million in the first six months of 2024. Royalty revenue on net sales of TEPEZZA was $45 million in the first six months of 2025 compared to $49 million in the first six months of 2024, a decrease of $4 million, or 8%, which is in line with the slight reduction of net sales.</w:t>
      </w:r>
    </w:p>
    <w:p>
      <w:pPr>
        <w:spacing w:after="0" w:line="13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Other royalties consist of royalties from net sales of RYBREVANT, TECVAYLI, TALVEY and TEPKINLY. These royalties were not material for the first six months of 2025 or 2024.</w:t>
      </w:r>
    </w:p>
    <w:p>
      <w:pPr>
        <w:spacing w:after="0" w:line="11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Royalty revenue fluctuations from period to period are driven by the level of product net sales, foreign currency exchange rate movements and more specifically to DARZALEX, the contractual arrangement related to annual Currency Hedge Rate, Genmab’s share of J&amp;J’s royalty payments to Halozyme in connection with SC product net sales and the level of royalty deductions on net sales in countries and territories where there is no patent protection.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Revenue</w:t>
      </w:r>
    </w:p>
    <w:p>
      <w:pPr>
        <w:spacing w:after="0" w:line="2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Reimbursement revenue amounted to $36 million in the six months of 2025 compared to $82 million in the first six months of 2024. The decrease of $46 million, or 56%, was primarily driven by Genmab assuming full control of development, as well as future commercialization, of the acasunlimab program, effective in the second half of 2024.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 Revenue</w:t>
      </w:r>
    </w:p>
    <w:p>
      <w:pPr>
        <w:spacing w:after="0" w:line="27" w:lineRule="exact"/>
        <w:rPr>
          <w:sz w:val="20"/>
          <w:szCs w:val="20"/>
          <w:color w:val="auto"/>
        </w:rPr>
      </w:pPr>
    </w:p>
    <w:p>
      <w:pPr>
        <w:jc w:val="both"/>
        <w:ind w:right="180"/>
        <w:spacing w:after="0" w:line="265" w:lineRule="auto"/>
        <w:rPr>
          <w:sz w:val="20"/>
          <w:szCs w:val="20"/>
          <w:color w:val="auto"/>
        </w:rPr>
      </w:pPr>
      <w:r>
        <w:rPr>
          <w:rFonts w:ascii="Arial" w:cs="Arial" w:eastAsia="Arial" w:hAnsi="Arial"/>
          <w:sz w:val="17"/>
          <w:szCs w:val="17"/>
          <w:color w:val="auto"/>
        </w:rPr>
        <w:t>Milestone revenue was $ 13 million in the first six months of 2025 compared to $ 50 million in the first six months of 2024, a decrease of $37 million, or 74%, primarily driven by an AbbVie milestone achieved in the first six months of 2024 related to the FDA granting Priority Review for the sBLA for EPKINLY for the treatment of adult patients with relapsed or refractory FL after two or more lines of systemic therapy.</w:t>
      </w:r>
    </w:p>
    <w:p>
      <w:pPr>
        <w:ind w:right="240"/>
        <w:spacing w:after="0" w:line="266" w:lineRule="auto"/>
        <w:rPr>
          <w:sz w:val="20"/>
          <w:szCs w:val="20"/>
          <w:color w:val="auto"/>
        </w:rPr>
      </w:pPr>
      <w:r>
        <w:rPr>
          <w:rFonts w:ascii="Arial" w:cs="Arial" w:eastAsia="Arial" w:hAnsi="Arial"/>
          <w:sz w:val="18"/>
          <w:szCs w:val="18"/>
          <w:color w:val="auto"/>
        </w:rPr>
        <w:t>Milestone revenue may fluctuate significantly from period to period due to both the timing of achievements and the varying amount of each individual milestone under our license and collaboration agreements.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2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Collaboration revenue was $37 million in the first six months of 2025 compared to $30 million in the first six months of 2024, an increase of $7 million, or 23%, primarily driven by an increase in net sales of Tivdak.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Sales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Global net sales of EPKINLY/TEPKINLY were $ 211 million in the first six months of 2025 compared to $121 million in the first six months of 2024, an increase of $90 million or 74%, driven by strong growth in 3L+ DLBCL and the expansion to address a second indication, 3L+ FL, which was approved in June 2024. Net product sales of EPKINLY in the U.S. and Japan by Genmab were $ 175 million in the first six months of 2025 compared to $109 million in the first six months of 2024. EPKINLY was approved in the U.S. in May 2023 and in Japan in September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17/44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Net sales of TEPKINLY in territories where Genmab receives royalty revenue were $36 million in the first six months of 2025 compared to $12 million in the first six months of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Refer to Financial Statement Note 3 in this interim report for further details about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 to Revenue – Second Quarter of 2025</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Genmab’s revenue was $925 million for the second quarter of 2025 compared to $779 million for the second quarter of 2024. The increase of $146 million, or 19%, was primarily driven by higher DARZALEX and Kesimpta royalties achieved under our collaborations with J&amp;J and Novartis, respectively, and increased EPKINLY net product sales, partly offset by reduced reimbursement revenue associated with Genmab assuming full control of development, as well as future commercialization, of the acasunlimab program, effective in the second half of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Royalties</w:t>
      </w:r>
    </w:p>
    <w:p>
      <w:pPr>
        <w:spacing w:after="0" w:line="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Royalty revenue on net sales of DARZALEX was $638 million in the second quarter of 2025 compared to $538 million in the second quarter of 2024, an increase of $100 million, or 19%. Royalty revenue on net sales of Kesimpta was $108 million in the second quarter of 2025 compared to $80 million in the second quarter of 2024, an increase of $28 million, or 35%.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Sales</w:t>
      </w:r>
    </w:p>
    <w:p>
      <w:pPr>
        <w:spacing w:after="0" w:line="2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Global net sales of EPKINLY/TEPKINLY were $121 million in the second quarter of 2025, compared to $69 million in the second quarter of 2024, an increase of $52 million or 75%.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Revenue</w:t>
      </w:r>
    </w:p>
    <w:p>
      <w:pPr>
        <w:spacing w:after="0" w:line="2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Reimbursement revenue amounted to $13 million in the second quarter of 2025 compared to $42 million in the second quarter of 2024, a decrease of $29 million or 69%.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Cost of Product Sales</w:t>
      </w:r>
    </w:p>
    <w:p>
      <w:pPr>
        <w:spacing w:after="0" w:line="27"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Genmab recognized cost of product sales of $99 million in the first six months of 2025 compared to $55 million in the first six months of 2024. Cost of product sales includes product costs and profit-sharing amounts payable to AbbVie related to EPKINLY of $82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 to Cost of Product Sales – Second Quarter of 2025</w:t>
      </w:r>
    </w:p>
    <w:p>
      <w:pPr>
        <w:spacing w:after="0" w:line="27"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Cost of product sales were $57 million for the second quarter of 2025 compared to $28 million for the second quarter of 2024. Cost of product sales includes product costs and profit-sharing amounts payable to AbbVie related to EPKINLY of $47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Research and Development Expenses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Research and development expenses amounted to $723 million in the first six months of 2025 compared to $696 million in the first six months of 2024. The increase of $ 27 million, or 4%, was driven by the addition of ProfoundBio related research and development expenses, primarily Rina-S, and the increase in team members to support the continued expansion of our product portfolio. The acquisition of ProfoundBio occurred in the second quarter of 2024 and therefore there were minimal ProfoundBio related research and development expenses during the first six months of 2024. These increases were partly offset by decreased research and development expenses related to Epcoritamab under our collaboration with AbbVie, primarily due to the program’s shift towards less costly label expansion and post-marketing studies in the first six months of 2025 compared to later-stage development activities in the first six months of 2024.</w:t>
      </w:r>
    </w:p>
    <w:p>
      <w:pPr>
        <w:spacing w:after="0" w:line="7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Research and development expenses accounted for 73% of total research and development expenses &amp; selling, general and administrative expenses in the first six months of 2025 compared to 74% in the first six months of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18/44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 to Research and Development Expenses – Second Quarter of 2025</w:t>
      </w:r>
    </w:p>
    <w:p>
      <w:pPr>
        <w:spacing w:after="0" w:line="2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Research and development expenses were $364 million for the second quarter of 2025 compared to $361 million for the second quarter of 2024, an increase of $3 million, or 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Selling, General and Administrative Expenses</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Selling, general and administrative expenses were $270 million in the first six months of 2025 compared to $243 million in the first six months of 2024. The increase of $27 million, or 11%, was driven primarily by the expansion of Genmab’s global commercialization capabilities, primarily associated with the expansion of Epcoritamab and investment in Rina-S to prepare for the upcoming projected launch.</w:t>
      </w:r>
    </w:p>
    <w:p>
      <w:pPr>
        <w:spacing w:after="0" w:line="70"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Selling, general and administrative expenses accounted for 27% of total research and development expenses &amp; selling, general and administrative expenses in the first six months of 2025 compared to 26% for the first six months of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 to Selling, General and Administrative Expenses – Second Quarter of 2025</w:t>
      </w:r>
    </w:p>
    <w:p>
      <w:pPr>
        <w:spacing w:after="0" w:line="27"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color w:val="auto"/>
        </w:rPr>
        <w:t>Selling, general and administrative expenses were $144 million for the second quarter of 2025 compared to $129 million for the second quarter of 2024. The increase of $15 million, or 12%, was driven primarily by the expansion of Genmab’s commercialization capabilities.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Acquisition and Integration Related Charges</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Acquisition and integration related charges for the acquisition of ProfoundBio were $36 million in the first six months of 2024. There were no acquisition and integration related charges in the first six months of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 to Acquisition and Integration Related Charges – Second Quarter of 2025</w:t>
      </w:r>
    </w:p>
    <w:p>
      <w:pPr>
        <w:spacing w:after="0" w:line="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Acquisition and integration related charges for the acquisition of ProfoundBio were $25 million for the second quarter of 2024. There were no acquisition and integration related charges for the second quarter of 2025.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Operating Profit</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Operating profit was $548 million in the first six months of 2025 compared to $352 million in the first six months of 2024. The increase was driven by the items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 to Operating Profit - Second Quarter of 2025</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Operating profit was $360 million for the second quarter of 2025 compared to $236 million for the second quarter of 2024. The increase was driven by the items described above.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Net Financial Items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 and expense was comprised of the following:</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26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gridSpan w:val="3"/>
          </w:tcPr>
          <w:p>
            <w:pPr>
              <w:jc w:val="right"/>
              <w:ind w:right="390"/>
              <w:spacing w:after="0"/>
              <w:rPr>
                <w:sz w:val="20"/>
                <w:szCs w:val="20"/>
                <w:color w:val="auto"/>
              </w:rPr>
            </w:pPr>
            <w:r>
              <w:rPr>
                <w:rFonts w:ascii="Arial" w:cs="Arial" w:eastAsia="Arial" w:hAnsi="Arial"/>
                <w:sz w:val="16"/>
                <w:szCs w:val="16"/>
                <w:b w:val="1"/>
                <w:bCs w:val="1"/>
                <w:color w:val="auto"/>
              </w:rPr>
              <w:t>Six Months Ended June 30,</w:t>
            </w:r>
          </w:p>
        </w:tc>
      </w:tr>
      <w:tr>
        <w:trPr>
          <w:trHeight w:val="271"/>
        </w:trPr>
        <w:tc>
          <w:tcPr>
            <w:tcW w:w="48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200" w:type="dxa"/>
            <w:vAlign w:val="bottom"/>
            <w:tcBorders>
              <w:bottom w:val="single" w:sz="8" w:color="auto"/>
            </w:tcBorders>
            <w:shd w:val="clear" w:color="auto" w:fill="E6E6E6"/>
          </w:tcPr>
          <w:p>
            <w:pPr>
              <w:jc w:val="right"/>
              <w:ind w:right="451"/>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47"/>
        </w:trPr>
        <w:tc>
          <w:tcPr>
            <w:tcW w:w="4860" w:type="dxa"/>
            <w:vAlign w:val="bottom"/>
          </w:tcPr>
          <w:p>
            <w:pPr>
              <w:ind w:left="20"/>
              <w:spacing w:after="0"/>
              <w:rPr>
                <w:sz w:val="20"/>
                <w:szCs w:val="20"/>
                <w:color w:val="auto"/>
              </w:rPr>
            </w:pPr>
            <w:r>
              <w:rPr>
                <w:rFonts w:ascii="Arial" w:cs="Arial" w:eastAsia="Arial" w:hAnsi="Arial"/>
                <w:sz w:val="18"/>
                <w:szCs w:val="18"/>
                <w:color w:val="auto"/>
              </w:rPr>
              <w:t>Interest and other financial income</w:t>
            </w:r>
          </w:p>
        </w:tc>
        <w:tc>
          <w:tcPr>
            <w:tcW w:w="1020" w:type="dxa"/>
            <w:vAlign w:val="bottom"/>
            <w:shd w:val="clear" w:color="auto" w:fill="E7E6E6"/>
          </w:tcPr>
          <w:p>
            <w:pPr>
              <w:jc w:val="right"/>
              <w:ind w:right="81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7E6E6"/>
          </w:tcPr>
          <w:p>
            <w:pPr>
              <w:jc w:val="right"/>
              <w:spacing w:after="0"/>
              <w:rPr>
                <w:sz w:val="20"/>
                <w:szCs w:val="20"/>
                <w:color w:val="auto"/>
              </w:rPr>
            </w:pPr>
            <w:r>
              <w:rPr>
                <w:rFonts w:ascii="Arial" w:cs="Arial" w:eastAsia="Arial" w:hAnsi="Arial"/>
                <w:sz w:val="18"/>
                <w:szCs w:val="18"/>
                <w:color w:val="auto"/>
              </w:rPr>
              <w:t>25</w:t>
            </w:r>
          </w:p>
        </w:tc>
        <w:tc>
          <w:tcPr>
            <w:tcW w:w="12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1"/>
                <w:szCs w:val="21"/>
                <w:color w:val="auto"/>
              </w:rPr>
            </w:pPr>
          </w:p>
        </w:tc>
        <w:tc>
          <w:tcPr>
            <w:tcW w:w="300" w:type="dxa"/>
            <w:vAlign w:val="bottom"/>
            <w:shd w:val="clear" w:color="auto" w:fill="E7E6E6"/>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7E6E6"/>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4860" w:type="dxa"/>
            <w:vAlign w:val="bottom"/>
          </w:tcPr>
          <w:p>
            <w:pPr>
              <w:ind w:left="20"/>
              <w:spacing w:after="0"/>
              <w:rPr>
                <w:sz w:val="20"/>
                <w:szCs w:val="20"/>
                <w:color w:val="auto"/>
              </w:rPr>
            </w:pPr>
            <w:r>
              <w:rPr>
                <w:rFonts w:ascii="Arial" w:cs="Arial" w:eastAsia="Arial" w:hAnsi="Arial"/>
                <w:sz w:val="18"/>
                <w:szCs w:val="18"/>
                <w:color w:val="auto"/>
              </w:rPr>
              <w:t>Gain on marketable securities</w:t>
            </w:r>
          </w:p>
        </w:tc>
        <w:tc>
          <w:tcPr>
            <w:tcW w:w="1020" w:type="dxa"/>
            <w:vAlign w:val="bottom"/>
            <w:shd w:val="clear" w:color="auto" w:fill="E7E6E6"/>
          </w:tcPr>
          <w:p>
            <w:pPr>
              <w:spacing w:after="0"/>
              <w:rPr>
                <w:sz w:val="23"/>
                <w:szCs w:val="23"/>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8"/>
                <w:szCs w:val="18"/>
                <w:color w:val="auto"/>
              </w:rPr>
              <w:t>43</w:t>
            </w:r>
          </w:p>
        </w:tc>
        <w:tc>
          <w:tcPr>
            <w:tcW w:w="1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3"/>
                <w:szCs w:val="23"/>
                <w:color w:val="auto"/>
              </w:rPr>
            </w:pPr>
          </w:p>
        </w:tc>
        <w:tc>
          <w:tcPr>
            <w:tcW w:w="300" w:type="dxa"/>
            <w:vAlign w:val="bottom"/>
            <w:shd w:val="clear" w:color="auto" w:fill="E7E6E6"/>
          </w:tcPr>
          <w:p>
            <w:pPr>
              <w:spacing w:after="0"/>
              <w:rPr>
                <w:sz w:val="23"/>
                <w:szCs w:val="23"/>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4860" w:type="dxa"/>
            <w:vAlign w:val="bottom"/>
          </w:tcPr>
          <w:p>
            <w:pPr>
              <w:ind w:left="20"/>
              <w:spacing w:after="0"/>
              <w:rPr>
                <w:sz w:val="20"/>
                <w:szCs w:val="20"/>
                <w:color w:val="auto"/>
              </w:rPr>
            </w:pPr>
            <w:r>
              <w:rPr>
                <w:rFonts w:ascii="Arial" w:cs="Arial" w:eastAsia="Arial" w:hAnsi="Arial"/>
                <w:sz w:val="18"/>
                <w:szCs w:val="18"/>
                <w:color w:val="auto"/>
              </w:rPr>
              <w:t>Gain on other investments, net</w:t>
            </w:r>
          </w:p>
        </w:tc>
        <w:tc>
          <w:tcPr>
            <w:tcW w:w="1020" w:type="dxa"/>
            <w:vAlign w:val="bottom"/>
            <w:shd w:val="clear" w:color="auto" w:fill="E7E6E6"/>
          </w:tcPr>
          <w:p>
            <w:pPr>
              <w:spacing w:after="0"/>
              <w:rPr>
                <w:sz w:val="23"/>
                <w:szCs w:val="23"/>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8"/>
                <w:szCs w:val="18"/>
                <w:color w:val="auto"/>
              </w:rPr>
              <w:t>3</w:t>
            </w:r>
          </w:p>
        </w:tc>
        <w:tc>
          <w:tcPr>
            <w:tcW w:w="1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300" w:type="dxa"/>
            <w:vAlign w:val="bottom"/>
            <w:shd w:val="clear" w:color="auto" w:fill="E7E6E6"/>
          </w:tcPr>
          <w:p>
            <w:pPr>
              <w:spacing w:after="0"/>
              <w:rPr>
                <w:sz w:val="23"/>
                <w:szCs w:val="23"/>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3"/>
        </w:trPr>
        <w:tc>
          <w:tcPr>
            <w:tcW w:w="4860" w:type="dxa"/>
            <w:vAlign w:val="bottom"/>
          </w:tcPr>
          <w:p>
            <w:pPr>
              <w:ind w:left="20"/>
              <w:spacing w:after="0"/>
              <w:rPr>
                <w:sz w:val="20"/>
                <w:szCs w:val="20"/>
                <w:color w:val="auto"/>
              </w:rPr>
            </w:pPr>
            <w:r>
              <w:rPr>
                <w:rFonts w:ascii="Arial" w:cs="Arial" w:eastAsia="Arial" w:hAnsi="Arial"/>
                <w:sz w:val="18"/>
                <w:szCs w:val="18"/>
                <w:color w:val="auto"/>
              </w:rPr>
              <w:t>Foreign exchange rate gain</w:t>
            </w:r>
          </w:p>
        </w:tc>
        <w:tc>
          <w:tcPr>
            <w:tcW w:w="1020" w:type="dxa"/>
            <w:vAlign w:val="bottom"/>
            <w:tcBorders>
              <w:bottom w:val="single" w:sz="8" w:color="E7E6E6"/>
            </w:tcBorders>
            <w:shd w:val="clear" w:color="auto" w:fill="E7E6E6"/>
          </w:tcPr>
          <w:p>
            <w:pPr>
              <w:spacing w:after="0"/>
              <w:rPr>
                <w:sz w:val="24"/>
                <w:szCs w:val="24"/>
                <w:color w:val="auto"/>
              </w:rPr>
            </w:pPr>
          </w:p>
        </w:tc>
        <w:tc>
          <w:tcPr>
            <w:tcW w:w="44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83</w:t>
            </w:r>
          </w:p>
        </w:tc>
        <w:tc>
          <w:tcPr>
            <w:tcW w:w="1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300" w:type="dxa"/>
            <w:vAlign w:val="bottom"/>
            <w:tcBorders>
              <w:bottom w:val="single" w:sz="8" w:color="E7E6E6"/>
            </w:tcBorders>
            <w:shd w:val="clear" w:color="auto" w:fill="E7E6E6"/>
          </w:tcPr>
          <w:p>
            <w:pPr>
              <w:spacing w:after="0"/>
              <w:rPr>
                <w:sz w:val="24"/>
                <w:szCs w:val="24"/>
                <w:color w:val="auto"/>
              </w:rPr>
            </w:pPr>
          </w:p>
        </w:tc>
        <w:tc>
          <w:tcPr>
            <w:tcW w:w="120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financial income</w:t>
            </w:r>
          </w:p>
        </w:tc>
        <w:tc>
          <w:tcPr>
            <w:tcW w:w="1020" w:type="dxa"/>
            <w:vAlign w:val="bottom"/>
            <w:tcBorders>
              <w:top w:val="single" w:sz="8" w:color="auto"/>
              <w:bottom w:val="single" w:sz="8" w:color="auto"/>
            </w:tcBorders>
            <w:shd w:val="clear" w:color="auto" w:fill="E7E6E6"/>
          </w:tcPr>
          <w:p>
            <w:pPr>
              <w:jc w:val="right"/>
              <w:ind w:right="81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E7E6E6"/>
          </w:tcPr>
          <w:p>
            <w:pPr>
              <w:jc w:val="right"/>
              <w:spacing w:after="0"/>
              <w:rPr>
                <w:sz w:val="20"/>
                <w:szCs w:val="20"/>
                <w:color w:val="auto"/>
              </w:rPr>
            </w:pPr>
            <w:r>
              <w:rPr>
                <w:rFonts w:ascii="Arial" w:cs="Arial" w:eastAsia="Arial" w:hAnsi="Arial"/>
                <w:sz w:val="18"/>
                <w:szCs w:val="18"/>
                <w:b w:val="1"/>
                <w:bCs w:val="1"/>
                <w:color w:val="auto"/>
              </w:rPr>
              <w:t>154</w:t>
            </w:r>
          </w:p>
        </w:tc>
        <w:tc>
          <w:tcPr>
            <w:tcW w:w="12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117</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shd w:val="clear" w:color="auto" w:fill="E7E6E6"/>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E7E6E6"/>
          </w:tcPr>
          <w:p>
            <w:pPr>
              <w:jc w:val="right"/>
              <w:spacing w:after="0"/>
              <w:rPr>
                <w:sz w:val="20"/>
                <w:szCs w:val="20"/>
                <w:color w:val="auto"/>
              </w:rPr>
            </w:pPr>
            <w:r>
              <w:rPr>
                <w:rFonts w:ascii="Arial" w:cs="Arial" w:eastAsia="Arial" w:hAnsi="Arial"/>
                <w:sz w:val="18"/>
                <w:szCs w:val="18"/>
                <w:b w:val="1"/>
                <w:bCs w:val="1"/>
                <w:color w:val="auto"/>
              </w:rPr>
              <w:t>253</w:t>
            </w: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r>
      <w:tr>
        <w:trPr>
          <w:trHeight w:val="503"/>
        </w:trPr>
        <w:tc>
          <w:tcPr>
            <w:tcW w:w="4860" w:type="dxa"/>
            <w:vAlign w:val="bottom"/>
          </w:tcPr>
          <w:p>
            <w:pPr>
              <w:ind w:left="20"/>
              <w:spacing w:after="0"/>
              <w:rPr>
                <w:sz w:val="20"/>
                <w:szCs w:val="20"/>
                <w:color w:val="auto"/>
              </w:rPr>
            </w:pPr>
            <w:r>
              <w:rPr>
                <w:rFonts w:ascii="Arial" w:cs="Arial" w:eastAsia="Arial" w:hAnsi="Arial"/>
                <w:sz w:val="18"/>
                <w:szCs w:val="18"/>
                <w:color w:val="auto"/>
              </w:rPr>
              <w:t>Interest and other financial expenses</w:t>
            </w:r>
          </w:p>
        </w:tc>
        <w:tc>
          <w:tcPr>
            <w:tcW w:w="1020" w:type="dxa"/>
            <w:vAlign w:val="bottom"/>
            <w:shd w:val="clear" w:color="auto" w:fill="E7E6E6"/>
          </w:tcPr>
          <w:p>
            <w:pPr>
              <w:jc w:val="right"/>
              <w:ind w:right="81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7E6E6"/>
          </w:tcPr>
          <w:p>
            <w:pPr>
              <w:jc w:val="right"/>
              <w:spacing w:after="0"/>
              <w:rPr>
                <w:sz w:val="20"/>
                <w:szCs w:val="20"/>
                <w:color w:val="auto"/>
              </w:rPr>
            </w:pPr>
            <w:r>
              <w:rPr>
                <w:rFonts w:ascii="Arial" w:cs="Arial" w:eastAsia="Arial" w:hAnsi="Arial"/>
                <w:sz w:val="18"/>
                <w:szCs w:val="18"/>
                <w:color w:val="auto"/>
              </w:rPr>
              <w:t>(9)</w:t>
            </w:r>
          </w:p>
        </w:tc>
        <w:tc>
          <w:tcPr>
            <w:tcW w:w="12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300" w:type="dxa"/>
            <w:vAlign w:val="bottom"/>
            <w:shd w:val="clear" w:color="auto" w:fill="E7E6E6"/>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4860" w:type="dxa"/>
            <w:vAlign w:val="bottom"/>
          </w:tcPr>
          <w:p>
            <w:pPr>
              <w:ind w:left="20"/>
              <w:spacing w:after="0"/>
              <w:rPr>
                <w:sz w:val="20"/>
                <w:szCs w:val="20"/>
                <w:color w:val="auto"/>
              </w:rPr>
            </w:pPr>
            <w:r>
              <w:rPr>
                <w:rFonts w:ascii="Arial" w:cs="Arial" w:eastAsia="Arial" w:hAnsi="Arial"/>
                <w:sz w:val="18"/>
                <w:szCs w:val="18"/>
                <w:color w:val="auto"/>
              </w:rPr>
              <w:t>Loss on marketable securities</w:t>
            </w:r>
          </w:p>
        </w:tc>
        <w:tc>
          <w:tcPr>
            <w:tcW w:w="1020" w:type="dxa"/>
            <w:vAlign w:val="bottom"/>
            <w:shd w:val="clear" w:color="auto" w:fill="E7E6E6"/>
          </w:tcPr>
          <w:p>
            <w:pPr>
              <w:spacing w:after="0"/>
              <w:rPr>
                <w:sz w:val="23"/>
                <w:szCs w:val="23"/>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8"/>
                <w:szCs w:val="18"/>
                <w:color w:val="auto"/>
              </w:rPr>
              <w:t>(5)</w:t>
            </w:r>
          </w:p>
        </w:tc>
        <w:tc>
          <w:tcPr>
            <w:tcW w:w="1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(26)</w:t>
            </w:r>
          </w:p>
        </w:tc>
        <w:tc>
          <w:tcPr>
            <w:tcW w:w="200" w:type="dxa"/>
            <w:vAlign w:val="bottom"/>
          </w:tcPr>
          <w:p>
            <w:pPr>
              <w:spacing w:after="0"/>
              <w:rPr>
                <w:sz w:val="23"/>
                <w:szCs w:val="23"/>
                <w:color w:val="auto"/>
              </w:rPr>
            </w:pPr>
          </w:p>
        </w:tc>
        <w:tc>
          <w:tcPr>
            <w:tcW w:w="300" w:type="dxa"/>
            <w:vAlign w:val="bottom"/>
            <w:shd w:val="clear" w:color="auto" w:fill="E7E6E6"/>
          </w:tcPr>
          <w:p>
            <w:pPr>
              <w:spacing w:after="0"/>
              <w:rPr>
                <w:sz w:val="23"/>
                <w:szCs w:val="23"/>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3"/>
        </w:trPr>
        <w:tc>
          <w:tcPr>
            <w:tcW w:w="4860" w:type="dxa"/>
            <w:vAlign w:val="bottom"/>
          </w:tcPr>
          <w:p>
            <w:pPr>
              <w:ind w:left="20"/>
              <w:spacing w:after="0"/>
              <w:rPr>
                <w:sz w:val="20"/>
                <w:szCs w:val="20"/>
                <w:color w:val="auto"/>
              </w:rPr>
            </w:pPr>
            <w:r>
              <w:rPr>
                <w:rFonts w:ascii="Arial" w:cs="Arial" w:eastAsia="Arial" w:hAnsi="Arial"/>
                <w:sz w:val="18"/>
                <w:szCs w:val="18"/>
                <w:color w:val="auto"/>
              </w:rPr>
              <w:t>Foreign exchange rate loss</w:t>
            </w:r>
          </w:p>
        </w:tc>
        <w:tc>
          <w:tcPr>
            <w:tcW w:w="1020" w:type="dxa"/>
            <w:vAlign w:val="bottom"/>
            <w:tcBorders>
              <w:bottom w:val="single" w:sz="8" w:color="E7E6E6"/>
            </w:tcBorders>
            <w:shd w:val="clear" w:color="auto" w:fill="E7E6E6"/>
          </w:tcPr>
          <w:p>
            <w:pPr>
              <w:spacing w:after="0"/>
              <w:rPr>
                <w:sz w:val="24"/>
                <w:szCs w:val="24"/>
                <w:color w:val="auto"/>
              </w:rPr>
            </w:pPr>
          </w:p>
        </w:tc>
        <w:tc>
          <w:tcPr>
            <w:tcW w:w="44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(77)</w:t>
            </w:r>
          </w:p>
        </w:tc>
        <w:tc>
          <w:tcPr>
            <w:tcW w:w="1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200" w:type="dxa"/>
            <w:vAlign w:val="bottom"/>
          </w:tcPr>
          <w:p>
            <w:pPr>
              <w:spacing w:after="0"/>
              <w:rPr>
                <w:sz w:val="24"/>
                <w:szCs w:val="24"/>
                <w:color w:val="auto"/>
              </w:rPr>
            </w:pPr>
          </w:p>
        </w:tc>
        <w:tc>
          <w:tcPr>
            <w:tcW w:w="300" w:type="dxa"/>
            <w:vAlign w:val="bottom"/>
            <w:tcBorders>
              <w:bottom w:val="single" w:sz="8" w:color="E7E6E6"/>
            </w:tcBorders>
            <w:shd w:val="clear" w:color="auto" w:fill="E7E6E6"/>
          </w:tcPr>
          <w:p>
            <w:pPr>
              <w:spacing w:after="0"/>
              <w:rPr>
                <w:sz w:val="24"/>
                <w:szCs w:val="24"/>
                <w:color w:val="auto"/>
              </w:rPr>
            </w:pPr>
          </w:p>
        </w:tc>
        <w:tc>
          <w:tcPr>
            <w:tcW w:w="120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financial expenses</w:t>
            </w:r>
          </w:p>
        </w:tc>
        <w:tc>
          <w:tcPr>
            <w:tcW w:w="1020" w:type="dxa"/>
            <w:vAlign w:val="bottom"/>
            <w:tcBorders>
              <w:top w:val="single" w:sz="8" w:color="auto"/>
              <w:bottom w:val="single" w:sz="8" w:color="auto"/>
            </w:tcBorders>
            <w:shd w:val="clear" w:color="auto" w:fill="E6E6E6"/>
          </w:tcPr>
          <w:p>
            <w:pPr>
              <w:jc w:val="right"/>
              <w:ind w:right="81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(91)</w:t>
            </w:r>
          </w:p>
        </w:tc>
        <w:tc>
          <w:tcPr>
            <w:tcW w:w="12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(46)</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shd w:val="clear" w:color="auto" w:fill="E6E6E6"/>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(134)</w:t>
            </w: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19/44</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59" w:lineRule="exact"/>
        <w:rPr>
          <w:sz w:val="20"/>
          <w:szCs w:val="20"/>
          <w:color w:val="auto"/>
        </w:rPr>
      </w:pPr>
    </w:p>
    <w:tbl>
      <w:tblPr>
        <w:tblLayout w:type="fixed"/>
        <w:tblInd w:w="80" w:type="dxa"/>
        <w:tblCellMar>
          <w:top w:w="0" w:type="dxa"/>
          <w:left w:w="0" w:type="dxa"/>
          <w:bottom w:w="0" w:type="dxa"/>
          <w:right w:w="0" w:type="dxa"/>
        </w:tblCellMar>
      </w:tblPr>
      <w:tr>
        <w:trPr>
          <w:trHeight w:val="277"/>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financial items</w:t>
            </w:r>
          </w:p>
        </w:tc>
        <w:tc>
          <w:tcPr>
            <w:tcW w:w="660" w:type="dxa"/>
            <w:vAlign w:val="bottom"/>
            <w:tcBorders>
              <w:top w:val="single" w:sz="8" w:color="auto"/>
              <w:bottom w:val="single" w:sz="8" w:color="auto"/>
            </w:tcBorders>
            <w:shd w:val="clear" w:color="auto" w:fill="E6E6E6"/>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63</w:t>
            </w:r>
          </w:p>
        </w:tc>
        <w:tc>
          <w:tcPr>
            <w:tcW w:w="7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200" w:type="dxa"/>
            <w:vAlign w:val="bottom"/>
          </w:tcPr>
          <w:p>
            <w:pPr>
              <w:spacing w:after="0"/>
              <w:rPr>
                <w:sz w:val="24"/>
                <w:szCs w:val="24"/>
                <w:color w:val="auto"/>
              </w:rPr>
            </w:pPr>
          </w:p>
        </w:tc>
        <w:tc>
          <w:tcPr>
            <w:tcW w:w="620" w:type="dxa"/>
            <w:vAlign w:val="bottom"/>
            <w:tcBorders>
              <w:top w:val="single" w:sz="8" w:color="auto"/>
              <w:bottom w:val="single" w:sz="8" w:color="auto"/>
            </w:tcBorders>
            <w:shd w:val="clear" w:color="auto" w:fill="E6E6E6"/>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119</w:t>
            </w:r>
          </w:p>
        </w:tc>
        <w:tc>
          <w:tcPr>
            <w:tcW w:w="7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Financial Income</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Interest and other financial income was $58 million in the first six months of 2025 compared to $88 million in the first six months of 2024. The decrease of $30 million was primarily driven by lower average cash and cash equivalents and marketable securities as a result of the ProfoundBio acquisition in the second quarter of 2024, as well as lower interest rates on USD denominated marketable securities in the first six months of 2025 compared to the first six months of 2024.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Marketable Securities, Net</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Gain on marketable securities, net, which includes foreign exchange rate movements on marketable securities, was $57 million in the first six months of 2025 compared to $70 million in the first six months of 2024. The decrease in gain on marketable securities, net is primarily driven by the change in functional currency of Genmab A/S on January 1, 2025. As the majority of the investment portfolio is denominated in USD, those securities are no longer impacted by foreign exchange rate fluctuations included in the gain on marketable securities, net.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Gain, Net</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Foreign exchange rate gain, net, which excludes foreign exchange rate movements on marketable securities, was $17 million in the first six months of 2025 compared to foreign exchange rate gain, net of $ 48 million in the first six months of 2024. The decrease in foreign exchange rate gain, net is primarily driven by a lower foreign exchange rate impact due to the change in functional currency of Genmab A/S from DKK to USD on January 1, 2025.</w:t>
      </w:r>
    </w:p>
    <w:p>
      <w:pPr>
        <w:spacing w:after="0" w:line="142" w:lineRule="exact"/>
        <w:rPr>
          <w:sz w:val="20"/>
          <w:szCs w:val="20"/>
          <w:color w:val="auto"/>
        </w:rPr>
      </w:pPr>
    </w:p>
    <w:p>
      <w:pPr>
        <w:ind w:right="2080"/>
        <w:spacing w:after="0" w:line="493" w:lineRule="auto"/>
        <w:rPr>
          <w:sz w:val="20"/>
          <w:szCs w:val="20"/>
          <w:color w:val="auto"/>
        </w:rPr>
      </w:pPr>
      <w:r>
        <w:rPr>
          <w:rFonts w:ascii="Arial" w:cs="Arial" w:eastAsia="Arial" w:hAnsi="Arial"/>
          <w:sz w:val="18"/>
          <w:szCs w:val="18"/>
          <w:color w:val="auto"/>
        </w:rPr>
        <w:t xml:space="preserve">Refer to Financial Statement Note 1 and Note 6 in this interim report for further details about the net financial items. </w:t>
      </w:r>
      <w:r>
        <w:rPr>
          <w:rFonts w:ascii="Arial" w:cs="Arial" w:eastAsia="Arial" w:hAnsi="Arial"/>
          <w:sz w:val="18"/>
          <w:szCs w:val="18"/>
          <w:b w:val="1"/>
          <w:bCs w:val="1"/>
          <w:color w:val="auto"/>
        </w:rPr>
        <w:t>Key Developments to Net Financial Items – Second Quarter of 2025</w:t>
      </w:r>
    </w:p>
    <w:p>
      <w:pPr>
        <w:spacing w:after="0"/>
        <w:rPr>
          <w:sz w:val="20"/>
          <w:szCs w:val="20"/>
          <w:color w:val="auto"/>
        </w:rPr>
      </w:pPr>
      <w:r>
        <w:rPr>
          <w:rFonts w:ascii="Arial" w:cs="Arial" w:eastAsia="Arial" w:hAnsi="Arial"/>
          <w:sz w:val="18"/>
          <w:szCs w:val="18"/>
          <w:b w:val="1"/>
          <w:bCs w:val="1"/>
          <w:color w:val="auto"/>
        </w:rPr>
        <w:t>Interest and Other Financial Income</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Interest and other financial income was $25 million for the second quarter of 2025 compared to $42 million for the second quarter of 2024. The decrease of $17 million was primarily driven by lower cash and cash equivalents and marketable securities in the second quarter of 2025 as a result of the ProfoundBio acquisition, compared to the second quarter of 2024.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Gain, Net</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Foreign exchange rate gain, net was $6 million in the second quarter of 2025 compared to the foreign exchange rate gain, net of $2 million in the second quarter of 2024. The DKK strengthened against the USD in the second quarter of 2025, positively impacting our DKK denominated cash holdings.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Corporate Tax</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Corporate tax expense for the first six months of 2025 was $136 million compared to $ 161 million for the first six months of 2024. The decrease in corporate tax expense is primarily the result of Genmab’s lower estimated annual effective tax rate in the first six months of 2025 of 20.3% compared to 28.9% in the first six months of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 to Corporate Tax – Second Quarter of 2025</w:t>
      </w:r>
    </w:p>
    <w:p>
      <w:pPr>
        <w:spacing w:after="0" w:line="27"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Corporate tax expense for the second quarter of 2025 was $87 million compared to $104 million for the second quarter of 2024. The decrease in corporate tax expense is primarily the result of Genmab’s lower estimated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20/44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Net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profit for the first six months of 2025 was $531 million compared to $395 million in the first six months of 2024. The increase was driven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20" w:type="dxa"/>
            <w:vAlign w:val="bottom"/>
          </w:tcPr>
          <w:p>
            <w:pPr>
              <w:spacing w:after="0"/>
              <w:rPr>
                <w:sz w:val="20"/>
                <w:szCs w:val="20"/>
                <w:color w:val="auto"/>
              </w:rPr>
            </w:pPr>
            <w:r>
              <w:rPr>
                <w:rFonts w:ascii="Arial" w:cs="Arial" w:eastAsia="Arial" w:hAnsi="Arial"/>
                <w:sz w:val="18"/>
                <w:szCs w:val="18"/>
                <w:color w:val="auto"/>
              </w:rPr>
              <w:t>by the items described above.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8020" w:type="dxa"/>
            <w:vAlign w:val="bottom"/>
          </w:tcPr>
          <w:p>
            <w:pPr>
              <w:spacing w:after="0"/>
              <w:rPr>
                <w:sz w:val="20"/>
                <w:szCs w:val="20"/>
                <w:color w:val="auto"/>
              </w:rPr>
            </w:pPr>
            <w:r>
              <w:rPr>
                <w:rFonts w:ascii="Arial" w:cs="Arial" w:eastAsia="Arial" w:hAnsi="Arial"/>
                <w:sz w:val="18"/>
                <w:szCs w:val="18"/>
                <w:b w:val="1"/>
                <w:bCs w:val="1"/>
                <w:color w:val="029C93"/>
              </w:rPr>
              <w:t>Liquidity and Capital Resources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8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4"/>
        </w:trPr>
        <w:tc>
          <w:tcPr>
            <w:tcW w:w="8020" w:type="dxa"/>
            <w:vAlign w:val="bottom"/>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260" w:type="dxa"/>
            <w:vAlign w:val="bottom"/>
            <w:shd w:val="clear" w:color="auto" w:fill="E6E6E6"/>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0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shd w:val="clear" w:color="auto" w:fill="E6E6E6"/>
          </w:tcPr>
          <w:p>
            <w:pPr>
              <w:jc w:val="right"/>
              <w:ind w:right="10"/>
              <w:spacing w:after="0"/>
              <w:rPr>
                <w:sz w:val="20"/>
                <w:szCs w:val="20"/>
                <w:color w:val="auto"/>
              </w:rPr>
            </w:pPr>
            <w:r>
              <w:rPr>
                <w:rFonts w:ascii="Arial" w:cs="Arial" w:eastAsia="Arial" w:hAnsi="Arial"/>
                <w:sz w:val="18"/>
                <w:szCs w:val="18"/>
                <w:b w:val="1"/>
                <w:bCs w:val="1"/>
                <w:color w:val="auto"/>
              </w:rPr>
              <w:t>June 30, 2025</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47"/>
        </w:trPr>
        <w:tc>
          <w:tcPr>
            <w:tcW w:w="802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1,603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70"/>
        </w:trPr>
        <w:tc>
          <w:tcPr>
            <w:tcW w:w="80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1,296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73"/>
        </w:trPr>
        <w:tc>
          <w:tcPr>
            <w:tcW w:w="802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5,302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0"/>
        </w:trPr>
        <w:tc>
          <w:tcPr>
            <w:tcW w:w="8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5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00" w:type="dxa"/>
            <w:vAlign w:val="bottom"/>
            <w:gridSpan w:val="5"/>
          </w:tcPr>
          <w:p>
            <w:pPr>
              <w:jc w:val="right"/>
              <w:ind w:right="890"/>
              <w:spacing w:after="0"/>
              <w:rPr>
                <w:sz w:val="20"/>
                <w:szCs w:val="20"/>
                <w:color w:val="auto"/>
              </w:rPr>
            </w:pPr>
            <w:r>
              <w:rPr>
                <w:rFonts w:ascii="Arial" w:cs="Arial" w:eastAsia="Arial" w:hAnsi="Arial"/>
                <w:sz w:val="18"/>
                <w:szCs w:val="18"/>
                <w:b w:val="1"/>
                <w:bCs w:val="1"/>
                <w:color w:val="auto"/>
              </w:rPr>
              <w:t>Six Months Ended June 30,</w:t>
            </w:r>
          </w:p>
        </w:tc>
      </w:tr>
      <w:tr>
        <w:trPr>
          <w:trHeight w:val="278"/>
        </w:trPr>
        <w:tc>
          <w:tcPr>
            <w:tcW w:w="55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47"/>
        </w:trPr>
        <w:tc>
          <w:tcPr>
            <w:tcW w:w="5500" w:type="dxa"/>
            <w:vAlign w:val="bottom"/>
          </w:tcPr>
          <w:p>
            <w:pPr>
              <w:ind w:left="100"/>
              <w:spacing w:after="0"/>
              <w:rPr>
                <w:sz w:val="20"/>
                <w:szCs w:val="20"/>
                <w:color w:val="auto"/>
              </w:rPr>
            </w:pPr>
            <w:r>
              <w:rPr>
                <w:rFonts w:ascii="Arial" w:cs="Arial" w:eastAsia="Arial" w:hAnsi="Arial"/>
                <w:sz w:val="18"/>
                <w:szCs w:val="18"/>
                <w:color w:val="auto"/>
              </w:rPr>
              <w:t>Cash provided by operating activities</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5500" w:type="dxa"/>
            <w:vAlign w:val="bottom"/>
          </w:tcPr>
          <w:p>
            <w:pPr>
              <w:ind w:left="100"/>
              <w:spacing w:after="0"/>
              <w:rPr>
                <w:sz w:val="20"/>
                <w:szCs w:val="20"/>
                <w:color w:val="auto"/>
              </w:rPr>
            </w:pPr>
            <w:r>
              <w:rPr>
                <w:rFonts w:ascii="Arial" w:cs="Arial" w:eastAsia="Arial" w:hAnsi="Arial"/>
                <w:sz w:val="18"/>
                <w:szCs w:val="18"/>
                <w:color w:val="auto"/>
              </w:rPr>
              <w:t>Cash (used in) investing activities</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70"/>
        </w:trPr>
        <w:tc>
          <w:tcPr>
            <w:tcW w:w="5500" w:type="dxa"/>
            <w:vAlign w:val="bottom"/>
          </w:tcPr>
          <w:p>
            <w:pPr>
              <w:ind w:left="100"/>
              <w:spacing w:after="0"/>
              <w:rPr>
                <w:sz w:val="20"/>
                <w:szCs w:val="20"/>
                <w:color w:val="auto"/>
              </w:rPr>
            </w:pPr>
            <w:r>
              <w:rPr>
                <w:rFonts w:ascii="Arial" w:cs="Arial" w:eastAsia="Arial" w:hAnsi="Arial"/>
                <w:sz w:val="18"/>
                <w:szCs w:val="18"/>
                <w:color w:val="auto"/>
              </w:rPr>
              <w:t>Cash (used in) financing activities</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(419)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
        </w:trPr>
        <w:tc>
          <w:tcPr>
            <w:tcW w:w="5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5500" w:type="dxa"/>
            <w:vAlign w:val="bottom"/>
          </w:tcPr>
          <w:p>
            <w:pPr>
              <w:ind w:left="10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4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(1,567)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1,480</w:t>
            </w:r>
          </w:p>
        </w:tc>
      </w:tr>
      <w:tr>
        <w:trPr>
          <w:trHeight w:val="478"/>
        </w:trPr>
        <w:tc>
          <w:tcPr>
            <w:tcW w:w="5500" w:type="dxa"/>
            <w:vAlign w:val="bottom"/>
          </w:tcPr>
          <w:p>
            <w:pPr>
              <w:ind w:left="100"/>
              <w:spacing w:after="0"/>
              <w:rPr>
                <w:sz w:val="20"/>
                <w:szCs w:val="20"/>
                <w:color w:val="auto"/>
              </w:rPr>
            </w:pPr>
            <w:r>
              <w:rPr>
                <w:rFonts w:ascii="Arial" w:cs="Arial" w:eastAsia="Arial" w:hAnsi="Arial"/>
                <w:sz w:val="18"/>
                <w:szCs w:val="18"/>
                <w:color w:val="auto"/>
              </w:rPr>
              <w:t>Exchange Rate adjustments</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
        </w:trPr>
        <w:tc>
          <w:tcPr>
            <w:tcW w:w="5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Net cash provided by operating activities is primarily related to our operating profit, changes in operating assets and liabilities, reversal of net financial items, and adjustments related to non-cash transactions. The $ 89 million decrease in net cash provided by operating activities is primarily driven by a $268 million increase in corporate taxes paid in the first six months of 2025 compared to first six months of 2024. The increase in corporate taxes paid was a result of a higher corporate tax payable as of December 31, 2024 compared to December 31, 2023, resulting from the transfer of ProfoundBio related intangible assets to Genmab A/S. This decrease was partly offset by an increase in operating profit of $196 million.</w:t>
      </w:r>
    </w:p>
    <w:p>
      <w:pPr>
        <w:spacing w:after="0" w:line="21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Net cash used in investing activities primarily reflects differences between the proceeds received from the sale and maturity of our investments and amounts invested, and the cash paid for investments in tangible and intangible assets. The $1,463 million decrease in net cash used in investing activities is primarily driven by the acquisition of ProfoundBio during the second quarter of 2024, partly offset by the sales and maturities of marketable securities exceeding purchases to a greater extent in the first six months of 2024 compared to first six months of 2025.</w:t>
      </w:r>
    </w:p>
    <w:p>
      <w:pPr>
        <w:spacing w:after="0" w:line="20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Net cash used in financing activities is primarily related to the purchase of treasury shares, exercise of warrants, lease payments, and payment of withholding taxes on behalf of employees on net settled Restricted Stock Units (RSUs). The $106 million decrease in net cash used in financing activities between the periods is primarily driven by $111 million decreased cash paid for the purchase of treasury shares during the first six months of 2025 compared to the first six months of 2024 due to the timing of share repurchases. This decrease was partly offset by lower proceeds from the exercise of warrants of $4 million, with $7 million received in the first six months of 2025 as compared to $11 million in the first six months of 2024.</w:t>
      </w:r>
    </w:p>
    <w:p>
      <w:pPr>
        <w:spacing w:after="0" w:line="3" w:lineRule="exact"/>
        <w:rPr>
          <w:sz w:val="20"/>
          <w:szCs w:val="20"/>
          <w:color w:val="auto"/>
        </w:rPr>
      </w:pPr>
    </w:p>
    <w:p>
      <w:pPr>
        <w:ind w:right="840"/>
        <w:spacing w:after="0" w:line="266" w:lineRule="auto"/>
        <w:rPr>
          <w:sz w:val="20"/>
          <w:szCs w:val="20"/>
          <w:color w:val="auto"/>
        </w:rPr>
      </w:pPr>
      <w:r>
        <w:rPr>
          <w:rFonts w:ascii="Arial" w:cs="Arial" w:eastAsia="Arial" w:hAnsi="Arial"/>
          <w:sz w:val="18"/>
          <w:szCs w:val="18"/>
          <w:color w:val="auto"/>
        </w:rPr>
        <w:t>Genmab’s USD denominated marketable securities represented 75% of Genmab’s total marketable securities as of June 30, 2025, compared to 76% as of December 31, 2024.</w:t>
      </w:r>
    </w:p>
    <w:p>
      <w:pPr>
        <w:spacing w:after="0" w:line="14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Cash and cash equivalents included short-term marketable securities of $122 million as of June 30, 2025, compared to $11 million as of December 31, 2024. In accordance with our accounting policy, securities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21/44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purchased with a maturity of less than ninety days at the date of acquisition are classified as cash and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 Financial Instruments in this interim report for further details about our marketable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Balance Sheet</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June 30, 2025, total assets were $6,464 million compared to $6,414 million on December 31, 2024. As of June 30, 2025, assets were mainly comprised of $355 million of goodwill and $1,752 million of other intangible assets, primarily made up of assets acquired in the ProfoundBio acquisition, marketable securities of $1,603 million, current receivables of $998 million, and cash and cash equivalents of $1,296 million. The current receivables consist primarily of amounts related to royalties from our collaboration agreements.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June 30, 2025, total liabilities were $1,162 million compared to $1,277 million on December 31, 2024. The decrease in total liabilities of $115 million was primarily driven by a decrease of $199 million in corporate taxes payable primarily due to Genmab’s lower annual effective tax rate, partially offset by an increase in current other payables of $ 78 million, primarily related to accruals related to the expansion of our product pipeline, offset by a decrease in accrued compensation due to bonus payments made in the first three months of 2025.</w:t>
      </w:r>
    </w:p>
    <w:p>
      <w:pPr>
        <w:spacing w:after="0" w:line="136" w:lineRule="exact"/>
        <w:rPr>
          <w:sz w:val="20"/>
          <w:szCs w:val="20"/>
          <w:color w:val="auto"/>
        </w:rPr>
      </w:pPr>
    </w:p>
    <w:p>
      <w:pPr>
        <w:jc w:val="both"/>
        <w:ind w:right="500"/>
        <w:spacing w:after="0" w:line="291" w:lineRule="auto"/>
        <w:rPr>
          <w:sz w:val="20"/>
          <w:szCs w:val="20"/>
          <w:color w:val="auto"/>
        </w:rPr>
      </w:pPr>
      <w:r>
        <w:rPr>
          <w:rFonts w:ascii="Arial" w:cs="Arial" w:eastAsia="Arial" w:hAnsi="Arial"/>
          <w:sz w:val="17"/>
          <w:szCs w:val="17"/>
          <w:color w:val="auto"/>
        </w:rPr>
        <w:t>Shareholders’ equity as of June 30, 2025, was $5,302 million compared to $5,137 million on December 31, 2024. The increase of $ 165 million, or 3%, was primarily driven by Genmab’s net profit for the period and share-based compensation expenses, partly offset by the purchase of treasury shares. Genmab’s equity ratio increased to 82% as of June 30, 2025 compared to 80% as of December 31,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Team Members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June 30, 2025, the total number of team members was 2,639 compared to 2,526 as of June 30, 2024. The increase was primarily driven by the continued expansion of our product portfolio, as well as the investment in the expansion of Genmab’s global commercialization capabilities, including continued support for EPKINLY in the U.S. and Japan post launch activities, and broader organizational capabilities and the acquisition of ProfoundBio, which occurred during the second quarter of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60" w:type="dxa"/>
            <w:vAlign w:val="bottom"/>
          </w:tcPr>
          <w:p>
            <w:pPr>
              <w:spacing w:after="0"/>
              <w:rPr>
                <w:sz w:val="21"/>
                <w:szCs w:val="21"/>
                <w:color w:val="auto"/>
              </w:rPr>
            </w:pPr>
          </w:p>
        </w:tc>
        <w:tc>
          <w:tcPr>
            <w:tcW w:w="28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Six Months Ended June 30,</w:t>
            </w:r>
          </w:p>
        </w:tc>
      </w:tr>
      <w:tr>
        <w:trPr>
          <w:trHeight w:val="279"/>
        </w:trPr>
        <w:tc>
          <w:tcPr>
            <w:tcW w:w="8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Team Members</w:t>
            </w:r>
          </w:p>
        </w:tc>
        <w:tc>
          <w:tcPr>
            <w:tcW w:w="1360" w:type="dxa"/>
            <w:vAlign w:val="bottom"/>
            <w:tcBorders>
              <w:bottom w:val="single" w:sz="8" w:color="auto"/>
            </w:tcBorders>
            <w:shd w:val="clear" w:color="auto" w:fill="E7E6E6"/>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47"/>
        </w:trPr>
        <w:tc>
          <w:tcPr>
            <w:tcW w:w="8060" w:type="dxa"/>
            <w:vAlign w:val="bottom"/>
          </w:tcPr>
          <w:p>
            <w:pPr>
              <w:ind w:left="100"/>
              <w:spacing w:after="0"/>
              <w:rPr>
                <w:sz w:val="20"/>
                <w:szCs w:val="20"/>
                <w:color w:val="auto"/>
              </w:rPr>
            </w:pPr>
            <w:r>
              <w:rPr>
                <w:rFonts w:ascii="Arial" w:cs="Arial" w:eastAsia="Arial" w:hAnsi="Arial"/>
                <w:sz w:val="18"/>
                <w:szCs w:val="18"/>
                <w:color w:val="auto"/>
              </w:rPr>
              <w:t>Research and development team members</w:t>
            </w:r>
          </w:p>
        </w:tc>
        <w:tc>
          <w:tcPr>
            <w:tcW w:w="136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1,830</w:t>
            </w:r>
          </w:p>
        </w:tc>
        <w:tc>
          <w:tcPr>
            <w:tcW w:w="146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93"/>
        </w:trPr>
        <w:tc>
          <w:tcPr>
            <w:tcW w:w="8060" w:type="dxa"/>
            <w:vAlign w:val="bottom"/>
          </w:tcPr>
          <w:p>
            <w:pPr>
              <w:ind w:left="100"/>
              <w:spacing w:after="0"/>
              <w:rPr>
                <w:sz w:val="20"/>
                <w:szCs w:val="20"/>
                <w:color w:val="auto"/>
              </w:rPr>
            </w:pPr>
            <w:r>
              <w:rPr>
                <w:rFonts w:ascii="Arial" w:cs="Arial" w:eastAsia="Arial" w:hAnsi="Arial"/>
                <w:sz w:val="18"/>
                <w:szCs w:val="18"/>
                <w:color w:val="auto"/>
              </w:rPr>
              <w:t>Selling, general and administrative team members</w:t>
            </w:r>
          </w:p>
        </w:tc>
        <w:tc>
          <w:tcPr>
            <w:tcW w:w="136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809</w:t>
            </w:r>
          </w:p>
        </w:tc>
        <w:tc>
          <w:tcPr>
            <w:tcW w:w="146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57"/>
        </w:trPr>
        <w:tc>
          <w:tcPr>
            <w:tcW w:w="80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 team members</w:t>
            </w:r>
          </w:p>
        </w:tc>
        <w:tc>
          <w:tcPr>
            <w:tcW w:w="13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2,639</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2,526</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Legal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Chugai Patent Infringement Complaint</w:t>
      </w:r>
    </w:p>
    <w:p>
      <w:pPr>
        <w:spacing w:after="0" w:line="2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In 2024, Chugai filed a lawsuit in the Tokyo District Court, Japan against AbbVie’s and Genmab’s subsidiaries in Japan asserting that their activities with EPKINLY (epcoritamab) in Japan infringe two Japanese patents held by Chugai, JP6278598 and JP6773929. Chugai is claiming damages and injunctive relief.</w:t>
      </w:r>
    </w:p>
    <w:p>
      <w:pPr>
        <w:spacing w:after="0" w:line="15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Genmab and AbbVie believe that the two Japanese patents are invalid and not infringed and are vigorously defending against the lawsuit, and thus no provision has been recorded related to this matter.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Rina-S Trade Secret Complaint</w:t>
      </w:r>
    </w:p>
    <w:p>
      <w:pPr>
        <w:spacing w:after="0" w:line="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During the first quarter of 2025, AbbVie filed a complaint in the U.S. District Court for the Western District of Washington (Seattle) naming Genmab A/S; ProfoundBio US Co.; ProfoundBio (Suzhou) Co., Ltd.; and former AbbVie employees as defendants. AbbVie alleges that the defendants have misappropriated AbbVie’s alleged trade secrets relating to the use of disaccharides to improve the hydrophilicity of drug-linkers in ADCs in connection with Rina-S and other ADC pipeline products of ProfoundBio. AbbVie is seeking damages and broad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22/44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injunctive reliefs. AbbVie is not asserting or enforcing any patent rights against the defendants, and to Genmab’s knowledge, AbbVie has not pursued any development of products incorporating their alleged trade secrets.</w:t>
      </w:r>
    </w:p>
    <w:p>
      <w:pPr>
        <w:spacing w:after="0" w:line="11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Genmab categorically refutes these allegations and will vigorously defend the company against AbbVie’s claims, and thus no provision has been recorded related to this matter.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23/44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CONDENSED CONSOLIDATED STATEMENTS OF COMPREHENSIVE INCOME</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4"/>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9"/>
                <w:szCs w:val="19"/>
                <w:color w:val="auto"/>
              </w:rPr>
            </w:pPr>
          </w:p>
        </w:tc>
        <w:tc>
          <w:tcPr>
            <w:tcW w:w="276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Six Months Ended June 30,</w:t>
            </w:r>
          </w:p>
        </w:tc>
      </w:tr>
      <w:tr>
        <w:trPr>
          <w:trHeight w:val="247"/>
        </w:trPr>
        <w:tc>
          <w:tcPr>
            <w:tcW w:w="4160" w:type="dxa"/>
            <w:vAlign w:val="bottom"/>
          </w:tcPr>
          <w:p>
            <w:pPr>
              <w:spacing w:after="0"/>
              <w:rPr>
                <w:sz w:val="20"/>
                <w:szCs w:val="20"/>
                <w:color w:val="auto"/>
              </w:rPr>
            </w:pPr>
            <w:r>
              <w:rPr>
                <w:rFonts w:ascii="Arial" w:cs="Arial" w:eastAsia="Arial" w:hAnsi="Arial"/>
                <w:sz w:val="16"/>
                <w:szCs w:val="16"/>
                <w:b w:val="1"/>
                <w:bCs w:val="1"/>
                <w:color w:val="auto"/>
              </w:rPr>
              <w:t>(USD million)</w:t>
            </w:r>
          </w:p>
        </w:tc>
        <w:tc>
          <w:tcPr>
            <w:tcW w:w="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Note</w:t>
            </w:r>
          </w:p>
        </w:tc>
        <w:tc>
          <w:tcPr>
            <w:tcW w:w="120" w:type="dxa"/>
            <w:vAlign w:val="bottom"/>
            <w:shd w:val="clear" w:color="auto" w:fill="E7E6E6"/>
          </w:tcPr>
          <w:p>
            <w:pPr>
              <w:spacing w:after="0"/>
              <w:rPr>
                <w:sz w:val="21"/>
                <w:szCs w:val="21"/>
                <w:color w:val="auto"/>
              </w:rPr>
            </w:pPr>
          </w:p>
        </w:tc>
        <w:tc>
          <w:tcPr>
            <w:tcW w:w="1360" w:type="dxa"/>
            <w:vAlign w:val="bottom"/>
            <w:shd w:val="clear" w:color="auto" w:fill="E7E6E6"/>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21"/>
                <w:szCs w:val="21"/>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2024* Restated</w:t>
            </w:r>
          </w:p>
        </w:tc>
        <w:tc>
          <w:tcPr>
            <w:tcW w:w="120" w:type="dxa"/>
            <w:vAlign w:val="bottom"/>
            <w:shd w:val="clear" w:color="auto" w:fill="E7E6E6"/>
          </w:tcPr>
          <w:p>
            <w:pPr>
              <w:spacing w:after="0"/>
              <w:rPr>
                <w:sz w:val="21"/>
                <w:szCs w:val="21"/>
                <w:color w:val="auto"/>
              </w:rPr>
            </w:pPr>
          </w:p>
        </w:tc>
        <w:tc>
          <w:tcPr>
            <w:tcW w:w="1300" w:type="dxa"/>
            <w:vAlign w:val="bottom"/>
            <w:shd w:val="clear" w:color="auto" w:fill="E7E6E6"/>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4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2024* Restated</w:t>
            </w:r>
          </w:p>
        </w:tc>
      </w:tr>
      <w:tr>
        <w:trPr>
          <w:trHeight w:val="225"/>
        </w:trPr>
        <w:tc>
          <w:tcPr>
            <w:tcW w:w="4160" w:type="dxa"/>
            <w:vAlign w:val="bottom"/>
          </w:tcPr>
          <w:p>
            <w:pPr>
              <w:spacing w:after="0"/>
              <w:rPr>
                <w:sz w:val="20"/>
                <w:szCs w:val="20"/>
                <w:color w:val="auto"/>
              </w:rPr>
            </w:pPr>
            <w:r>
              <w:rPr>
                <w:rFonts w:ascii="Arial" w:cs="Arial" w:eastAsia="Arial" w:hAnsi="Arial"/>
                <w:sz w:val="16"/>
                <w:szCs w:val="16"/>
                <w:color w:val="auto"/>
              </w:rPr>
              <w:t>Revenue</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20" w:type="dxa"/>
            <w:vAlign w:val="bottom"/>
            <w:tcBorders>
              <w:top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925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160" w:type="dxa"/>
            <w:vAlign w:val="bottom"/>
          </w:tcPr>
          <w:p>
            <w:pPr>
              <w:spacing w:after="0"/>
              <w:rPr>
                <w:sz w:val="19"/>
                <w:szCs w:val="19"/>
                <w:color w:val="auto"/>
              </w:rPr>
            </w:pPr>
          </w:p>
        </w:tc>
        <w:tc>
          <w:tcPr>
            <w:tcW w:w="120" w:type="dxa"/>
            <w:vAlign w:val="bottom"/>
            <w:tcBorders>
              <w:top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1,640</w:t>
            </w:r>
          </w:p>
        </w:tc>
        <w:tc>
          <w:tcPr>
            <w:tcW w:w="5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w:t>
            </w:r>
          </w:p>
        </w:tc>
      </w:tr>
      <w:tr>
        <w:trPr>
          <w:trHeight w:val="405"/>
        </w:trPr>
        <w:tc>
          <w:tcPr>
            <w:tcW w:w="4160" w:type="dxa"/>
            <w:vAlign w:val="bottom"/>
          </w:tcPr>
          <w:p>
            <w:pPr>
              <w:spacing w:after="0"/>
              <w:rPr>
                <w:sz w:val="20"/>
                <w:szCs w:val="20"/>
                <w:color w:val="auto"/>
              </w:rPr>
            </w:pPr>
            <w:r>
              <w:rPr>
                <w:rFonts w:ascii="Arial" w:cs="Arial" w:eastAsia="Arial" w:hAnsi="Arial"/>
                <w:sz w:val="16"/>
                <w:szCs w:val="16"/>
                <w:color w:val="auto"/>
              </w:rPr>
              <w:t>Cost of product sales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7E6E6"/>
          </w:tcPr>
          <w:p>
            <w:pPr>
              <w:spacing w:after="0"/>
              <w:rPr>
                <w:sz w:val="24"/>
                <w:szCs w:val="24"/>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24"/>
                <w:szCs w:val="24"/>
                <w:color w:val="auto"/>
              </w:rPr>
            </w:pPr>
          </w:p>
        </w:tc>
        <w:tc>
          <w:tcPr>
            <w:tcW w:w="120" w:type="dxa"/>
            <w:vAlign w:val="bottom"/>
            <w:shd w:val="clear" w:color="auto" w:fill="E7E6E6"/>
          </w:tcPr>
          <w:p>
            <w:pPr>
              <w:spacing w:after="0"/>
              <w:rPr>
                <w:sz w:val="24"/>
                <w:szCs w:val="24"/>
                <w:color w:val="auto"/>
              </w:rPr>
            </w:pPr>
          </w:p>
        </w:tc>
        <w:tc>
          <w:tcPr>
            <w:tcW w:w="13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(99)</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43"/>
        </w:trPr>
        <w:tc>
          <w:tcPr>
            <w:tcW w:w="416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shd w:val="clear" w:color="auto" w:fill="E7E6E6"/>
          </w:tcPr>
          <w:p>
            <w:pPr>
              <w:spacing w:after="0"/>
              <w:rPr>
                <w:sz w:val="21"/>
                <w:szCs w:val="21"/>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(364)</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w:t>
            </w:r>
          </w:p>
        </w:tc>
        <w:tc>
          <w:tcPr>
            <w:tcW w:w="160" w:type="dxa"/>
            <w:vAlign w:val="bottom"/>
          </w:tcPr>
          <w:p>
            <w:pPr>
              <w:spacing w:after="0"/>
              <w:rPr>
                <w:sz w:val="21"/>
                <w:szCs w:val="21"/>
                <w:color w:val="auto"/>
              </w:rPr>
            </w:pPr>
          </w:p>
        </w:tc>
        <w:tc>
          <w:tcPr>
            <w:tcW w:w="120" w:type="dxa"/>
            <w:vAlign w:val="bottom"/>
            <w:shd w:val="clear" w:color="auto" w:fill="E7E6E6"/>
          </w:tcPr>
          <w:p>
            <w:pPr>
              <w:spacing w:after="0"/>
              <w:rPr>
                <w:sz w:val="21"/>
                <w:szCs w:val="21"/>
                <w:color w:val="auto"/>
              </w:rPr>
            </w:pPr>
          </w:p>
        </w:tc>
        <w:tc>
          <w:tcPr>
            <w:tcW w:w="13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(723)</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243"/>
        </w:trPr>
        <w:tc>
          <w:tcPr>
            <w:tcW w:w="416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shd w:val="clear" w:color="auto" w:fill="E7E6E6"/>
          </w:tcPr>
          <w:p>
            <w:pPr>
              <w:spacing w:after="0"/>
              <w:rPr>
                <w:sz w:val="21"/>
                <w:szCs w:val="21"/>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21"/>
                <w:szCs w:val="21"/>
                <w:color w:val="auto"/>
              </w:rPr>
            </w:pPr>
          </w:p>
        </w:tc>
        <w:tc>
          <w:tcPr>
            <w:tcW w:w="120" w:type="dxa"/>
            <w:vAlign w:val="bottom"/>
            <w:shd w:val="clear" w:color="auto" w:fill="E7E6E6"/>
          </w:tcPr>
          <w:p>
            <w:pPr>
              <w:spacing w:after="0"/>
              <w:rPr>
                <w:sz w:val="21"/>
                <w:szCs w:val="21"/>
                <w:color w:val="auto"/>
              </w:rPr>
            </w:pPr>
          </w:p>
        </w:tc>
        <w:tc>
          <w:tcPr>
            <w:tcW w:w="13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(270)</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52"/>
        </w:trPr>
        <w:tc>
          <w:tcPr>
            <w:tcW w:w="4160" w:type="dxa"/>
            <w:vAlign w:val="bottom"/>
          </w:tcPr>
          <w:p>
            <w:pPr>
              <w:spacing w:after="0"/>
              <w:rPr>
                <w:sz w:val="20"/>
                <w:szCs w:val="20"/>
                <w:color w:val="auto"/>
              </w:rPr>
            </w:pPr>
            <w:r>
              <w:rPr>
                <w:rFonts w:ascii="Arial" w:cs="Arial" w:eastAsia="Arial" w:hAnsi="Arial"/>
                <w:sz w:val="16"/>
                <w:szCs w:val="16"/>
                <w:color w:val="auto"/>
              </w:rPr>
              <w:t>Acquisition and integration related charges</w:t>
            </w:r>
          </w:p>
        </w:tc>
        <w:tc>
          <w:tcPr>
            <w:tcW w:w="62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E7E6E6"/>
          </w:tcPr>
          <w:p>
            <w:pPr>
              <w:spacing w:after="0"/>
              <w:rPr>
                <w:sz w:val="21"/>
                <w:szCs w:val="21"/>
                <w:color w:val="auto"/>
              </w:rPr>
            </w:pPr>
          </w:p>
        </w:tc>
        <w:tc>
          <w:tcPr>
            <w:tcW w:w="13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21"/>
                <w:szCs w:val="21"/>
                <w:color w:val="auto"/>
              </w:rPr>
            </w:pPr>
          </w:p>
        </w:tc>
        <w:tc>
          <w:tcPr>
            <w:tcW w:w="120" w:type="dxa"/>
            <w:vAlign w:val="bottom"/>
            <w:tcBorders>
              <w:bottom w:val="single" w:sz="8" w:color="auto"/>
            </w:tcBorders>
            <w:shd w:val="clear" w:color="auto" w:fill="E7E6E6"/>
          </w:tcPr>
          <w:p>
            <w:pPr>
              <w:spacing w:after="0"/>
              <w:rPr>
                <w:sz w:val="21"/>
                <w:szCs w:val="21"/>
                <w:color w:val="auto"/>
              </w:rPr>
            </w:pPr>
          </w:p>
        </w:tc>
        <w:tc>
          <w:tcPr>
            <w:tcW w:w="13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39"/>
        </w:trPr>
        <w:tc>
          <w:tcPr>
            <w:tcW w:w="4160" w:type="dxa"/>
            <w:vAlign w:val="bottom"/>
          </w:tcPr>
          <w:p>
            <w:pPr>
              <w:spacing w:after="0"/>
              <w:rPr>
                <w:sz w:val="20"/>
                <w:szCs w:val="20"/>
                <w:color w:val="auto"/>
              </w:rPr>
            </w:pPr>
            <w:r>
              <w:rPr>
                <w:rFonts w:ascii="Arial" w:cs="Arial" w:eastAsia="Arial" w:hAnsi="Arial"/>
                <w:sz w:val="16"/>
                <w:szCs w:val="16"/>
                <w:b w:val="1"/>
                <w:bCs w:val="1"/>
                <w:color w:val="auto"/>
              </w:rPr>
              <w:t>Total costs and operating expenses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(565)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(543)</w:t>
            </w:r>
          </w:p>
        </w:tc>
        <w:tc>
          <w:tcPr>
            <w:tcW w:w="160" w:type="dxa"/>
            <w:vAlign w:val="bottom"/>
          </w:tcPr>
          <w:p>
            <w:pPr>
              <w:spacing w:after="0"/>
              <w:rPr>
                <w:sz w:val="20"/>
                <w:szCs w:val="20"/>
                <w:color w:val="auto"/>
              </w:rPr>
            </w:pPr>
          </w:p>
        </w:tc>
        <w:tc>
          <w:tcPr>
            <w:tcW w:w="1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(1,092)</w:t>
            </w: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(1,030)</w:t>
            </w:r>
          </w:p>
        </w:tc>
      </w:tr>
      <w:tr>
        <w:trPr>
          <w:trHeight w:val="381"/>
        </w:trPr>
        <w:tc>
          <w:tcPr>
            <w:tcW w:w="416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360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160" w:type="dxa"/>
            <w:vAlign w:val="bottom"/>
          </w:tcPr>
          <w:p>
            <w:pPr>
              <w:spacing w:after="0"/>
              <w:rPr>
                <w:sz w:val="24"/>
                <w:szCs w:val="24"/>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548</w:t>
            </w:r>
          </w:p>
        </w:tc>
        <w:tc>
          <w:tcPr>
            <w:tcW w:w="56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352</w:t>
            </w:r>
          </w:p>
        </w:tc>
      </w:tr>
      <w:tr>
        <w:trPr>
          <w:trHeight w:val="397"/>
        </w:trPr>
        <w:tc>
          <w:tcPr>
            <w:tcW w:w="4160" w:type="dxa"/>
            <w:vAlign w:val="bottom"/>
          </w:tcPr>
          <w:p>
            <w:pPr>
              <w:spacing w:after="0"/>
              <w:rPr>
                <w:sz w:val="20"/>
                <w:szCs w:val="20"/>
                <w:color w:val="auto"/>
              </w:rPr>
            </w:pPr>
            <w:r>
              <w:rPr>
                <w:rFonts w:ascii="Arial" w:cs="Arial" w:eastAsia="Arial" w:hAnsi="Arial"/>
                <w:sz w:val="16"/>
                <w:szCs w:val="16"/>
                <w:color w:val="auto"/>
              </w:rPr>
              <w:t>Financial income</w:t>
            </w:r>
          </w:p>
        </w:tc>
        <w:tc>
          <w:tcPr>
            <w:tcW w:w="620" w:type="dxa"/>
            <w:vAlign w:val="bottom"/>
          </w:tcPr>
          <w:p>
            <w:pPr>
              <w:jc w:val="center"/>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120" w:type="dxa"/>
            <w:vAlign w:val="bottom"/>
            <w:shd w:val="clear" w:color="auto" w:fill="E7E6E6"/>
          </w:tcPr>
          <w:p>
            <w:pPr>
              <w:spacing w:after="0"/>
              <w:rPr>
                <w:sz w:val="24"/>
                <w:szCs w:val="24"/>
                <w:color w:val="auto"/>
              </w:rPr>
            </w:pPr>
          </w:p>
        </w:tc>
        <w:tc>
          <w:tcPr>
            <w:tcW w:w="13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154</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w:t>
            </w:r>
          </w:p>
        </w:tc>
        <w:tc>
          <w:tcPr>
            <w:tcW w:w="160" w:type="dxa"/>
            <w:vAlign w:val="bottom"/>
          </w:tcPr>
          <w:p>
            <w:pPr>
              <w:spacing w:after="0"/>
              <w:rPr>
                <w:sz w:val="24"/>
                <w:szCs w:val="24"/>
                <w:color w:val="auto"/>
              </w:rPr>
            </w:pPr>
          </w:p>
        </w:tc>
        <w:tc>
          <w:tcPr>
            <w:tcW w:w="120" w:type="dxa"/>
            <w:vAlign w:val="bottom"/>
            <w:shd w:val="clear" w:color="auto" w:fill="E7E6E6"/>
          </w:tcPr>
          <w:p>
            <w:pPr>
              <w:spacing w:after="0"/>
              <w:rPr>
                <w:sz w:val="24"/>
                <w:szCs w:val="24"/>
                <w:color w:val="auto"/>
              </w:rPr>
            </w:pPr>
          </w:p>
        </w:tc>
        <w:tc>
          <w:tcPr>
            <w:tcW w:w="13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253</w:t>
            </w: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52"/>
        </w:trPr>
        <w:tc>
          <w:tcPr>
            <w:tcW w:w="4160" w:type="dxa"/>
            <w:vAlign w:val="bottom"/>
          </w:tcPr>
          <w:p>
            <w:pPr>
              <w:spacing w:after="0"/>
              <w:rPr>
                <w:sz w:val="20"/>
                <w:szCs w:val="20"/>
                <w:color w:val="auto"/>
              </w:rPr>
            </w:pPr>
            <w:r>
              <w:rPr>
                <w:rFonts w:ascii="Arial" w:cs="Arial" w:eastAsia="Arial" w:hAnsi="Arial"/>
                <w:sz w:val="16"/>
                <w:szCs w:val="16"/>
                <w:color w:val="auto"/>
              </w:rPr>
              <w:t>Financial expenses</w:t>
            </w:r>
          </w:p>
        </w:tc>
        <w:tc>
          <w:tcPr>
            <w:tcW w:w="620" w:type="dxa"/>
            <w:vAlign w:val="bottom"/>
          </w:tcPr>
          <w:p>
            <w:pPr>
              <w:jc w:val="center"/>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E7E6E6"/>
          </w:tcPr>
          <w:p>
            <w:pPr>
              <w:spacing w:after="0"/>
              <w:rPr>
                <w:sz w:val="21"/>
                <w:szCs w:val="21"/>
                <w:color w:val="auto"/>
              </w:rPr>
            </w:pPr>
          </w:p>
        </w:tc>
        <w:tc>
          <w:tcPr>
            <w:tcW w:w="13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21"/>
                <w:szCs w:val="21"/>
                <w:color w:val="auto"/>
              </w:rPr>
            </w:pPr>
          </w:p>
        </w:tc>
        <w:tc>
          <w:tcPr>
            <w:tcW w:w="120" w:type="dxa"/>
            <w:vAlign w:val="bottom"/>
            <w:tcBorders>
              <w:bottom w:val="single" w:sz="8" w:color="auto"/>
            </w:tcBorders>
            <w:shd w:val="clear" w:color="auto" w:fill="E7E6E6"/>
          </w:tcPr>
          <w:p>
            <w:pPr>
              <w:spacing w:after="0"/>
              <w:rPr>
                <w:sz w:val="21"/>
                <w:szCs w:val="21"/>
                <w:color w:val="auto"/>
              </w:rPr>
            </w:pPr>
          </w:p>
        </w:tc>
        <w:tc>
          <w:tcPr>
            <w:tcW w:w="13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(134)</w:t>
            </w: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384"/>
        </w:trPr>
        <w:tc>
          <w:tcPr>
            <w:tcW w:w="4160" w:type="dxa"/>
            <w:vAlign w:val="bottom"/>
          </w:tcPr>
          <w:p>
            <w:pPr>
              <w:spacing w:after="0"/>
              <w:rPr>
                <w:sz w:val="20"/>
                <w:szCs w:val="20"/>
                <w:color w:val="auto"/>
              </w:rPr>
            </w:pPr>
            <w:r>
              <w:rPr>
                <w:rFonts w:ascii="Arial" w:cs="Arial" w:eastAsia="Arial" w:hAnsi="Arial"/>
                <w:sz w:val="16"/>
                <w:szCs w:val="16"/>
                <w:b w:val="1"/>
                <w:bCs w:val="1"/>
                <w:color w:val="auto"/>
              </w:rPr>
              <w:t>Net profit before tax</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423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307</w:t>
            </w:r>
          </w:p>
        </w:tc>
        <w:tc>
          <w:tcPr>
            <w:tcW w:w="160" w:type="dxa"/>
            <w:vAlign w:val="bottom"/>
          </w:tcPr>
          <w:p>
            <w:pPr>
              <w:spacing w:after="0"/>
              <w:rPr>
                <w:sz w:val="24"/>
                <w:szCs w:val="24"/>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667</w:t>
            </w:r>
          </w:p>
        </w:tc>
        <w:tc>
          <w:tcPr>
            <w:tcW w:w="56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556</w:t>
            </w:r>
          </w:p>
        </w:tc>
      </w:tr>
      <w:tr>
        <w:trPr>
          <w:trHeight w:val="406"/>
        </w:trPr>
        <w:tc>
          <w:tcPr>
            <w:tcW w:w="4160" w:type="dxa"/>
            <w:vAlign w:val="bottom"/>
          </w:tcPr>
          <w:p>
            <w:pPr>
              <w:spacing w:after="0"/>
              <w:rPr>
                <w:sz w:val="20"/>
                <w:szCs w:val="20"/>
                <w:color w:val="auto"/>
              </w:rPr>
            </w:pPr>
            <w:r>
              <w:rPr>
                <w:rFonts w:ascii="Arial" w:cs="Arial" w:eastAsia="Arial" w:hAnsi="Arial"/>
                <w:sz w:val="16"/>
                <w:szCs w:val="16"/>
                <w:color w:val="auto"/>
              </w:rPr>
              <w:t>Corporate tax</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shd w:val="clear" w:color="auto" w:fill="E7E6E6"/>
          </w:tcPr>
          <w:p>
            <w:pPr>
              <w:spacing w:after="0"/>
              <w:rPr>
                <w:sz w:val="24"/>
                <w:szCs w:val="24"/>
                <w:color w:val="auto"/>
              </w:rPr>
            </w:pPr>
          </w:p>
        </w:tc>
        <w:tc>
          <w:tcPr>
            <w:tcW w:w="13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(87)</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24"/>
                <w:szCs w:val="24"/>
                <w:color w:val="auto"/>
              </w:rPr>
            </w:pPr>
          </w:p>
        </w:tc>
        <w:tc>
          <w:tcPr>
            <w:tcW w:w="120" w:type="dxa"/>
            <w:vAlign w:val="bottom"/>
            <w:tcBorders>
              <w:bottom w:val="single" w:sz="8" w:color="auto"/>
            </w:tcBorders>
            <w:shd w:val="clear" w:color="auto" w:fill="E7E6E6"/>
          </w:tcPr>
          <w:p>
            <w:pPr>
              <w:spacing w:after="0"/>
              <w:rPr>
                <w:sz w:val="24"/>
                <w:szCs w:val="24"/>
                <w:color w:val="auto"/>
              </w:rPr>
            </w:pPr>
          </w:p>
        </w:tc>
        <w:tc>
          <w:tcPr>
            <w:tcW w:w="13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(136)</w:t>
            </w: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385"/>
        </w:trPr>
        <w:tc>
          <w:tcPr>
            <w:tcW w:w="4160" w:type="dxa"/>
            <w:vAlign w:val="bottom"/>
          </w:tcPr>
          <w:p>
            <w:pPr>
              <w:spacing w:after="0"/>
              <w:rPr>
                <w:sz w:val="20"/>
                <w:szCs w:val="20"/>
                <w:color w:val="auto"/>
              </w:rPr>
            </w:pPr>
            <w:r>
              <w:rPr>
                <w:rFonts w:ascii="Arial" w:cs="Arial" w:eastAsia="Arial" w:hAnsi="Arial"/>
                <w:sz w:val="16"/>
                <w:szCs w:val="16"/>
                <w:b w:val="1"/>
                <w:bCs w:val="1"/>
                <w:color w:val="auto"/>
              </w:rPr>
              <w:t>Net profit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336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w:t>
            </w:r>
          </w:p>
        </w:tc>
        <w:tc>
          <w:tcPr>
            <w:tcW w:w="160" w:type="dxa"/>
            <w:vAlign w:val="bottom"/>
          </w:tcPr>
          <w:p>
            <w:pPr>
              <w:spacing w:after="0"/>
              <w:rPr>
                <w:sz w:val="24"/>
                <w:szCs w:val="24"/>
                <w:color w:val="auto"/>
              </w:rPr>
            </w:pPr>
          </w:p>
        </w:tc>
        <w:tc>
          <w:tcPr>
            <w:tcW w:w="1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531</w:t>
            </w: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w:t>
            </w:r>
          </w:p>
        </w:tc>
      </w:tr>
      <w:tr>
        <w:trPr>
          <w:trHeight w:val="384"/>
        </w:trPr>
        <w:tc>
          <w:tcPr>
            <w:tcW w:w="416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7E6E6"/>
          </w:tcPr>
          <w:p>
            <w:pPr>
              <w:spacing w:after="0"/>
              <w:rPr>
                <w:sz w:val="24"/>
                <w:szCs w:val="24"/>
                <w:color w:val="auto"/>
              </w:rPr>
            </w:pPr>
          </w:p>
        </w:tc>
        <w:tc>
          <w:tcPr>
            <w:tcW w:w="1360" w:type="dxa"/>
            <w:vAlign w:val="bottom"/>
            <w:shd w:val="clear" w:color="auto" w:fill="E7E6E6"/>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shd w:val="clear" w:color="auto" w:fill="E7E6E6"/>
          </w:tcPr>
          <w:p>
            <w:pPr>
              <w:spacing w:after="0"/>
              <w:rPr>
                <w:sz w:val="24"/>
                <w:szCs w:val="24"/>
                <w:color w:val="auto"/>
              </w:rPr>
            </w:pPr>
          </w:p>
        </w:tc>
        <w:tc>
          <w:tcPr>
            <w:tcW w:w="1300" w:type="dxa"/>
            <w:vAlign w:val="bottom"/>
            <w:shd w:val="clear" w:color="auto" w:fill="E7E6E6"/>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1"/>
        </w:trPr>
        <w:tc>
          <w:tcPr>
            <w:tcW w:w="4160" w:type="dxa"/>
            <w:vAlign w:val="bottom"/>
          </w:tcPr>
          <w:p>
            <w:pPr>
              <w:spacing w:after="0"/>
              <w:rPr>
                <w:sz w:val="20"/>
                <w:szCs w:val="20"/>
                <w:color w:val="auto"/>
              </w:rPr>
            </w:pPr>
            <w:r>
              <w:rPr>
                <w:rFonts w:ascii="Arial" w:cs="Arial" w:eastAsia="Arial" w:hAnsi="Arial"/>
                <w:sz w:val="16"/>
                <w:szCs w:val="16"/>
                <w:b w:val="1"/>
                <w:bCs w:val="1"/>
                <w:color w:val="auto"/>
              </w:rPr>
              <w:t>Amounts which may be re-classified to the income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7E6E6"/>
          </w:tcPr>
          <w:p>
            <w:pPr>
              <w:spacing w:after="0"/>
              <w:rPr>
                <w:sz w:val="24"/>
                <w:szCs w:val="24"/>
                <w:color w:val="auto"/>
              </w:rPr>
            </w:pPr>
          </w:p>
        </w:tc>
        <w:tc>
          <w:tcPr>
            <w:tcW w:w="1360" w:type="dxa"/>
            <w:vAlign w:val="bottom"/>
            <w:shd w:val="clear" w:color="auto" w:fill="E7E6E6"/>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shd w:val="clear" w:color="auto" w:fill="E7E6E6"/>
          </w:tcPr>
          <w:p>
            <w:pPr>
              <w:spacing w:after="0"/>
              <w:rPr>
                <w:sz w:val="24"/>
                <w:szCs w:val="24"/>
                <w:color w:val="auto"/>
              </w:rPr>
            </w:pPr>
          </w:p>
        </w:tc>
        <w:tc>
          <w:tcPr>
            <w:tcW w:w="1300" w:type="dxa"/>
            <w:vAlign w:val="bottom"/>
            <w:shd w:val="clear" w:color="auto" w:fill="E7E6E6"/>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6"/>
                <w:szCs w:val="16"/>
                <w:b w:val="1"/>
                <w:bCs w:val="1"/>
                <w:color w:val="auto"/>
              </w:rPr>
              <w:t>statement: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E7E6E6"/>
          </w:tcPr>
          <w:p>
            <w:pPr>
              <w:spacing w:after="0"/>
              <w:rPr>
                <w:sz w:val="19"/>
                <w:szCs w:val="19"/>
                <w:color w:val="auto"/>
              </w:rPr>
            </w:pPr>
          </w:p>
        </w:tc>
        <w:tc>
          <w:tcPr>
            <w:tcW w:w="1360" w:type="dxa"/>
            <w:vAlign w:val="bottom"/>
            <w:shd w:val="clear" w:color="auto" w:fill="E7E6E6"/>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shd w:val="clear" w:color="auto" w:fill="E7E6E6"/>
          </w:tcPr>
          <w:p>
            <w:pPr>
              <w:spacing w:after="0"/>
              <w:rPr>
                <w:sz w:val="19"/>
                <w:szCs w:val="19"/>
                <w:color w:val="auto"/>
              </w:rPr>
            </w:pPr>
          </w:p>
        </w:tc>
        <w:tc>
          <w:tcPr>
            <w:tcW w:w="1300" w:type="dxa"/>
            <w:vAlign w:val="bottom"/>
            <w:shd w:val="clear" w:color="auto" w:fill="E7E6E6"/>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8"/>
        </w:trPr>
        <w:tc>
          <w:tcPr>
            <w:tcW w:w="4160" w:type="dxa"/>
            <w:vAlign w:val="bottom"/>
          </w:tcPr>
          <w:p>
            <w:pPr>
              <w:spacing w:after="0"/>
              <w:rPr>
                <w:sz w:val="20"/>
                <w:szCs w:val="20"/>
                <w:color w:val="auto"/>
              </w:rPr>
            </w:pPr>
            <w:r>
              <w:rPr>
                <w:rFonts w:ascii="Arial" w:cs="Arial" w:eastAsia="Arial" w:hAnsi="Arial"/>
                <w:sz w:val="16"/>
                <w:szCs w:val="16"/>
                <w:color w:val="auto"/>
              </w:rPr>
              <w:t>Exchange differences on translation of foreign operations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E7E6E6"/>
          </w:tcPr>
          <w:p>
            <w:pPr>
              <w:spacing w:after="0"/>
              <w:rPr>
                <w:sz w:val="22"/>
                <w:szCs w:val="22"/>
                <w:color w:val="auto"/>
              </w:rPr>
            </w:pPr>
          </w:p>
        </w:tc>
        <w:tc>
          <w:tcPr>
            <w:tcW w:w="13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22"/>
                <w:szCs w:val="22"/>
                <w:color w:val="auto"/>
              </w:rPr>
            </w:pPr>
          </w:p>
        </w:tc>
        <w:tc>
          <w:tcPr>
            <w:tcW w:w="120" w:type="dxa"/>
            <w:vAlign w:val="bottom"/>
            <w:tcBorders>
              <w:bottom w:val="single" w:sz="8" w:color="auto"/>
            </w:tcBorders>
            <w:shd w:val="clear" w:color="auto" w:fill="E7E6E6"/>
          </w:tcPr>
          <w:p>
            <w:pPr>
              <w:spacing w:after="0"/>
              <w:rPr>
                <w:sz w:val="22"/>
                <w:szCs w:val="22"/>
                <w:color w:val="auto"/>
              </w:rPr>
            </w:pPr>
          </w:p>
        </w:tc>
        <w:tc>
          <w:tcPr>
            <w:tcW w:w="13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16</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388"/>
        </w:trPr>
        <w:tc>
          <w:tcPr>
            <w:tcW w:w="4160" w:type="dxa"/>
            <w:vAlign w:val="bottom"/>
          </w:tcPr>
          <w:p>
            <w:pPr>
              <w:spacing w:after="0"/>
              <w:rPr>
                <w:sz w:val="20"/>
                <w:szCs w:val="20"/>
                <w:color w:val="auto"/>
              </w:rPr>
            </w:pPr>
            <w:r>
              <w:rPr>
                <w:rFonts w:ascii="Arial" w:cs="Arial" w:eastAsia="Arial" w:hAnsi="Arial"/>
                <w:sz w:val="16"/>
                <w:szCs w:val="16"/>
                <w:b w:val="1"/>
                <w:bCs w:val="1"/>
                <w:color w:val="auto"/>
              </w:rPr>
              <w:t>Total comprehensive income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339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w:t>
            </w:r>
          </w:p>
        </w:tc>
        <w:tc>
          <w:tcPr>
            <w:tcW w:w="160" w:type="dxa"/>
            <w:vAlign w:val="bottom"/>
          </w:tcPr>
          <w:p>
            <w:pPr>
              <w:spacing w:after="0"/>
              <w:rPr>
                <w:sz w:val="24"/>
                <w:szCs w:val="24"/>
                <w:color w:val="auto"/>
              </w:rPr>
            </w:pPr>
          </w:p>
        </w:tc>
        <w:tc>
          <w:tcPr>
            <w:tcW w:w="1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547</w:t>
            </w:r>
          </w:p>
        </w:tc>
        <w:tc>
          <w:tcPr>
            <w:tcW w:w="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w:t>
            </w:r>
          </w:p>
        </w:tc>
      </w:tr>
      <w:tr>
        <w:trPr>
          <w:trHeight w:val="373"/>
        </w:trPr>
        <w:tc>
          <w:tcPr>
            <w:tcW w:w="4160" w:type="dxa"/>
            <w:vAlign w:val="bottom"/>
          </w:tcPr>
          <w:p>
            <w:pPr>
              <w:spacing w:after="0"/>
              <w:rPr>
                <w:sz w:val="20"/>
                <w:szCs w:val="20"/>
                <w:color w:val="auto"/>
              </w:rPr>
            </w:pPr>
            <w:r>
              <w:rPr>
                <w:rFonts w:ascii="Arial" w:cs="Arial" w:eastAsia="Arial" w:hAnsi="Arial"/>
                <w:sz w:val="16"/>
                <w:szCs w:val="16"/>
                <w:color w:val="auto"/>
              </w:rPr>
              <w:t>Basic net profit per share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5.44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3.15</w:t>
            </w:r>
          </w:p>
        </w:tc>
        <w:tc>
          <w:tcPr>
            <w:tcW w:w="160" w:type="dxa"/>
            <w:vAlign w:val="bottom"/>
          </w:tcPr>
          <w:p>
            <w:pPr>
              <w:spacing w:after="0"/>
              <w:rPr>
                <w:sz w:val="24"/>
                <w:szCs w:val="24"/>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8.47</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258"/>
        </w:trPr>
        <w:tc>
          <w:tcPr>
            <w:tcW w:w="4160" w:type="dxa"/>
            <w:vAlign w:val="bottom"/>
          </w:tcPr>
          <w:p>
            <w:pPr>
              <w:spacing w:after="0"/>
              <w:rPr>
                <w:sz w:val="20"/>
                <w:szCs w:val="20"/>
                <w:color w:val="auto"/>
              </w:rPr>
            </w:pPr>
            <w:r>
              <w:rPr>
                <w:rFonts w:ascii="Arial" w:cs="Arial" w:eastAsia="Arial" w:hAnsi="Arial"/>
                <w:sz w:val="16"/>
                <w:szCs w:val="16"/>
                <w:color w:val="auto"/>
              </w:rPr>
              <w:t>Diluted net profit per share</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3.13</w:t>
            </w:r>
          </w:p>
        </w:tc>
        <w:tc>
          <w:tcPr>
            <w:tcW w:w="160" w:type="dxa"/>
            <w:vAlign w:val="bottom"/>
          </w:tcPr>
          <w:p>
            <w:pPr>
              <w:spacing w:after="0"/>
              <w:rPr>
                <w:sz w:val="22"/>
                <w:szCs w:val="22"/>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8.45</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6.05</w:t>
            </w:r>
          </w:p>
        </w:tc>
      </w:tr>
      <w:tr>
        <w:trPr>
          <w:trHeight w:val="270"/>
        </w:trPr>
        <w:tc>
          <w:tcPr>
            <w:tcW w:w="4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shd w:val="clear" w:color="auto" w:fill="E7E6E6"/>
          </w:tcPr>
          <w:p>
            <w:pPr>
              <w:spacing w:after="0"/>
              <w:rPr>
                <w:sz w:val="23"/>
                <w:szCs w:val="23"/>
                <w:color w:val="auto"/>
              </w:rPr>
            </w:pPr>
          </w:p>
        </w:tc>
        <w:tc>
          <w:tcPr>
            <w:tcW w:w="1360" w:type="dxa"/>
            <w:vAlign w:val="bottom"/>
            <w:shd w:val="clear" w:color="auto" w:fill="E7E6E6"/>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*Effective January 1, 2025, the Company changed its presentation currency from DKK to USD. Accordingly, prior year balances have been re-presented retrospectively.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Refer to Note 1 for more information.</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24/44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CONDENSED CONSOLIDATED BALANCE SHEETS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7460" w:type="dxa"/>
            <w:vAlign w:val="bottom"/>
            <w:vMerge w:val="restart"/>
          </w:tcPr>
          <w:p>
            <w:pPr>
              <w:spacing w:after="0"/>
              <w:rPr>
                <w:sz w:val="20"/>
                <w:szCs w:val="20"/>
                <w:color w:val="auto"/>
              </w:rPr>
            </w:pPr>
            <w:r>
              <w:rPr>
                <w:rFonts w:ascii="Arial" w:cs="Arial" w:eastAsia="Arial" w:hAnsi="Arial"/>
                <w:sz w:val="16"/>
                <w:szCs w:val="16"/>
                <w:b w:val="1"/>
                <w:bCs w:val="1"/>
                <w:color w:val="auto"/>
              </w:rPr>
              <w:t>(USD million)</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Note</w:t>
            </w:r>
          </w:p>
        </w:tc>
        <w:tc>
          <w:tcPr>
            <w:tcW w:w="120" w:type="dxa"/>
            <w:vAlign w:val="bottom"/>
            <w:shd w:val="clear" w:color="auto" w:fill="E6E6E6"/>
          </w:tcPr>
          <w:p>
            <w:pPr>
              <w:spacing w:after="0"/>
              <w:rPr>
                <w:sz w:val="24"/>
                <w:szCs w:val="24"/>
                <w:color w:val="auto"/>
              </w:rPr>
            </w:pPr>
          </w:p>
        </w:tc>
        <w:tc>
          <w:tcPr>
            <w:tcW w:w="1240" w:type="dxa"/>
            <w:vAlign w:val="bottom"/>
            <w:vMerge w:val="restart"/>
            <w:shd w:val="clear" w:color="auto" w:fill="E6E6E6"/>
          </w:tcPr>
          <w:p>
            <w:pPr>
              <w:jc w:val="right"/>
              <w:ind w:right="79"/>
              <w:spacing w:after="0"/>
              <w:rPr>
                <w:sz w:val="20"/>
                <w:szCs w:val="20"/>
                <w:color w:val="auto"/>
              </w:rPr>
            </w:pPr>
            <w:r>
              <w:rPr>
                <w:rFonts w:ascii="Arial" w:cs="Arial" w:eastAsia="Arial" w:hAnsi="Arial"/>
                <w:sz w:val="16"/>
                <w:szCs w:val="16"/>
                <w:b w:val="1"/>
                <w:bCs w:val="1"/>
                <w:color w:val="auto"/>
              </w:rPr>
              <w:t>June 30, 2025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746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40" w:type="dxa"/>
            <w:vAlign w:val="bottom"/>
            <w:vMerge w:val="continue"/>
            <w:shd w:val="clear" w:color="auto" w:fill="E6E6E6"/>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2024* Restated</w:t>
            </w:r>
          </w:p>
        </w:tc>
        <w:tc>
          <w:tcPr>
            <w:tcW w:w="0" w:type="dxa"/>
            <w:vAlign w:val="bottom"/>
          </w:tcPr>
          <w:p>
            <w:pPr>
              <w:spacing w:after="0"/>
              <w:rPr>
                <w:sz w:val="1"/>
                <w:szCs w:val="1"/>
                <w:color w:val="auto"/>
              </w:rPr>
            </w:pPr>
          </w:p>
        </w:tc>
      </w:tr>
      <w:tr>
        <w:trPr>
          <w:trHeight w:val="459"/>
        </w:trPr>
        <w:tc>
          <w:tcPr>
            <w:tcW w:w="74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shd w:val="clear" w:color="auto" w:fill="E6E6E6"/>
          </w:tcPr>
          <w:p>
            <w:pPr>
              <w:spacing w:after="0"/>
              <w:rPr>
                <w:sz w:val="24"/>
                <w:szCs w:val="24"/>
                <w:color w:val="auto"/>
              </w:rPr>
            </w:pPr>
          </w:p>
        </w:tc>
        <w:tc>
          <w:tcPr>
            <w:tcW w:w="1240" w:type="dxa"/>
            <w:vAlign w:val="bottom"/>
            <w:tcBorders>
              <w:top w:val="single" w:sz="8" w:color="auto"/>
            </w:tcBorders>
            <w:shd w:val="clear" w:color="auto" w:fill="E6E6E6"/>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60" w:type="dxa"/>
            <w:vAlign w:val="bottom"/>
            <w:vMerge w:val="restart"/>
          </w:tcPr>
          <w:p>
            <w:pPr>
              <w:spacing w:after="0"/>
              <w:rPr>
                <w:sz w:val="20"/>
                <w:szCs w:val="20"/>
                <w:color w:val="auto"/>
              </w:rPr>
            </w:pPr>
            <w:r>
              <w:rPr>
                <w:rFonts w:ascii="Arial" w:cs="Arial" w:eastAsia="Arial" w:hAnsi="Arial"/>
                <w:sz w:val="16"/>
                <w:szCs w:val="16"/>
                <w:color w:val="auto"/>
              </w:rPr>
              <w:t>Goodwill</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4</w:t>
            </w:r>
          </w:p>
        </w:tc>
        <w:tc>
          <w:tcPr>
            <w:tcW w:w="100" w:type="dxa"/>
            <w:vAlign w:val="bottom"/>
            <w:vMerge w:val="restart"/>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240" w:type="dxa"/>
            <w:vAlign w:val="bottom"/>
            <w:shd w:val="clear" w:color="auto" w:fill="E6E6E6"/>
          </w:tcPr>
          <w:p>
            <w:pPr>
              <w:spacing w:after="0"/>
              <w:rPr>
                <w:sz w:val="21"/>
                <w:szCs w:val="2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5"/>
        </w:trPr>
        <w:tc>
          <w:tcPr>
            <w:tcW w:w="74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355</w:t>
            </w:r>
          </w:p>
        </w:tc>
        <w:tc>
          <w:tcPr>
            <w:tcW w:w="2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Other intangible assets</w:t>
            </w:r>
          </w:p>
        </w:tc>
        <w:tc>
          <w:tcPr>
            <w:tcW w:w="82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Right-of-use assets</w:t>
            </w:r>
          </w:p>
        </w:tc>
        <w:tc>
          <w:tcPr>
            <w:tcW w:w="820" w:type="dxa"/>
            <w:vAlign w:val="bottom"/>
          </w:tcPr>
          <w:p>
            <w:pPr>
              <w:jc w:val="center"/>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Receivables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Deferred tax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7"/>
        </w:trPr>
        <w:tc>
          <w:tcPr>
            <w:tcW w:w="7460" w:type="dxa"/>
            <w:vAlign w:val="bottom"/>
          </w:tcPr>
          <w:p>
            <w:pPr>
              <w:spacing w:after="0"/>
              <w:rPr>
                <w:sz w:val="20"/>
                <w:szCs w:val="20"/>
                <w:color w:val="auto"/>
              </w:rPr>
            </w:pPr>
            <w:r>
              <w:rPr>
                <w:rFonts w:ascii="Arial" w:cs="Arial" w:eastAsia="Arial" w:hAnsi="Arial"/>
                <w:sz w:val="16"/>
                <w:szCs w:val="16"/>
                <w:color w:val="auto"/>
              </w:rPr>
              <w:t>Other investments</w:t>
            </w:r>
          </w:p>
        </w:tc>
        <w:tc>
          <w:tcPr>
            <w:tcW w:w="820" w:type="dxa"/>
            <w:vAlign w:val="bottom"/>
          </w:tcPr>
          <w:p>
            <w:pPr>
              <w:jc w:val="center"/>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E7E6E6"/>
          </w:tcPr>
          <w:p>
            <w:pPr>
              <w:spacing w:after="0"/>
              <w:rPr>
                <w:sz w:val="18"/>
                <w:szCs w:val="18"/>
                <w:color w:val="auto"/>
              </w:rPr>
            </w:pPr>
          </w:p>
        </w:tc>
        <w:tc>
          <w:tcPr>
            <w:tcW w:w="12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453"/>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b w:val="1"/>
                <w:bCs w:val="1"/>
                <w:color w:val="auto"/>
              </w:rPr>
              <w:t>2,554</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2,514</w:t>
            </w:r>
          </w:p>
        </w:tc>
        <w:tc>
          <w:tcPr>
            <w:tcW w:w="0" w:type="dxa"/>
            <w:vAlign w:val="bottom"/>
          </w:tcPr>
          <w:p>
            <w:pPr>
              <w:spacing w:after="0"/>
              <w:rPr>
                <w:sz w:val="1"/>
                <w:szCs w:val="1"/>
                <w:color w:val="auto"/>
              </w:rPr>
            </w:pPr>
          </w:p>
        </w:tc>
      </w:tr>
      <w:tr>
        <w:trPr>
          <w:trHeight w:val="451"/>
        </w:trPr>
        <w:tc>
          <w:tcPr>
            <w:tcW w:w="7460" w:type="dxa"/>
            <w:vAlign w:val="bottom"/>
          </w:tcPr>
          <w:p>
            <w:pPr>
              <w:spacing w:after="0"/>
              <w:rPr>
                <w:sz w:val="20"/>
                <w:szCs w:val="20"/>
                <w:color w:val="auto"/>
              </w:rPr>
            </w:pPr>
            <w:r>
              <w:rPr>
                <w:rFonts w:ascii="Arial" w:cs="Arial" w:eastAsia="Arial" w:hAnsi="Arial"/>
                <w:sz w:val="16"/>
                <w:szCs w:val="16"/>
                <w:color w:val="auto"/>
              </w:rPr>
              <w:t>Corporate tax receivable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shd w:val="clear" w:color="auto" w:fill="E7E6E6"/>
          </w:tcPr>
          <w:p>
            <w:pPr>
              <w:spacing w:after="0"/>
              <w:rPr>
                <w:sz w:val="24"/>
                <w:szCs w:val="24"/>
                <w:color w:val="auto"/>
              </w:rPr>
            </w:pPr>
          </w:p>
        </w:tc>
        <w:tc>
          <w:tcPr>
            <w:tcW w:w="1240" w:type="dxa"/>
            <w:vAlign w:val="bottom"/>
            <w:tcBorders>
              <w:top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Inventories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Receivables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Marketable securities</w:t>
            </w:r>
          </w:p>
        </w:tc>
        <w:tc>
          <w:tcPr>
            <w:tcW w:w="820" w:type="dxa"/>
            <w:vAlign w:val="bottom"/>
          </w:tcPr>
          <w:p>
            <w:pPr>
              <w:jc w:val="center"/>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17"/>
        </w:trPr>
        <w:tc>
          <w:tcPr>
            <w:tcW w:w="74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E7E6E6"/>
          </w:tcPr>
          <w:p>
            <w:pPr>
              <w:spacing w:after="0"/>
              <w:rPr>
                <w:sz w:val="18"/>
                <w:szCs w:val="18"/>
                <w:color w:val="auto"/>
              </w:rPr>
            </w:pPr>
          </w:p>
        </w:tc>
        <w:tc>
          <w:tcPr>
            <w:tcW w:w="12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453"/>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3,910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3,900</w:t>
            </w:r>
          </w:p>
        </w:tc>
        <w:tc>
          <w:tcPr>
            <w:tcW w:w="0" w:type="dxa"/>
            <w:vAlign w:val="bottom"/>
          </w:tcPr>
          <w:p>
            <w:pPr>
              <w:spacing w:after="0"/>
              <w:rPr>
                <w:sz w:val="1"/>
                <w:szCs w:val="1"/>
                <w:color w:val="auto"/>
              </w:rPr>
            </w:pPr>
          </w:p>
        </w:tc>
      </w:tr>
      <w:tr>
        <w:trPr>
          <w:trHeight w:val="453"/>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6,464</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6,414</w:t>
            </w:r>
          </w:p>
        </w:tc>
        <w:tc>
          <w:tcPr>
            <w:tcW w:w="0" w:type="dxa"/>
            <w:vAlign w:val="bottom"/>
          </w:tcPr>
          <w:p>
            <w:pPr>
              <w:spacing w:after="0"/>
              <w:rPr>
                <w:sz w:val="1"/>
                <w:szCs w:val="1"/>
                <w:color w:val="auto"/>
              </w:rPr>
            </w:pPr>
          </w:p>
        </w:tc>
      </w:tr>
      <w:tr>
        <w:trPr>
          <w:trHeight w:val="458"/>
        </w:trPr>
        <w:tc>
          <w:tcPr>
            <w:tcW w:w="7460" w:type="dxa"/>
            <w:vAlign w:val="bottom"/>
          </w:tcPr>
          <w:p>
            <w:pPr>
              <w:spacing w:after="0"/>
              <w:rPr>
                <w:sz w:val="20"/>
                <w:szCs w:val="20"/>
                <w:color w:val="auto"/>
              </w:rPr>
            </w:pPr>
            <w:r>
              <w:rPr>
                <w:rFonts w:ascii="Arial" w:cs="Arial" w:eastAsia="Arial" w:hAnsi="Arial"/>
                <w:sz w:val="16"/>
                <w:szCs w:val="16"/>
                <w:b w:val="1"/>
                <w:bCs w:val="1"/>
                <w:color w:val="auto"/>
              </w:rPr>
              <w:t>SHAREHOLDERS’ EQUITY AND LIABILITIES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shd w:val="clear" w:color="auto" w:fill="E6E6E6"/>
          </w:tcPr>
          <w:p>
            <w:pPr>
              <w:spacing w:after="0"/>
              <w:rPr>
                <w:sz w:val="24"/>
                <w:szCs w:val="24"/>
                <w:color w:val="auto"/>
              </w:rPr>
            </w:pPr>
          </w:p>
        </w:tc>
        <w:tc>
          <w:tcPr>
            <w:tcW w:w="1240" w:type="dxa"/>
            <w:vAlign w:val="bottom"/>
            <w:tcBorders>
              <w:top w:val="single" w:sz="8" w:color="auto"/>
            </w:tcBorders>
            <w:shd w:val="clear" w:color="auto" w:fill="E6E6E6"/>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60" w:type="dxa"/>
            <w:vAlign w:val="bottom"/>
            <w:vMerge w:val="restart"/>
          </w:tcPr>
          <w:p>
            <w:pPr>
              <w:spacing w:after="0"/>
              <w:rPr>
                <w:sz w:val="20"/>
                <w:szCs w:val="20"/>
                <w:color w:val="auto"/>
              </w:rPr>
            </w:pPr>
            <w:r>
              <w:rPr>
                <w:rFonts w:ascii="Arial" w:cs="Arial" w:eastAsia="Arial" w:hAnsi="Arial"/>
                <w:sz w:val="16"/>
                <w:szCs w:val="16"/>
                <w:color w:val="auto"/>
              </w:rPr>
              <w:t>Share capital</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240" w:type="dxa"/>
            <w:vAlign w:val="bottom"/>
            <w:shd w:val="clear" w:color="auto" w:fill="E6E6E6"/>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74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Share premium</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Other reserves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7"/>
        </w:trPr>
        <w:tc>
          <w:tcPr>
            <w:tcW w:w="7460" w:type="dxa"/>
            <w:vAlign w:val="bottom"/>
          </w:tcPr>
          <w:p>
            <w:pPr>
              <w:spacing w:after="0"/>
              <w:rPr>
                <w:sz w:val="20"/>
                <w:szCs w:val="20"/>
                <w:color w:val="auto"/>
              </w:rPr>
            </w:pPr>
            <w:r>
              <w:rPr>
                <w:rFonts w:ascii="Arial" w:cs="Arial" w:eastAsia="Arial" w:hAnsi="Arial"/>
                <w:sz w:val="16"/>
                <w:szCs w:val="16"/>
                <w:color w:val="auto"/>
              </w:rPr>
              <w:t>Retained earnings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E7E6E6"/>
          </w:tcPr>
          <w:p>
            <w:pPr>
              <w:spacing w:after="0"/>
              <w:rPr>
                <w:sz w:val="18"/>
                <w:szCs w:val="18"/>
                <w:color w:val="auto"/>
              </w:rPr>
            </w:pPr>
          </w:p>
        </w:tc>
        <w:tc>
          <w:tcPr>
            <w:tcW w:w="12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3,598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454"/>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shareholders' equity</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5,302</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5,137</w:t>
            </w:r>
          </w:p>
        </w:tc>
        <w:tc>
          <w:tcPr>
            <w:tcW w:w="0" w:type="dxa"/>
            <w:vAlign w:val="bottom"/>
          </w:tcPr>
          <w:p>
            <w:pPr>
              <w:spacing w:after="0"/>
              <w:rPr>
                <w:sz w:val="1"/>
                <w:szCs w:val="1"/>
                <w:color w:val="auto"/>
              </w:rPr>
            </w:pPr>
          </w:p>
        </w:tc>
      </w:tr>
      <w:tr>
        <w:trPr>
          <w:trHeight w:val="236"/>
        </w:trPr>
        <w:tc>
          <w:tcPr>
            <w:tcW w:w="7460" w:type="dxa"/>
            <w:vAlign w:val="bottom"/>
            <w:vMerge w:val="restart"/>
          </w:tcPr>
          <w:p>
            <w:pPr>
              <w:spacing w:after="0"/>
              <w:rPr>
                <w:sz w:val="20"/>
                <w:szCs w:val="20"/>
                <w:color w:val="auto"/>
              </w:rPr>
            </w:pPr>
            <w:r>
              <w:rPr>
                <w:rFonts w:ascii="Arial" w:cs="Arial" w:eastAsia="Arial" w:hAnsi="Arial"/>
                <w:sz w:val="16"/>
                <w:szCs w:val="16"/>
                <w:color w:val="auto"/>
              </w:rPr>
              <w:t>Lease liabilities</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9</w:t>
            </w:r>
          </w:p>
        </w:tc>
        <w:tc>
          <w:tcPr>
            <w:tcW w:w="100" w:type="dxa"/>
            <w:vAlign w:val="bottom"/>
            <w:vMerge w:val="restart"/>
          </w:tcPr>
          <w:p>
            <w:pPr>
              <w:spacing w:after="0"/>
              <w:rPr>
                <w:sz w:val="20"/>
                <w:szCs w:val="20"/>
                <w:color w:val="auto"/>
              </w:rPr>
            </w:pPr>
          </w:p>
        </w:tc>
        <w:tc>
          <w:tcPr>
            <w:tcW w:w="120" w:type="dxa"/>
            <w:vAlign w:val="bottom"/>
            <w:tcBorders>
              <w:top w:val="single" w:sz="8" w:color="auto"/>
            </w:tcBorders>
            <w:shd w:val="clear" w:color="auto" w:fill="E6E6E6"/>
          </w:tcPr>
          <w:p>
            <w:pPr>
              <w:spacing w:after="0"/>
              <w:rPr>
                <w:sz w:val="20"/>
                <w:szCs w:val="20"/>
                <w:color w:val="auto"/>
              </w:rPr>
            </w:pPr>
          </w:p>
        </w:tc>
        <w:tc>
          <w:tcPr>
            <w:tcW w:w="1240" w:type="dxa"/>
            <w:vAlign w:val="bottom"/>
            <w:tcBorders>
              <w:top w:val="single" w:sz="8" w:color="auto"/>
            </w:tcBorders>
            <w:shd w:val="clear" w:color="auto" w:fill="E6E6E6"/>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5"/>
        </w:trPr>
        <w:tc>
          <w:tcPr>
            <w:tcW w:w="74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tcPr>
          <w:p>
            <w:pPr>
              <w:spacing w:after="0"/>
              <w:rPr>
                <w:sz w:val="20"/>
                <w:szCs w:val="20"/>
                <w:color w:val="auto"/>
              </w:rPr>
            </w:pPr>
            <w:r>
              <w:rPr>
                <w:rFonts w:ascii="Arial" w:cs="Arial" w:eastAsia="Arial" w:hAnsi="Arial"/>
                <w:sz w:val="16"/>
                <w:szCs w:val="16"/>
                <w:color w:val="auto"/>
              </w:rPr>
              <w:t>Contract liabilities</w:t>
            </w:r>
          </w:p>
        </w:tc>
        <w:tc>
          <w:tcPr>
            <w:tcW w:w="820" w:type="dxa"/>
            <w:vAlign w:val="bottom"/>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E7E6E6"/>
          </w:tcPr>
          <w:p>
            <w:pPr>
              <w:spacing w:after="0"/>
              <w:rPr>
                <w:sz w:val="18"/>
                <w:szCs w:val="18"/>
                <w:color w:val="auto"/>
              </w:rPr>
            </w:pPr>
          </w:p>
        </w:tc>
        <w:tc>
          <w:tcPr>
            <w:tcW w:w="12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7"/>
        </w:trPr>
        <w:tc>
          <w:tcPr>
            <w:tcW w:w="7460" w:type="dxa"/>
            <w:vAlign w:val="bottom"/>
          </w:tcPr>
          <w:p>
            <w:pPr>
              <w:spacing w:after="0"/>
              <w:rPr>
                <w:sz w:val="20"/>
                <w:szCs w:val="20"/>
                <w:color w:val="auto"/>
              </w:rPr>
            </w:pPr>
            <w:r>
              <w:rPr>
                <w:rFonts w:ascii="Arial" w:cs="Arial" w:eastAsia="Arial" w:hAnsi="Arial"/>
                <w:sz w:val="16"/>
                <w:szCs w:val="16"/>
                <w:color w:val="auto"/>
              </w:rPr>
              <w:t>Other payables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E6E6E6"/>
          </w:tcPr>
          <w:p>
            <w:pPr>
              <w:spacing w:after="0"/>
              <w:rPr>
                <w:sz w:val="18"/>
                <w:szCs w:val="18"/>
                <w:color w:val="auto"/>
              </w:rPr>
            </w:pPr>
          </w:p>
        </w:tc>
        <w:tc>
          <w:tcPr>
            <w:tcW w:w="12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53"/>
        </w:trPr>
        <w:tc>
          <w:tcPr>
            <w:tcW w:w="746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533</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533</w:t>
            </w:r>
          </w:p>
        </w:tc>
        <w:tc>
          <w:tcPr>
            <w:tcW w:w="0" w:type="dxa"/>
            <w:vAlign w:val="bottom"/>
          </w:tcPr>
          <w:p>
            <w:pPr>
              <w:spacing w:after="0"/>
              <w:rPr>
                <w:sz w:val="1"/>
                <w:szCs w:val="1"/>
                <w:color w:val="auto"/>
              </w:rPr>
            </w:pPr>
          </w:p>
        </w:tc>
      </w:tr>
      <w:tr>
        <w:trPr>
          <w:trHeight w:val="237"/>
        </w:trPr>
        <w:tc>
          <w:tcPr>
            <w:tcW w:w="7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shd w:val="clear" w:color="auto" w:fill="E6E6E6"/>
          </w:tcPr>
          <w:p>
            <w:pPr>
              <w:spacing w:after="0"/>
              <w:rPr>
                <w:sz w:val="20"/>
                <w:szCs w:val="20"/>
                <w:color w:val="auto"/>
              </w:rPr>
            </w:pPr>
          </w:p>
        </w:tc>
        <w:tc>
          <w:tcPr>
            <w:tcW w:w="1240" w:type="dxa"/>
            <w:vAlign w:val="bottom"/>
            <w:tcBorders>
              <w:top w:val="single" w:sz="8" w:color="auto"/>
            </w:tcBorders>
            <w:shd w:val="clear" w:color="auto" w:fill="E6E6E6"/>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25/44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Arial" w:cs="Arial" w:eastAsia="Arial" w:hAnsi="Arial"/>
                <w:sz w:val="16"/>
                <w:szCs w:val="16"/>
                <w:color w:val="auto"/>
              </w:rPr>
              <w:t>Corporate tax payable</w:t>
            </w:r>
          </w:p>
        </w:tc>
        <w:tc>
          <w:tcPr>
            <w:tcW w:w="2860" w:type="dxa"/>
            <w:vAlign w:val="bottom"/>
          </w:tcPr>
          <w:p>
            <w:pPr>
              <w:spacing w:after="0"/>
              <w:rPr>
                <w:sz w:val="18"/>
                <w:szCs w:val="18"/>
                <w:color w:val="auto"/>
              </w:rPr>
            </w:pPr>
          </w:p>
        </w:tc>
        <w:tc>
          <w:tcPr>
            <w:tcW w:w="500" w:type="dxa"/>
            <w:vAlign w:val="bottom"/>
            <w:shd w:val="clear" w:color="auto" w:fill="E7E6E6"/>
          </w:tcPr>
          <w:p>
            <w:pPr>
              <w:spacing w:after="0"/>
              <w:rPr>
                <w:sz w:val="18"/>
                <w:szCs w:val="18"/>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5"/>
        </w:trPr>
        <w:tc>
          <w:tcPr>
            <w:tcW w:w="5520" w:type="dxa"/>
            <w:vAlign w:val="bottom"/>
          </w:tcPr>
          <w:p>
            <w:pPr>
              <w:spacing w:after="0"/>
              <w:rPr>
                <w:sz w:val="20"/>
                <w:szCs w:val="20"/>
                <w:color w:val="auto"/>
              </w:rPr>
            </w:pPr>
            <w:r>
              <w:rPr>
                <w:rFonts w:ascii="Arial" w:cs="Arial" w:eastAsia="Arial" w:hAnsi="Arial"/>
                <w:sz w:val="16"/>
                <w:szCs w:val="16"/>
                <w:color w:val="auto"/>
              </w:rPr>
              <w:t>Lease liabilities</w:t>
            </w:r>
          </w:p>
        </w:tc>
        <w:tc>
          <w:tcPr>
            <w:tcW w:w="2860" w:type="dxa"/>
            <w:vAlign w:val="bottom"/>
          </w:tcPr>
          <w:p>
            <w:pPr>
              <w:jc w:val="center"/>
              <w:ind w:left="1759"/>
              <w:spacing w:after="0"/>
              <w:rPr>
                <w:sz w:val="20"/>
                <w:szCs w:val="20"/>
                <w:color w:val="auto"/>
              </w:rPr>
            </w:pPr>
            <w:r>
              <w:rPr>
                <w:rFonts w:ascii="Arial" w:cs="Arial" w:eastAsia="Arial" w:hAnsi="Arial"/>
                <w:sz w:val="16"/>
                <w:szCs w:val="16"/>
                <w:color w:val="auto"/>
              </w:rPr>
              <w:t>9</w:t>
            </w:r>
          </w:p>
        </w:tc>
        <w:tc>
          <w:tcPr>
            <w:tcW w:w="500" w:type="dxa"/>
            <w:vAlign w:val="bottom"/>
            <w:shd w:val="clear" w:color="auto" w:fill="E7E6E6"/>
          </w:tcPr>
          <w:p>
            <w:pPr>
              <w:spacing w:after="0"/>
              <w:rPr>
                <w:sz w:val="18"/>
                <w:szCs w:val="18"/>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5520" w:type="dxa"/>
            <w:vAlign w:val="bottom"/>
          </w:tcPr>
          <w:p>
            <w:pPr>
              <w:spacing w:after="0"/>
              <w:rPr>
                <w:sz w:val="20"/>
                <w:szCs w:val="20"/>
                <w:color w:val="auto"/>
              </w:rPr>
            </w:pPr>
            <w:r>
              <w:rPr>
                <w:rFonts w:ascii="Arial" w:cs="Arial" w:eastAsia="Arial" w:hAnsi="Arial"/>
                <w:sz w:val="16"/>
                <w:szCs w:val="16"/>
                <w:color w:val="auto"/>
              </w:rPr>
              <w:t>Contract liabilities</w:t>
            </w:r>
          </w:p>
        </w:tc>
        <w:tc>
          <w:tcPr>
            <w:tcW w:w="2860" w:type="dxa"/>
            <w:vAlign w:val="bottom"/>
          </w:tcPr>
          <w:p>
            <w:pPr>
              <w:jc w:val="center"/>
              <w:ind w:left="1759"/>
              <w:spacing w:after="0"/>
              <w:rPr>
                <w:sz w:val="20"/>
                <w:szCs w:val="20"/>
                <w:color w:val="auto"/>
              </w:rPr>
            </w:pPr>
            <w:r>
              <w:rPr>
                <w:rFonts w:ascii="Arial" w:cs="Arial" w:eastAsia="Arial" w:hAnsi="Arial"/>
                <w:sz w:val="16"/>
                <w:szCs w:val="16"/>
                <w:color w:val="auto"/>
              </w:rPr>
              <w:t>3</w:t>
            </w:r>
          </w:p>
        </w:tc>
        <w:tc>
          <w:tcPr>
            <w:tcW w:w="500" w:type="dxa"/>
            <w:vAlign w:val="bottom"/>
            <w:shd w:val="clear" w:color="auto" w:fill="E7E6E6"/>
          </w:tcPr>
          <w:p>
            <w:pPr>
              <w:spacing w:after="0"/>
              <w:rPr>
                <w:sz w:val="18"/>
                <w:szCs w:val="18"/>
                <w:color w:val="auto"/>
              </w:rPr>
            </w:pPr>
          </w:p>
        </w:tc>
        <w:tc>
          <w:tcPr>
            <w:tcW w:w="8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520" w:type="dxa"/>
            <w:vAlign w:val="bottom"/>
          </w:tcPr>
          <w:p>
            <w:pPr>
              <w:spacing w:after="0"/>
              <w:rPr>
                <w:sz w:val="20"/>
                <w:szCs w:val="20"/>
                <w:color w:val="auto"/>
              </w:rPr>
            </w:pPr>
            <w:r>
              <w:rPr>
                <w:rFonts w:ascii="Arial" w:cs="Arial" w:eastAsia="Arial" w:hAnsi="Arial"/>
                <w:sz w:val="16"/>
                <w:szCs w:val="16"/>
                <w:color w:val="auto"/>
              </w:rPr>
              <w:t>Other payables</w:t>
            </w:r>
          </w:p>
        </w:tc>
        <w:tc>
          <w:tcPr>
            <w:tcW w:w="2860" w:type="dxa"/>
            <w:vAlign w:val="bottom"/>
          </w:tcPr>
          <w:p>
            <w:pPr>
              <w:spacing w:after="0"/>
              <w:rPr>
                <w:sz w:val="18"/>
                <w:szCs w:val="18"/>
                <w:color w:val="auto"/>
              </w:rPr>
            </w:pPr>
          </w:p>
        </w:tc>
        <w:tc>
          <w:tcPr>
            <w:tcW w:w="500" w:type="dxa"/>
            <w:vAlign w:val="bottom"/>
            <w:tcBorders>
              <w:bottom w:val="single" w:sz="8" w:color="auto"/>
            </w:tcBorders>
            <w:shd w:val="clear" w:color="auto" w:fill="E7E6E6"/>
          </w:tcPr>
          <w:p>
            <w:pPr>
              <w:spacing w:after="0"/>
              <w:rPr>
                <w:sz w:val="18"/>
                <w:szCs w:val="18"/>
                <w:color w:val="auto"/>
              </w:rPr>
            </w:pPr>
          </w:p>
        </w:tc>
        <w:tc>
          <w:tcPr>
            <w:tcW w:w="8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r>
      <w:tr>
        <w:trPr>
          <w:trHeight w:val="454"/>
        </w:trPr>
        <w:tc>
          <w:tcPr>
            <w:tcW w:w="55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860" w:type="dxa"/>
            <w:vAlign w:val="bottom"/>
          </w:tcPr>
          <w:p>
            <w:pPr>
              <w:spacing w:after="0"/>
              <w:rPr>
                <w:sz w:val="24"/>
                <w:szCs w:val="24"/>
                <w:color w:val="auto"/>
              </w:rPr>
            </w:pPr>
          </w:p>
        </w:tc>
        <w:tc>
          <w:tcPr>
            <w:tcW w:w="500" w:type="dxa"/>
            <w:vAlign w:val="bottom"/>
            <w:tcBorders>
              <w:bottom w:val="single" w:sz="8" w:color="auto"/>
            </w:tcBorders>
            <w:shd w:val="clear" w:color="auto" w:fill="E6E6E6"/>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629</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744</w:t>
            </w:r>
          </w:p>
        </w:tc>
      </w:tr>
      <w:tr>
        <w:trPr>
          <w:trHeight w:val="453"/>
        </w:trPr>
        <w:tc>
          <w:tcPr>
            <w:tcW w:w="55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860" w:type="dxa"/>
            <w:vAlign w:val="bottom"/>
          </w:tcPr>
          <w:p>
            <w:pPr>
              <w:spacing w:after="0"/>
              <w:rPr>
                <w:sz w:val="24"/>
                <w:szCs w:val="24"/>
                <w:color w:val="auto"/>
              </w:rPr>
            </w:pPr>
          </w:p>
        </w:tc>
        <w:tc>
          <w:tcPr>
            <w:tcW w:w="500" w:type="dxa"/>
            <w:vAlign w:val="bottom"/>
            <w:tcBorders>
              <w:bottom w:val="single" w:sz="8" w:color="auto"/>
            </w:tcBorders>
            <w:shd w:val="clear" w:color="auto" w:fill="E6E6E6"/>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1,162</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1,277</w:t>
            </w:r>
          </w:p>
        </w:tc>
      </w:tr>
      <w:tr>
        <w:trPr>
          <w:trHeight w:val="453"/>
        </w:trPr>
        <w:tc>
          <w:tcPr>
            <w:tcW w:w="5520" w:type="dxa"/>
            <w:vAlign w:val="bottom"/>
          </w:tcPr>
          <w:p>
            <w:pPr>
              <w:spacing w:after="0"/>
              <w:rPr>
                <w:sz w:val="20"/>
                <w:szCs w:val="20"/>
                <w:color w:val="auto"/>
              </w:rPr>
            </w:pPr>
            <w:r>
              <w:rPr>
                <w:rFonts w:ascii="Arial" w:cs="Arial" w:eastAsia="Arial" w:hAnsi="Arial"/>
                <w:sz w:val="16"/>
                <w:szCs w:val="16"/>
                <w:b w:val="1"/>
                <w:bCs w:val="1"/>
                <w:color w:val="auto"/>
              </w:rPr>
              <w:t>Total shareholders' equity and liabilities</w:t>
            </w:r>
          </w:p>
        </w:tc>
        <w:tc>
          <w:tcPr>
            <w:tcW w:w="2860" w:type="dxa"/>
            <w:vAlign w:val="bottom"/>
          </w:tcPr>
          <w:p>
            <w:pPr>
              <w:spacing w:after="0"/>
              <w:rPr>
                <w:sz w:val="24"/>
                <w:szCs w:val="24"/>
                <w:color w:val="auto"/>
              </w:rPr>
            </w:pPr>
          </w:p>
        </w:tc>
        <w:tc>
          <w:tcPr>
            <w:tcW w:w="500" w:type="dxa"/>
            <w:vAlign w:val="bottom"/>
            <w:shd w:val="clear" w:color="auto" w:fill="E6E6E6"/>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6"/>
                <w:szCs w:val="16"/>
                <w:b w:val="1"/>
                <w:bCs w:val="1"/>
                <w:color w:val="auto"/>
              </w:rPr>
              <w:t>6,464</w:t>
            </w:r>
          </w:p>
        </w:tc>
        <w:tc>
          <w:tcPr>
            <w:tcW w:w="60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6,414</w:t>
            </w:r>
          </w:p>
        </w:tc>
      </w:tr>
      <w:tr>
        <w:trPr>
          <w:trHeight w:val="450"/>
        </w:trPr>
        <w:tc>
          <w:tcPr>
            <w:tcW w:w="5520" w:type="dxa"/>
            <w:vAlign w:val="bottom"/>
          </w:tcPr>
          <w:p>
            <w:pPr>
              <w:spacing w:after="0"/>
              <w:rPr>
                <w:sz w:val="20"/>
                <w:szCs w:val="20"/>
                <w:color w:val="auto"/>
              </w:rPr>
            </w:pPr>
            <w:r>
              <w:rPr>
                <w:rFonts w:ascii="Arial" w:cs="Arial" w:eastAsia="Arial" w:hAnsi="Arial"/>
                <w:sz w:val="16"/>
                <w:szCs w:val="16"/>
                <w:color w:val="auto"/>
              </w:rPr>
              <w:t>Share-based payments</w:t>
            </w:r>
          </w:p>
        </w:tc>
        <w:tc>
          <w:tcPr>
            <w:tcW w:w="2860" w:type="dxa"/>
            <w:vAlign w:val="bottom"/>
          </w:tcPr>
          <w:p>
            <w:pPr>
              <w:jc w:val="center"/>
              <w:ind w:left="1759"/>
              <w:spacing w:after="0"/>
              <w:rPr>
                <w:sz w:val="20"/>
                <w:szCs w:val="20"/>
                <w:color w:val="auto"/>
              </w:rPr>
            </w:pPr>
            <w:r>
              <w:rPr>
                <w:rFonts w:ascii="Arial" w:cs="Arial" w:eastAsia="Arial" w:hAnsi="Arial"/>
                <w:sz w:val="16"/>
                <w:szCs w:val="16"/>
                <w:color w:val="auto"/>
              </w:rPr>
              <w:t>7</w:t>
            </w: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6"/>
                <w:szCs w:val="16"/>
                <w:color w:val="auto"/>
              </w:rPr>
              <w:t>Related parties</w:t>
            </w:r>
          </w:p>
        </w:tc>
        <w:tc>
          <w:tcPr>
            <w:tcW w:w="2860" w:type="dxa"/>
            <w:vAlign w:val="bottom"/>
          </w:tcPr>
          <w:p>
            <w:pPr>
              <w:jc w:val="center"/>
              <w:ind w:left="1759"/>
              <w:spacing w:after="0"/>
              <w:rPr>
                <w:sz w:val="20"/>
                <w:szCs w:val="20"/>
                <w:color w:val="auto"/>
              </w:rPr>
            </w:pPr>
            <w:r>
              <w:rPr>
                <w:rFonts w:ascii="Arial" w:cs="Arial" w:eastAsia="Arial" w:hAnsi="Arial"/>
                <w:sz w:val="16"/>
                <w:szCs w:val="16"/>
                <w:color w:val="auto"/>
              </w:rPr>
              <w:t>8</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6"/>
                <w:szCs w:val="16"/>
                <w:color w:val="auto"/>
              </w:rPr>
              <w:t>Contingencies</w:t>
            </w:r>
          </w:p>
        </w:tc>
        <w:tc>
          <w:tcPr>
            <w:tcW w:w="2860" w:type="dxa"/>
            <w:vAlign w:val="bottom"/>
          </w:tcPr>
          <w:p>
            <w:pPr>
              <w:jc w:val="center"/>
              <w:ind w:left="1759"/>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6"/>
                <w:szCs w:val="16"/>
                <w:color w:val="auto"/>
              </w:rPr>
              <w:t>Subsequent events to the balance sheet date</w:t>
            </w:r>
          </w:p>
        </w:tc>
        <w:tc>
          <w:tcPr>
            <w:tcW w:w="2860" w:type="dxa"/>
            <w:vAlign w:val="bottom"/>
          </w:tcPr>
          <w:p>
            <w:pPr>
              <w:jc w:val="center"/>
              <w:ind w:left="1759"/>
              <w:spacing w:after="0"/>
              <w:rPr>
                <w:sz w:val="20"/>
                <w:szCs w:val="20"/>
                <w:color w:val="auto"/>
              </w:rPr>
            </w:pPr>
            <w:r>
              <w:rPr>
                <w:rFonts w:ascii="Arial" w:cs="Arial" w:eastAsia="Arial" w:hAnsi="Arial"/>
                <w:sz w:val="16"/>
                <w:szCs w:val="16"/>
                <w:color w:val="auto"/>
              </w:rPr>
              <w:t>11</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6" w:lineRule="exact"/>
        <w:rPr>
          <w:sz w:val="20"/>
          <w:szCs w:val="20"/>
          <w:color w:val="auto"/>
        </w:rPr>
      </w:pPr>
    </w:p>
    <w:p>
      <w:pPr>
        <w:ind w:left="20" w:right="160"/>
        <w:spacing w:after="0" w:line="264" w:lineRule="auto"/>
        <w:rPr>
          <w:sz w:val="20"/>
          <w:szCs w:val="20"/>
          <w:color w:val="auto"/>
        </w:rPr>
      </w:pPr>
      <w:r>
        <w:rPr>
          <w:rFonts w:ascii="Arial" w:cs="Arial" w:eastAsia="Arial" w:hAnsi="Arial"/>
          <w:sz w:val="14"/>
          <w:szCs w:val="14"/>
          <w:color w:val="auto"/>
        </w:rPr>
        <w:t>*Effective January 1, 2025, the Company changed its presentation currency from DKK to USD. Accordingly, prior year balances have been re-presented retrospectively. Refer to Note 1 for more information.</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26/44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CONDENSED CONSOLIDATED STATEMENTS OF CASH FLOWS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44"/>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(USD million)</w:t>
            </w:r>
          </w:p>
        </w:tc>
        <w:tc>
          <w:tcPr>
            <w:tcW w:w="400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Note</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8"/>
              </w:rPr>
              <w:t>2024* Restated</w:t>
            </w:r>
          </w:p>
        </w:tc>
        <w:tc>
          <w:tcPr>
            <w:tcW w:w="0" w:type="dxa"/>
            <w:vAlign w:val="bottom"/>
          </w:tcPr>
          <w:p>
            <w:pPr>
              <w:spacing w:after="0"/>
              <w:rPr>
                <w:sz w:val="1"/>
                <w:szCs w:val="1"/>
                <w:color w:val="auto"/>
              </w:rPr>
            </w:pPr>
          </w:p>
        </w:tc>
      </w:tr>
      <w:tr>
        <w:trPr>
          <w:trHeight w:val="236"/>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Net profit before tax</w:t>
            </w:r>
          </w:p>
        </w:tc>
        <w:tc>
          <w:tcPr>
            <w:tcW w:w="4000" w:type="dxa"/>
            <w:vAlign w:val="bottom"/>
          </w:tcPr>
          <w:p>
            <w:pPr>
              <w:spacing w:after="0"/>
              <w:rPr>
                <w:sz w:val="20"/>
                <w:szCs w:val="20"/>
                <w:color w:val="auto"/>
              </w:rPr>
            </w:pPr>
          </w:p>
        </w:tc>
        <w:tc>
          <w:tcPr>
            <w:tcW w:w="11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667</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556</w:t>
            </w:r>
          </w:p>
        </w:tc>
        <w:tc>
          <w:tcPr>
            <w:tcW w:w="0" w:type="dxa"/>
            <w:vAlign w:val="bottom"/>
          </w:tcPr>
          <w:p>
            <w:pPr>
              <w:spacing w:after="0"/>
              <w:rPr>
                <w:sz w:val="1"/>
                <w:szCs w:val="1"/>
                <w:color w:val="auto"/>
              </w:rPr>
            </w:pPr>
          </w:p>
        </w:tc>
      </w:tr>
      <w:tr>
        <w:trPr>
          <w:trHeight w:val="383"/>
        </w:trPr>
        <w:tc>
          <w:tcPr>
            <w:tcW w:w="348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Financial expenses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Adjustments for non-cash transactions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6"/>
                <w:szCs w:val="16"/>
                <w:color w:val="auto"/>
              </w:rPr>
              <w:t>Share-based compensation expense</w:t>
            </w:r>
          </w:p>
        </w:tc>
        <w:tc>
          <w:tcPr>
            <w:tcW w:w="40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40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6"/>
                <w:szCs w:val="16"/>
                <w:color w:val="auto"/>
              </w:rPr>
              <w:t>Impairment charges</w:t>
            </w:r>
          </w:p>
        </w:tc>
        <w:tc>
          <w:tcPr>
            <w:tcW w:w="40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2"/>
        </w:trPr>
        <w:tc>
          <w:tcPr>
            <w:tcW w:w="3480" w:type="dxa"/>
            <w:vAlign w:val="bottom"/>
          </w:tcPr>
          <w:p>
            <w:pPr>
              <w:ind w:left="180"/>
              <w:spacing w:after="0"/>
              <w:rPr>
                <w:sz w:val="20"/>
                <w:szCs w:val="20"/>
                <w:color w:val="auto"/>
              </w:rPr>
            </w:pPr>
            <w:r>
              <w:rPr>
                <w:rFonts w:ascii="Arial" w:cs="Arial" w:eastAsia="Arial" w:hAnsi="Arial"/>
                <w:sz w:val="16"/>
                <w:szCs w:val="16"/>
                <w:color w:val="auto"/>
              </w:rPr>
              <w:t>Other payables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6"/>
        </w:trPr>
        <w:tc>
          <w:tcPr>
            <w:tcW w:w="74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operating activities before financial items</w:t>
            </w:r>
          </w:p>
        </w:tc>
        <w:tc>
          <w:tcPr>
            <w:tcW w:w="11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609</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400</w:t>
            </w:r>
          </w:p>
        </w:tc>
        <w:tc>
          <w:tcPr>
            <w:tcW w:w="0" w:type="dxa"/>
            <w:vAlign w:val="bottom"/>
          </w:tcPr>
          <w:p>
            <w:pPr>
              <w:spacing w:after="0"/>
              <w:rPr>
                <w:sz w:val="1"/>
                <w:szCs w:val="1"/>
                <w:color w:val="auto"/>
              </w:rPr>
            </w:pPr>
          </w:p>
        </w:tc>
      </w:tr>
      <w:tr>
        <w:trPr>
          <w:trHeight w:val="451"/>
        </w:trPr>
        <w:tc>
          <w:tcPr>
            <w:tcW w:w="3480" w:type="dxa"/>
            <w:vAlign w:val="bottom"/>
          </w:tcPr>
          <w:p>
            <w:pPr>
              <w:ind w:left="20"/>
              <w:spacing w:after="0"/>
              <w:rPr>
                <w:sz w:val="20"/>
                <w:szCs w:val="20"/>
                <w:color w:val="auto"/>
              </w:rPr>
            </w:pPr>
            <w:r>
              <w:rPr>
                <w:rFonts w:ascii="Arial" w:cs="Arial" w:eastAsia="Arial" w:hAnsi="Arial"/>
                <w:sz w:val="16"/>
                <w:szCs w:val="16"/>
                <w:color w:val="auto"/>
              </w:rPr>
              <w:t>Interest received</w:t>
            </w: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Interest elements of lease payments</w:t>
            </w:r>
          </w:p>
        </w:tc>
        <w:tc>
          <w:tcPr>
            <w:tcW w:w="40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2"/>
        </w:trPr>
        <w:tc>
          <w:tcPr>
            <w:tcW w:w="3480" w:type="dxa"/>
            <w:vAlign w:val="bottom"/>
          </w:tcPr>
          <w:p>
            <w:pPr>
              <w:ind w:left="20"/>
              <w:spacing w:after="0"/>
              <w:rPr>
                <w:sz w:val="20"/>
                <w:szCs w:val="20"/>
                <w:color w:val="auto"/>
              </w:rPr>
            </w:pPr>
            <w:r>
              <w:rPr>
                <w:rFonts w:ascii="Arial" w:cs="Arial" w:eastAsia="Arial" w:hAnsi="Arial"/>
                <w:sz w:val="16"/>
                <w:szCs w:val="16"/>
                <w:color w:val="auto"/>
              </w:rPr>
              <w:t>Corporate taxes paid</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0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10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438</w:t>
            </w:r>
          </w:p>
        </w:tc>
        <w:tc>
          <w:tcPr>
            <w:tcW w:w="0" w:type="dxa"/>
            <w:vAlign w:val="bottom"/>
          </w:tcPr>
          <w:p>
            <w:pPr>
              <w:spacing w:after="0"/>
              <w:rPr>
                <w:sz w:val="1"/>
                <w:szCs w:val="1"/>
                <w:color w:val="auto"/>
              </w:rPr>
            </w:pPr>
          </w:p>
        </w:tc>
      </w:tr>
      <w:tr>
        <w:trPr>
          <w:trHeight w:val="360"/>
        </w:trPr>
        <w:tc>
          <w:tcPr>
            <w:tcW w:w="3480" w:type="dxa"/>
            <w:vAlign w:val="bottom"/>
          </w:tcPr>
          <w:p>
            <w:pPr>
              <w:ind w:left="20"/>
              <w:spacing w:after="0"/>
              <w:rPr>
                <w:sz w:val="20"/>
                <w:szCs w:val="20"/>
                <w:color w:val="auto"/>
              </w:rPr>
            </w:pPr>
            <w:r>
              <w:rPr>
                <w:rFonts w:ascii="Arial" w:cs="Arial" w:eastAsia="Arial" w:hAnsi="Arial"/>
                <w:sz w:val="16"/>
                <w:szCs w:val="16"/>
                <w:color w:val="auto"/>
              </w:rPr>
              <w:t>Acquisition of business, net of cash acquired</w:t>
            </w: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Investment in intangible assets</w:t>
            </w:r>
          </w:p>
        </w:tc>
        <w:tc>
          <w:tcPr>
            <w:tcW w:w="40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Investment in tangible assets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Marketable securities bought</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Marketable securities sold</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52"/>
        </w:trPr>
        <w:tc>
          <w:tcPr>
            <w:tcW w:w="3480" w:type="dxa"/>
            <w:vAlign w:val="bottom"/>
          </w:tcPr>
          <w:p>
            <w:pPr>
              <w:ind w:left="20"/>
              <w:spacing w:after="0"/>
              <w:rPr>
                <w:sz w:val="20"/>
                <w:szCs w:val="20"/>
                <w:color w:val="auto"/>
              </w:rPr>
            </w:pPr>
            <w:r>
              <w:rPr>
                <w:rFonts w:ascii="Arial" w:cs="Arial" w:eastAsia="Arial" w:hAnsi="Arial"/>
                <w:sz w:val="16"/>
                <w:szCs w:val="16"/>
                <w:color w:val="auto"/>
              </w:rPr>
              <w:t>Other investments bought</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000" w:type="dxa"/>
            <w:vAlign w:val="bottom"/>
          </w:tcPr>
          <w:p>
            <w:pPr>
              <w:spacing w:after="0"/>
              <w:rPr>
                <w:sz w:val="20"/>
                <w:szCs w:val="20"/>
                <w:color w:val="auto"/>
              </w:rPr>
            </w:pPr>
          </w:p>
        </w:tc>
        <w:tc>
          <w:tcPr>
            <w:tcW w:w="11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(1,480)</w:t>
            </w:r>
          </w:p>
        </w:tc>
        <w:tc>
          <w:tcPr>
            <w:tcW w:w="0" w:type="dxa"/>
            <w:vAlign w:val="bottom"/>
          </w:tcPr>
          <w:p>
            <w:pPr>
              <w:spacing w:after="0"/>
              <w:rPr>
                <w:sz w:val="1"/>
                <w:szCs w:val="1"/>
                <w:color w:val="auto"/>
              </w:rPr>
            </w:pPr>
          </w:p>
        </w:tc>
      </w:tr>
      <w:tr>
        <w:trPr>
          <w:trHeight w:val="427"/>
        </w:trPr>
        <w:tc>
          <w:tcPr>
            <w:tcW w:w="3480" w:type="dxa"/>
            <w:vAlign w:val="bottom"/>
          </w:tcPr>
          <w:p>
            <w:pPr>
              <w:ind w:left="20"/>
              <w:spacing w:after="0"/>
              <w:rPr>
                <w:sz w:val="20"/>
                <w:szCs w:val="20"/>
                <w:color w:val="auto"/>
              </w:rPr>
            </w:pPr>
            <w:r>
              <w:rPr>
                <w:rFonts w:ascii="Arial" w:cs="Arial" w:eastAsia="Arial" w:hAnsi="Arial"/>
                <w:sz w:val="16"/>
                <w:szCs w:val="16"/>
                <w:color w:val="auto"/>
              </w:rPr>
              <w:t>Warrants exercised</w:t>
            </w: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Principal elements of lease payments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6"/>
                <w:szCs w:val="16"/>
                <w:color w:val="auto"/>
              </w:rPr>
              <w:t>Purchase of treasury shares</w:t>
            </w:r>
          </w:p>
        </w:tc>
        <w:tc>
          <w:tcPr>
            <w:tcW w:w="40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52"/>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Payment of withholding taxes on behalf of employees on net settled RSUs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40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w:t>
            </w:r>
          </w:p>
        </w:tc>
        <w:tc>
          <w:tcPr>
            <w:tcW w:w="10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w:t>
            </w:r>
          </w:p>
        </w:tc>
        <w:tc>
          <w:tcPr>
            <w:tcW w:w="0" w:type="dxa"/>
            <w:vAlign w:val="bottom"/>
          </w:tcPr>
          <w:p>
            <w:pPr>
              <w:spacing w:after="0"/>
              <w:rPr>
                <w:sz w:val="1"/>
                <w:szCs w:val="1"/>
                <w:color w:val="auto"/>
              </w:rPr>
            </w:pPr>
          </w:p>
        </w:tc>
      </w:tr>
      <w:tr>
        <w:trPr>
          <w:trHeight w:val="368"/>
        </w:trPr>
        <w:tc>
          <w:tcPr>
            <w:tcW w:w="348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4000" w:type="dxa"/>
            <w:vAlign w:val="bottom"/>
          </w:tcPr>
          <w:p>
            <w:pPr>
              <w:spacing w:after="0"/>
              <w:rPr>
                <w:sz w:val="24"/>
                <w:szCs w:val="24"/>
                <w:color w:val="auto"/>
              </w:rPr>
            </w:pPr>
          </w:p>
        </w:tc>
        <w:tc>
          <w:tcPr>
            <w:tcW w:w="11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(1,567)</w:t>
            </w:r>
          </w:p>
        </w:tc>
        <w:tc>
          <w:tcPr>
            <w:tcW w:w="0" w:type="dxa"/>
            <w:vAlign w:val="bottom"/>
          </w:tcPr>
          <w:p>
            <w:pPr>
              <w:spacing w:after="0"/>
              <w:rPr>
                <w:sz w:val="1"/>
                <w:szCs w:val="1"/>
                <w:color w:val="auto"/>
              </w:rPr>
            </w:pPr>
          </w:p>
        </w:tc>
      </w:tr>
      <w:tr>
        <w:trPr>
          <w:trHeight w:val="384"/>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252"/>
        </w:trPr>
        <w:tc>
          <w:tcPr>
            <w:tcW w:w="3480" w:type="dxa"/>
            <w:vAlign w:val="bottom"/>
          </w:tcPr>
          <w:p>
            <w:pPr>
              <w:ind w:left="20"/>
              <w:spacing w:after="0"/>
              <w:rPr>
                <w:sz w:val="20"/>
                <w:szCs w:val="20"/>
                <w:color w:val="auto"/>
              </w:rPr>
            </w:pPr>
            <w:r>
              <w:rPr>
                <w:rFonts w:ascii="Arial" w:cs="Arial" w:eastAsia="Arial" w:hAnsi="Arial"/>
                <w:sz w:val="16"/>
                <w:szCs w:val="16"/>
                <w:color w:val="auto"/>
              </w:rPr>
              <w:t>Exchange rate adjustments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6"/>
        </w:trPr>
        <w:tc>
          <w:tcPr>
            <w:tcW w:w="74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1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1,296</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622</w:t>
            </w:r>
          </w:p>
        </w:tc>
        <w:tc>
          <w:tcPr>
            <w:tcW w:w="0" w:type="dxa"/>
            <w:vAlign w:val="bottom"/>
          </w:tcPr>
          <w:p>
            <w:pPr>
              <w:spacing w:after="0"/>
              <w:rPr>
                <w:sz w:val="1"/>
                <w:szCs w:val="1"/>
                <w:color w:val="auto"/>
              </w:rPr>
            </w:pPr>
          </w:p>
        </w:tc>
      </w:tr>
      <w:tr>
        <w:trPr>
          <w:trHeight w:val="370"/>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include:</w:t>
            </w: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6"/>
                <w:szCs w:val="16"/>
                <w:color w:val="auto"/>
              </w:rPr>
              <w:t>Bank deposits</w:t>
            </w:r>
          </w:p>
        </w:tc>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52"/>
        </w:trPr>
        <w:tc>
          <w:tcPr>
            <w:tcW w:w="3480" w:type="dxa"/>
            <w:vAlign w:val="bottom"/>
          </w:tcPr>
          <w:p>
            <w:pPr>
              <w:ind w:left="20"/>
              <w:spacing w:after="0"/>
              <w:rPr>
                <w:sz w:val="20"/>
                <w:szCs w:val="20"/>
                <w:color w:val="auto"/>
              </w:rPr>
            </w:pPr>
            <w:r>
              <w:rPr>
                <w:rFonts w:ascii="Arial" w:cs="Arial" w:eastAsia="Arial" w:hAnsi="Arial"/>
                <w:sz w:val="16"/>
                <w:szCs w:val="16"/>
                <w:color w:val="auto"/>
              </w:rPr>
              <w:t>Short-term marketable securities</w:t>
            </w: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729"/>
        </w:trPr>
        <w:tc>
          <w:tcPr>
            <w:tcW w:w="348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000" w:type="dxa"/>
            <w:vAlign w:val="bottom"/>
          </w:tcPr>
          <w:p>
            <w:pPr>
              <w:ind w:left="280"/>
              <w:spacing w:after="0"/>
              <w:rPr>
                <w:sz w:val="20"/>
                <w:szCs w:val="20"/>
                <w:color w:val="auto"/>
              </w:rPr>
            </w:pPr>
            <w:r>
              <w:rPr>
                <w:rFonts w:ascii="Arial" w:cs="Arial" w:eastAsia="Arial" w:hAnsi="Arial"/>
                <w:sz w:val="14"/>
                <w:szCs w:val="14"/>
                <w:color w:val="auto"/>
              </w:rPr>
              <w:t>Tel: +45 7020 2728</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right"/>
              <w:ind w:right="19"/>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348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000" w:type="dxa"/>
            <w:vAlign w:val="bottom"/>
          </w:tcPr>
          <w:p>
            <w:pPr>
              <w:ind w:left="280"/>
              <w:spacing w:after="0"/>
              <w:rPr>
                <w:sz w:val="20"/>
                <w:szCs w:val="20"/>
                <w:color w:val="auto"/>
              </w:rPr>
            </w:pPr>
            <w:r>
              <w:rPr>
                <w:rFonts w:ascii="Arial" w:cs="Arial" w:eastAsia="Arial" w:hAnsi="Arial"/>
                <w:sz w:val="14"/>
                <w:szCs w:val="14"/>
                <w:color w:val="auto"/>
              </w:rPr>
              <w:t>www.genmab.com</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19"/>
              <w:spacing w:after="0"/>
              <w:rPr>
                <w:sz w:val="20"/>
                <w:szCs w:val="20"/>
                <w:color w:val="auto"/>
              </w:rPr>
            </w:pPr>
            <w:r>
              <w:rPr>
                <w:rFonts w:ascii="Arial" w:cs="Arial" w:eastAsia="Arial" w:hAnsi="Arial"/>
                <w:sz w:val="14"/>
                <w:szCs w:val="14"/>
                <w:color w:val="auto"/>
              </w:rPr>
              <w:t>Page 27/44</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34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48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367665</wp:posOffset>
            </wp:positionV>
            <wp:extent cx="18084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8380" w:val="left"/>
          <w:tab w:leader="none" w:pos="9280" w:val="left"/>
          <w:tab w:leader="none" w:pos="9860" w:val="left"/>
          <w:tab w:leader="none" w:pos="10880" w:val="left"/>
        </w:tabs>
        <w:rPr>
          <w:sz w:val="20"/>
          <w:szCs w:val="20"/>
          <w:color w:val="auto"/>
        </w:rPr>
      </w:pPr>
      <w:r>
        <w:rPr>
          <w:rFonts w:ascii="Arial" w:cs="Arial" w:eastAsia="Arial" w:hAnsi="Arial"/>
          <w:sz w:val="16"/>
          <w:szCs w:val="16"/>
          <w:b w:val="1"/>
          <w:bCs w:val="1"/>
          <w:color w:val="auto"/>
        </w:rPr>
        <w:t>Cash and cash equivalents at the end of the period</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1,296</w:t>
        <w:tab/>
        <w:t>$</w:t>
      </w:r>
      <w:r>
        <w:rPr>
          <w:sz w:val="20"/>
          <w:szCs w:val="20"/>
          <w:color w:val="auto"/>
        </w:rPr>
        <w:tab/>
      </w:r>
      <w:r>
        <w:rPr>
          <w:rFonts w:ascii="Arial" w:cs="Arial" w:eastAsia="Arial" w:hAnsi="Arial"/>
          <w:sz w:val="15"/>
          <w:szCs w:val="15"/>
          <w:b w:val="1"/>
          <w:bCs w:val="1"/>
          <w:color w:val="auto"/>
        </w:rPr>
        <w:t>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29210</wp:posOffset>
            </wp:positionV>
            <wp:extent cx="18084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46" w:lineRule="exact"/>
        <w:rPr>
          <w:sz w:val="20"/>
          <w:szCs w:val="20"/>
          <w:color w:val="auto"/>
        </w:rPr>
      </w:pPr>
    </w:p>
    <w:p>
      <w:pPr>
        <w:ind w:left="20" w:right="160"/>
        <w:spacing w:after="0" w:line="264" w:lineRule="auto"/>
        <w:rPr>
          <w:sz w:val="20"/>
          <w:szCs w:val="20"/>
          <w:color w:val="auto"/>
        </w:rPr>
      </w:pPr>
      <w:r>
        <w:rPr>
          <w:rFonts w:ascii="Arial" w:cs="Arial" w:eastAsia="Arial" w:hAnsi="Arial"/>
          <w:sz w:val="14"/>
          <w:szCs w:val="14"/>
          <w:color w:val="auto"/>
        </w:rPr>
        <w:t>*Effective January 1, 2025, the Company changed its presentation currency from DKK to USD. Accordingly, prior year balances have been re-presented retrospectively. Refer to Note 1 for more information.</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28/44</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CONDENSED CONSOLIDATED STATEMENTS OF CHANGES IN EQUITY*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Shareholders'</w:t>
            </w:r>
          </w:p>
        </w:tc>
      </w:tr>
      <w:tr>
        <w:trPr>
          <w:trHeight w:val="238"/>
        </w:trPr>
        <w:tc>
          <w:tcPr>
            <w:tcW w:w="3200" w:type="dxa"/>
            <w:vAlign w:val="bottom"/>
          </w:tcPr>
          <w:p>
            <w:pPr>
              <w:spacing w:after="0"/>
              <w:rPr>
                <w:sz w:val="20"/>
                <w:szCs w:val="20"/>
                <w:color w:val="auto"/>
              </w:rPr>
            </w:pPr>
            <w:r>
              <w:rPr>
                <w:rFonts w:ascii="Arial" w:cs="Arial" w:eastAsia="Arial" w:hAnsi="Arial"/>
                <w:sz w:val="14"/>
                <w:szCs w:val="14"/>
                <w:b w:val="1"/>
                <w:bCs w:val="1"/>
                <w:color w:val="auto"/>
              </w:rPr>
              <w:t>(USD million)</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Note</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premium</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reserves</w:t>
            </w: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20"/>
                <w:szCs w:val="20"/>
                <w:color w:val="auto"/>
              </w:rPr>
            </w:pP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r>
      <w:tr>
        <w:trPr>
          <w:trHeight w:val="223"/>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at December 31, 2023</w:t>
            </w: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1,942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4,687</w:t>
            </w:r>
          </w:p>
        </w:tc>
      </w:tr>
      <w:tr>
        <w:trPr>
          <w:trHeight w:val="410"/>
        </w:trPr>
        <w:tc>
          <w:tcPr>
            <w:tcW w:w="3200" w:type="dxa"/>
            <w:vAlign w:val="bottom"/>
          </w:tcPr>
          <w:p>
            <w:pPr>
              <w:spacing w:after="0"/>
              <w:rPr>
                <w:sz w:val="20"/>
                <w:szCs w:val="20"/>
                <w:color w:val="auto"/>
              </w:rPr>
            </w:pPr>
            <w:r>
              <w:rPr>
                <w:rFonts w:ascii="Arial" w:cs="Arial" w:eastAsia="Arial" w:hAnsi="Arial"/>
                <w:sz w:val="14"/>
                <w:szCs w:val="14"/>
                <w:color w:val="auto"/>
              </w:rPr>
              <w:t>Net profit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230"/>
        </w:trPr>
        <w:tc>
          <w:tcPr>
            <w:tcW w:w="3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2"/>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7"/>
        </w:trPr>
        <w:tc>
          <w:tcPr>
            <w:tcW w:w="320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269</w:t>
            </w:r>
          </w:p>
        </w:tc>
      </w:tr>
      <w:tr>
        <w:trPr>
          <w:trHeight w:val="378"/>
        </w:trPr>
        <w:tc>
          <w:tcPr>
            <w:tcW w:w="3200" w:type="dxa"/>
            <w:vAlign w:val="bottom"/>
          </w:tcPr>
          <w:p>
            <w:pPr>
              <w:spacing w:after="0"/>
              <w:rPr>
                <w:sz w:val="20"/>
                <w:szCs w:val="20"/>
                <w:color w:val="auto"/>
              </w:rPr>
            </w:pPr>
            <w:r>
              <w:rPr>
                <w:rFonts w:ascii="Arial" w:cs="Arial" w:eastAsia="Arial" w:hAnsi="Arial"/>
                <w:sz w:val="14"/>
                <w:szCs w:val="14"/>
                <w:b w:val="1"/>
                <w:bCs w:val="1"/>
                <w:color w:val="auto"/>
              </w:rPr>
              <w:t>Transactions with owners: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4"/>
                <w:szCs w:val="14"/>
                <w:color w:val="auto"/>
              </w:rPr>
              <w:t>Exercise of warrants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30"/>
        </w:trPr>
        <w:tc>
          <w:tcPr>
            <w:tcW w:w="320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(560)</w:t>
            </w:r>
          </w:p>
        </w:tc>
      </w:tr>
      <w:tr>
        <w:trPr>
          <w:trHeight w:val="229"/>
        </w:trPr>
        <w:tc>
          <w:tcPr>
            <w:tcW w:w="3200" w:type="dxa"/>
            <w:vAlign w:val="bottom"/>
          </w:tcPr>
          <w:p>
            <w:pPr>
              <w:spacing w:after="0"/>
              <w:rPr>
                <w:sz w:val="20"/>
                <w:szCs w:val="20"/>
                <w:color w:val="auto"/>
              </w:rPr>
            </w:pPr>
            <w:r>
              <w:rPr>
                <w:rFonts w:ascii="Arial" w:cs="Arial" w:eastAsia="Arial" w:hAnsi="Arial"/>
                <w:sz w:val="14"/>
                <w:szCs w:val="14"/>
                <w:color w:val="auto"/>
              </w:rPr>
              <w:t>Share-based compensation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1"/>
        </w:trPr>
        <w:tc>
          <w:tcPr>
            <w:tcW w:w="3200" w:type="dxa"/>
            <w:vAlign w:val="bottom"/>
          </w:tcPr>
          <w:p>
            <w:pPr>
              <w:spacing w:after="0"/>
              <w:rPr>
                <w:sz w:val="20"/>
                <w:szCs w:val="20"/>
                <w:color w:val="auto"/>
              </w:rPr>
            </w:pPr>
            <w:r>
              <w:rPr>
                <w:rFonts w:ascii="Arial" w:cs="Arial" w:eastAsia="Arial" w:hAnsi="Arial"/>
                <w:sz w:val="14"/>
                <w:szCs w:val="14"/>
                <w:color w:val="auto"/>
              </w:rPr>
              <w:t>Withholding taxes on behalf of employees on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4"/>
                <w:szCs w:val="14"/>
                <w:color w:val="auto"/>
              </w:rPr>
              <w:t>net settled RSUs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2"/>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52"/>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at June 30, 2024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1,953</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2,610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4,445</w:t>
            </w:r>
          </w:p>
        </w:tc>
      </w:tr>
      <w:tr>
        <w:trPr>
          <w:trHeight w:val="425"/>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at December 31, 2024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1,961</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5,137</w:t>
            </w:r>
          </w:p>
        </w:tc>
      </w:tr>
      <w:tr>
        <w:trPr>
          <w:trHeight w:val="343"/>
        </w:trPr>
        <w:tc>
          <w:tcPr>
            <w:tcW w:w="3200" w:type="dxa"/>
            <w:vAlign w:val="bottom"/>
          </w:tcPr>
          <w:p>
            <w:pPr>
              <w:spacing w:after="0"/>
              <w:rPr>
                <w:sz w:val="20"/>
                <w:szCs w:val="20"/>
                <w:color w:val="auto"/>
              </w:rPr>
            </w:pPr>
            <w:r>
              <w:rPr>
                <w:rFonts w:ascii="Arial" w:cs="Arial" w:eastAsia="Arial" w:hAnsi="Arial"/>
                <w:sz w:val="14"/>
                <w:szCs w:val="14"/>
                <w:color w:val="auto"/>
              </w:rPr>
              <w:t>Net profit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531</w:t>
            </w:r>
          </w:p>
        </w:tc>
      </w:tr>
      <w:tr>
        <w:trPr>
          <w:trHeight w:val="230"/>
        </w:trPr>
        <w:tc>
          <w:tcPr>
            <w:tcW w:w="3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2"/>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8"/>
        </w:trPr>
        <w:tc>
          <w:tcPr>
            <w:tcW w:w="320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547</w:t>
            </w:r>
          </w:p>
        </w:tc>
      </w:tr>
      <w:tr>
        <w:trPr>
          <w:trHeight w:val="378"/>
        </w:trPr>
        <w:tc>
          <w:tcPr>
            <w:tcW w:w="3200" w:type="dxa"/>
            <w:vAlign w:val="bottom"/>
          </w:tcPr>
          <w:p>
            <w:pPr>
              <w:spacing w:after="0"/>
              <w:rPr>
                <w:sz w:val="20"/>
                <w:szCs w:val="20"/>
                <w:color w:val="auto"/>
              </w:rPr>
            </w:pPr>
            <w:r>
              <w:rPr>
                <w:rFonts w:ascii="Arial" w:cs="Arial" w:eastAsia="Arial" w:hAnsi="Arial"/>
                <w:sz w:val="14"/>
                <w:szCs w:val="14"/>
                <w:b w:val="1"/>
                <w:bCs w:val="1"/>
                <w:color w:val="auto"/>
              </w:rPr>
              <w:t>Transactions with owners: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4"/>
                <w:szCs w:val="14"/>
                <w:color w:val="auto"/>
              </w:rPr>
              <w:t>Exercise of warrants</w:t>
            </w:r>
          </w:p>
        </w:tc>
        <w:tc>
          <w:tcPr>
            <w:tcW w:w="8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30"/>
        </w:trPr>
        <w:tc>
          <w:tcPr>
            <w:tcW w:w="320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8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(430)</w:t>
            </w:r>
          </w:p>
        </w:tc>
      </w:tr>
      <w:tr>
        <w:trPr>
          <w:trHeight w:val="230"/>
        </w:trPr>
        <w:tc>
          <w:tcPr>
            <w:tcW w:w="3200" w:type="dxa"/>
            <w:vAlign w:val="bottom"/>
          </w:tcPr>
          <w:p>
            <w:pPr>
              <w:spacing w:after="0"/>
              <w:rPr>
                <w:sz w:val="20"/>
                <w:szCs w:val="20"/>
                <w:color w:val="auto"/>
              </w:rPr>
            </w:pPr>
            <w:r>
              <w:rPr>
                <w:rFonts w:ascii="Arial" w:cs="Arial" w:eastAsia="Arial" w:hAnsi="Arial"/>
                <w:sz w:val="14"/>
                <w:szCs w:val="14"/>
                <w:color w:val="auto"/>
              </w:rPr>
              <w:t>Share-based compensation expenses</w:t>
            </w:r>
          </w:p>
        </w:tc>
        <w:tc>
          <w:tcPr>
            <w:tcW w:w="8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29"/>
        </w:trPr>
        <w:tc>
          <w:tcPr>
            <w:tcW w:w="3200" w:type="dxa"/>
            <w:vAlign w:val="bottom"/>
          </w:tcPr>
          <w:p>
            <w:pPr>
              <w:spacing w:after="0"/>
              <w:rPr>
                <w:sz w:val="20"/>
                <w:szCs w:val="20"/>
                <w:color w:val="auto"/>
              </w:rPr>
            </w:pPr>
            <w:r>
              <w:rPr>
                <w:rFonts w:ascii="Arial" w:cs="Arial" w:eastAsia="Arial" w:hAnsi="Arial"/>
                <w:sz w:val="14"/>
                <w:szCs w:val="14"/>
                <w:color w:val="auto"/>
              </w:rPr>
              <w:t>Share capital reduction</w:t>
            </w:r>
          </w:p>
        </w:tc>
        <w:tc>
          <w:tcPr>
            <w:tcW w:w="80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3200" w:type="dxa"/>
            <w:vAlign w:val="bottom"/>
          </w:tcPr>
          <w:p>
            <w:pPr>
              <w:spacing w:after="0"/>
              <w:rPr>
                <w:sz w:val="20"/>
                <w:szCs w:val="20"/>
                <w:color w:val="auto"/>
              </w:rPr>
            </w:pPr>
            <w:r>
              <w:rPr>
                <w:rFonts w:ascii="Arial" w:cs="Arial" w:eastAsia="Arial" w:hAnsi="Arial"/>
                <w:sz w:val="14"/>
                <w:szCs w:val="14"/>
                <w:color w:val="auto"/>
              </w:rPr>
              <w:t>Withholding taxes on behalf of employees on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3200" w:type="dxa"/>
            <w:vAlign w:val="bottom"/>
          </w:tcPr>
          <w:p>
            <w:pPr>
              <w:spacing w:after="0"/>
              <w:rPr>
                <w:sz w:val="20"/>
                <w:szCs w:val="20"/>
                <w:color w:val="auto"/>
              </w:rPr>
            </w:pPr>
            <w:r>
              <w:rPr>
                <w:rFonts w:ascii="Arial" w:cs="Arial" w:eastAsia="Arial" w:hAnsi="Arial"/>
                <w:sz w:val="14"/>
                <w:szCs w:val="14"/>
                <w:color w:val="auto"/>
              </w:rPr>
              <w:t>net settled RSUs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52"/>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at June 30, 2025</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1,904</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3,598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5,302</w:t>
            </w:r>
          </w:p>
        </w:tc>
      </w:tr>
    </w:tbl>
    <w:p>
      <w:pPr>
        <w:spacing w:after="0" w:line="247" w:lineRule="exact"/>
        <w:rPr>
          <w:sz w:val="20"/>
          <w:szCs w:val="20"/>
          <w:color w:val="auto"/>
        </w:rPr>
      </w:pPr>
    </w:p>
    <w:p>
      <w:pPr>
        <w:ind w:left="20" w:right="160"/>
        <w:spacing w:after="0" w:line="244" w:lineRule="auto"/>
        <w:rPr>
          <w:sz w:val="20"/>
          <w:szCs w:val="20"/>
          <w:color w:val="auto"/>
        </w:rPr>
      </w:pPr>
      <w:r>
        <w:rPr>
          <w:rFonts w:ascii="Arial" w:cs="Arial" w:eastAsia="Arial" w:hAnsi="Arial"/>
          <w:sz w:val="14"/>
          <w:szCs w:val="14"/>
          <w:color w:val="auto"/>
        </w:rPr>
        <w:t>*Effective January 1, 2025, the Company changed its presentation currency from DKK to USD. Accordingly, prior year balances have been re-presented retrospectively. Refer to Note 1 for more information.</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29/44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NOTES TO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1 -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interim statements of the Genmab Group (Genmab or the Company) have been prepared in accordance with IAS 34 (Interim Financial Reporting) as issued by the International Accounting Standards Board (IASB) and in accordance with IAS 34 as endorsed by the European Union (EU) and additional Danish disclosure requirements for interim reports of listed companies. The interim report has not been audited by Genmab’s external auditors.</w:t>
      </w:r>
    </w:p>
    <w:p>
      <w:pPr>
        <w:spacing w:after="0" w:line="14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interim report has been prepared using the same accounting policies as outlined in Section 1 – Basis of Presentation in the financial statements in the Genmab 2024 Annual Report (Annual Report), except as noted below. A number of amended standards became applicable for the current reporting period. There was no impact to Genmab’s financial statements as a result of adopting these amended standards. These interim financial statements should be read in conjunction with the Annual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and Presentation Currency Change</w:t>
      </w:r>
    </w:p>
    <w:p>
      <w:pPr>
        <w:spacing w:after="0" w:line="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Management determined it is appropriate to change both the functional currency of the Genmab A/S legal entity and the presentation currency of the condensed consolidated financial statements from DKK to USD effective January 1, 2025. The change in functional currency was triggered by the commercialization of EPKINLY and was made to reflect that USD has become the predominant currency of the Genmab A/S legal entity. The change has been implemented with prospective effect. The change in presentation currency is applied retrospectively and was made to better reflect the Company’s financial position. Comparative figures for prior periods have been restated accordingly.</w:t>
      </w:r>
    </w:p>
    <w:p>
      <w:pPr>
        <w:spacing w:after="0" w:line="11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condensed consolidated statements of comprehensive income and the condensed consolidated statements of cash flows have been translated into the presentation currency using the average exchange rates prevailing during each reporting period. In the condensed consolidated balance sheets, all assets and liabilities have been translated using the period-end exchange rates, and all resulting exchange differences have been recognized in accumulated other comprehensive income. Shareholders’ equity balances have been translated using historical rates in effect on the date of the transactions. The DKK/USD exchange rates used to reflect the change in presentation currency were as follows: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660" w:type="dxa"/>
            <w:vAlign w:val="bottom"/>
            <w:vMerge w:val="restart"/>
          </w:tcPr>
          <w:p>
            <w:pPr>
              <w:spacing w:after="0"/>
              <w:rPr>
                <w:sz w:val="20"/>
                <w:szCs w:val="20"/>
                <w:color w:val="auto"/>
              </w:rPr>
            </w:pPr>
            <w:r>
              <w:rPr>
                <w:rFonts w:ascii="Arial" w:cs="Arial" w:eastAsia="Arial" w:hAnsi="Arial"/>
                <w:sz w:val="18"/>
                <w:szCs w:val="18"/>
                <w:color w:val="auto"/>
              </w:rPr>
              <w:t>Average rate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Q1 2024</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Q2 2024</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Q3 2024</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Q4 2024</w:t>
            </w:r>
          </w:p>
        </w:tc>
        <w:tc>
          <w:tcPr>
            <w:tcW w:w="0" w:type="dxa"/>
            <w:vAlign w:val="bottom"/>
          </w:tcPr>
          <w:p>
            <w:pPr>
              <w:spacing w:after="0"/>
              <w:rPr>
                <w:sz w:val="1"/>
                <w:szCs w:val="1"/>
                <w:color w:val="auto"/>
              </w:rPr>
            </w:pPr>
          </w:p>
        </w:tc>
      </w:tr>
      <w:tr>
        <w:trPr>
          <w:trHeight w:val="218"/>
        </w:trPr>
        <w:tc>
          <w:tcPr>
            <w:tcW w:w="2660" w:type="dxa"/>
            <w:vAlign w:val="bottom"/>
            <w:vMerge w:val="continue"/>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0.1456</w:t>
            </w: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0.1443</w:t>
            </w:r>
          </w:p>
        </w:tc>
        <w:tc>
          <w:tcPr>
            <w:tcW w:w="1720" w:type="dxa"/>
            <w:vAlign w:val="bottom"/>
          </w:tcPr>
          <w:p>
            <w:pPr>
              <w:jc w:val="center"/>
              <w:spacing w:after="0"/>
              <w:rPr>
                <w:sz w:val="20"/>
                <w:szCs w:val="20"/>
                <w:color w:val="auto"/>
              </w:rPr>
            </w:pPr>
            <w:r>
              <w:rPr>
                <w:rFonts w:ascii="Arial" w:cs="Arial" w:eastAsia="Arial" w:hAnsi="Arial"/>
                <w:sz w:val="18"/>
                <w:szCs w:val="18"/>
                <w:color w:val="auto"/>
              </w:rPr>
              <w:t>0.1472</w:t>
            </w:r>
          </w:p>
        </w:tc>
        <w:tc>
          <w:tcPr>
            <w:tcW w:w="1720" w:type="dxa"/>
            <w:vAlign w:val="bottom"/>
          </w:tcPr>
          <w:p>
            <w:pPr>
              <w:jc w:val="center"/>
              <w:spacing w:after="0"/>
              <w:rPr>
                <w:sz w:val="20"/>
                <w:szCs w:val="20"/>
                <w:color w:val="auto"/>
              </w:rPr>
            </w:pPr>
            <w:r>
              <w:rPr>
                <w:rFonts w:ascii="Arial" w:cs="Arial" w:eastAsia="Arial" w:hAnsi="Arial"/>
                <w:sz w:val="18"/>
                <w:szCs w:val="18"/>
                <w:color w:val="auto"/>
              </w:rPr>
              <w:t>0.1433</w:t>
            </w: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r>
              <w:rPr>
                <w:rFonts w:ascii="Arial" w:cs="Arial" w:eastAsia="Arial" w:hAnsi="Arial"/>
                <w:sz w:val="18"/>
                <w:szCs w:val="18"/>
                <w:color w:val="auto"/>
              </w:rPr>
              <w:t>Closing rate</w:t>
            </w: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0.1450</w:t>
            </w: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0.1435</w:t>
            </w:r>
          </w:p>
        </w:tc>
        <w:tc>
          <w:tcPr>
            <w:tcW w:w="1720" w:type="dxa"/>
            <w:vAlign w:val="bottom"/>
          </w:tcPr>
          <w:p>
            <w:pPr>
              <w:jc w:val="center"/>
              <w:spacing w:after="0"/>
              <w:rPr>
                <w:sz w:val="20"/>
                <w:szCs w:val="20"/>
                <w:color w:val="auto"/>
              </w:rPr>
            </w:pPr>
            <w:r>
              <w:rPr>
                <w:rFonts w:ascii="Arial" w:cs="Arial" w:eastAsia="Arial" w:hAnsi="Arial"/>
                <w:sz w:val="18"/>
                <w:szCs w:val="18"/>
                <w:color w:val="auto"/>
              </w:rPr>
              <w:t>0.1502</w:t>
            </w:r>
          </w:p>
        </w:tc>
        <w:tc>
          <w:tcPr>
            <w:tcW w:w="1720" w:type="dxa"/>
            <w:vAlign w:val="bottom"/>
          </w:tcPr>
          <w:p>
            <w:pPr>
              <w:jc w:val="center"/>
              <w:spacing w:after="0"/>
              <w:rPr>
                <w:sz w:val="20"/>
                <w:szCs w:val="20"/>
                <w:color w:val="auto"/>
              </w:rPr>
            </w:pPr>
            <w:r>
              <w:rPr>
                <w:rFonts w:ascii="Arial" w:cs="Arial" w:eastAsia="Arial" w:hAnsi="Arial"/>
                <w:sz w:val="18"/>
                <w:szCs w:val="18"/>
                <w:color w:val="auto"/>
              </w:rPr>
              <w:t>0.1400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presentation currency resulted in the following impact on the December 31, 2024 condensed consolidated balance sheets: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Previously reported in DKK</w:t>
            </w:r>
          </w:p>
        </w:tc>
        <w:tc>
          <w:tcPr>
            <w:tcW w:w="3100" w:type="dxa"/>
            <w:vAlign w:val="bottom"/>
          </w:tcPr>
          <w:p>
            <w:pPr>
              <w:spacing w:after="0"/>
              <w:rPr>
                <w:sz w:val="19"/>
                <w:szCs w:val="19"/>
                <w:color w:val="auto"/>
              </w:rPr>
            </w:pPr>
          </w:p>
        </w:tc>
        <w:tc>
          <w:tcPr>
            <w:tcW w:w="2560" w:type="dxa"/>
            <w:vAlign w:val="bottom"/>
          </w:tcPr>
          <w:p>
            <w:pPr>
              <w:jc w:val="right"/>
              <w:ind w:right="650"/>
              <w:spacing w:after="0"/>
              <w:rPr>
                <w:sz w:val="20"/>
                <w:szCs w:val="20"/>
                <w:color w:val="auto"/>
              </w:rPr>
            </w:pPr>
            <w:r>
              <w:rPr>
                <w:rFonts w:ascii="Arial" w:cs="Arial" w:eastAsia="Arial" w:hAnsi="Arial"/>
                <w:sz w:val="18"/>
                <w:szCs w:val="18"/>
                <w:color w:val="auto"/>
              </w:rPr>
              <w:t>Reported in USD</w:t>
            </w:r>
          </w:p>
        </w:tc>
        <w:tc>
          <w:tcPr>
            <w:tcW w:w="0" w:type="dxa"/>
            <w:vAlign w:val="bottom"/>
          </w:tcPr>
          <w:p>
            <w:pPr>
              <w:spacing w:after="0"/>
              <w:rPr>
                <w:sz w:val="1"/>
                <w:szCs w:val="1"/>
                <w:color w:val="auto"/>
              </w:rPr>
            </w:pPr>
          </w:p>
        </w:tc>
      </w:tr>
      <w:tr>
        <w:trPr>
          <w:trHeight w:val="235"/>
        </w:trPr>
        <w:tc>
          <w:tcPr>
            <w:tcW w:w="26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28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December 31, 2024</w:t>
            </w:r>
          </w:p>
        </w:tc>
        <w:tc>
          <w:tcPr>
            <w:tcW w:w="3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Presentation currency change</w:t>
            </w:r>
          </w:p>
        </w:tc>
        <w:tc>
          <w:tcPr>
            <w:tcW w:w="25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18"/>
        </w:trPr>
        <w:tc>
          <w:tcPr>
            <w:tcW w:w="2680" w:type="dxa"/>
            <w:vAlign w:val="bottom"/>
            <w:vMerge w:val="continue"/>
          </w:tcPr>
          <w:p>
            <w:pPr>
              <w:spacing w:after="0"/>
              <w:rPr>
                <w:sz w:val="18"/>
                <w:szCs w:val="18"/>
                <w:color w:val="auto"/>
              </w:rPr>
            </w:pPr>
          </w:p>
        </w:tc>
        <w:tc>
          <w:tcPr>
            <w:tcW w:w="2880" w:type="dxa"/>
            <w:vAlign w:val="bottom"/>
          </w:tcPr>
          <w:p>
            <w:pPr>
              <w:jc w:val="right"/>
              <w:ind w:right="30"/>
              <w:spacing w:after="0"/>
              <w:rPr>
                <w:sz w:val="20"/>
                <w:szCs w:val="20"/>
                <w:color w:val="auto"/>
              </w:rPr>
            </w:pPr>
            <w:r>
              <w:rPr>
                <w:rFonts w:ascii="Arial" w:cs="Arial" w:eastAsia="Arial" w:hAnsi="Arial"/>
                <w:sz w:val="18"/>
                <w:szCs w:val="18"/>
                <w:color w:val="auto"/>
              </w:rPr>
              <w:t>45,811</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(39,397)</w:t>
            </w:r>
          </w:p>
        </w:tc>
        <w:tc>
          <w:tcPr>
            <w:tcW w:w="2560" w:type="dxa"/>
            <w:vAlign w:val="bottom"/>
          </w:tcPr>
          <w:p>
            <w:pPr>
              <w:jc w:val="right"/>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Total liabilities</w:t>
            </w:r>
          </w:p>
        </w:tc>
        <w:tc>
          <w:tcPr>
            <w:tcW w:w="2880" w:type="dxa"/>
            <w:vAlign w:val="bottom"/>
          </w:tcPr>
          <w:p>
            <w:pPr>
              <w:jc w:val="right"/>
              <w:ind w:right="30"/>
              <w:spacing w:after="0"/>
              <w:rPr>
                <w:sz w:val="20"/>
                <w:szCs w:val="20"/>
                <w:color w:val="auto"/>
              </w:rPr>
            </w:pPr>
            <w:r>
              <w:rPr>
                <w:rFonts w:ascii="Arial" w:cs="Arial" w:eastAsia="Arial" w:hAnsi="Arial"/>
                <w:sz w:val="18"/>
                <w:szCs w:val="18"/>
                <w:color w:val="auto"/>
              </w:rPr>
              <w:t>9,114</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(7,837)</w:t>
            </w:r>
          </w:p>
        </w:tc>
        <w:tc>
          <w:tcPr>
            <w:tcW w:w="256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39"/>
        </w:trPr>
        <w:tc>
          <w:tcPr>
            <w:tcW w:w="26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880" w:type="dxa"/>
            <w:vAlign w:val="bottom"/>
          </w:tcPr>
          <w:p>
            <w:pPr>
              <w:jc w:val="right"/>
              <w:ind w:right="30"/>
              <w:spacing w:after="0"/>
              <w:rPr>
                <w:sz w:val="20"/>
                <w:szCs w:val="20"/>
                <w:color w:val="auto"/>
              </w:rPr>
            </w:pPr>
            <w:r>
              <w:rPr>
                <w:rFonts w:ascii="Arial" w:cs="Arial" w:eastAsia="Arial" w:hAnsi="Arial"/>
                <w:sz w:val="18"/>
                <w:szCs w:val="18"/>
                <w:color w:val="auto"/>
              </w:rPr>
              <w:t>36,697</w:t>
            </w:r>
          </w:p>
        </w:tc>
        <w:tc>
          <w:tcPr>
            <w:tcW w:w="3100" w:type="dxa"/>
            <w:vAlign w:val="bottom"/>
          </w:tcPr>
          <w:p>
            <w:pPr>
              <w:jc w:val="right"/>
              <w:ind w:right="230"/>
              <w:spacing w:after="0"/>
              <w:rPr>
                <w:sz w:val="20"/>
                <w:szCs w:val="20"/>
                <w:color w:val="auto"/>
              </w:rPr>
            </w:pPr>
            <w:r>
              <w:rPr>
                <w:rFonts w:ascii="Arial" w:cs="Arial" w:eastAsia="Arial" w:hAnsi="Arial"/>
                <w:sz w:val="18"/>
                <w:szCs w:val="18"/>
                <w:color w:val="auto"/>
              </w:rPr>
              <w:t>(31,560)</w:t>
            </w:r>
          </w:p>
        </w:tc>
        <w:tc>
          <w:tcPr>
            <w:tcW w:w="2560" w:type="dxa"/>
            <w:vAlign w:val="bottom"/>
          </w:tcPr>
          <w:p>
            <w:pPr>
              <w:jc w:val="right"/>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30/44</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change in presentation currency resulted in the following impact on the three months ended June 30, 2024 condensed consolidated statements of comprehensive income:</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Previously reported in DKK</w:t>
            </w:r>
          </w:p>
        </w:tc>
        <w:tc>
          <w:tcPr>
            <w:tcW w:w="3160" w:type="dxa"/>
            <w:vAlign w:val="bottom"/>
          </w:tcPr>
          <w:p>
            <w:pPr>
              <w:spacing w:after="0"/>
              <w:rPr>
                <w:sz w:val="19"/>
                <w:szCs w:val="19"/>
                <w:color w:val="auto"/>
              </w:rPr>
            </w:pPr>
          </w:p>
        </w:tc>
        <w:tc>
          <w:tcPr>
            <w:tcW w:w="2500" w:type="dxa"/>
            <w:vAlign w:val="bottom"/>
          </w:tcPr>
          <w:p>
            <w:pPr>
              <w:jc w:val="right"/>
              <w:ind w:right="650"/>
              <w:spacing w:after="0"/>
              <w:rPr>
                <w:sz w:val="20"/>
                <w:szCs w:val="20"/>
                <w:color w:val="auto"/>
              </w:rPr>
            </w:pPr>
            <w:r>
              <w:rPr>
                <w:rFonts w:ascii="Arial" w:cs="Arial" w:eastAsia="Arial" w:hAnsi="Arial"/>
                <w:sz w:val="18"/>
                <w:szCs w:val="18"/>
                <w:color w:val="auto"/>
              </w:rPr>
              <w:t>Reported in USD</w:t>
            </w:r>
          </w:p>
        </w:tc>
        <w:tc>
          <w:tcPr>
            <w:tcW w:w="0" w:type="dxa"/>
            <w:vAlign w:val="bottom"/>
          </w:tcPr>
          <w:p>
            <w:pPr>
              <w:spacing w:after="0"/>
              <w:rPr>
                <w:sz w:val="1"/>
                <w:szCs w:val="1"/>
                <w:color w:val="auto"/>
              </w:rPr>
            </w:pPr>
          </w:p>
        </w:tc>
      </w:tr>
      <w:tr>
        <w:trPr>
          <w:trHeight w:val="235"/>
        </w:trPr>
        <w:tc>
          <w:tcPr>
            <w:tcW w:w="2640" w:type="dxa"/>
            <w:vAlign w:val="bottom"/>
            <w:vMerge w:val="restart"/>
          </w:tcPr>
          <w:p>
            <w:pPr>
              <w:spacing w:after="0"/>
              <w:rPr>
                <w:sz w:val="20"/>
                <w:szCs w:val="20"/>
                <w:color w:val="auto"/>
              </w:rPr>
            </w:pPr>
            <w:r>
              <w:rPr>
                <w:rFonts w:ascii="Arial" w:cs="Arial" w:eastAsia="Arial" w:hAnsi="Arial"/>
                <w:sz w:val="18"/>
                <w:szCs w:val="18"/>
                <w:color w:val="auto"/>
              </w:rPr>
              <w:t>Net profit</w:t>
            </w:r>
          </w:p>
        </w:tc>
        <w:tc>
          <w:tcPr>
            <w:tcW w:w="28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June 30, 2024</w:t>
            </w:r>
          </w:p>
        </w:tc>
        <w:tc>
          <w:tcPr>
            <w:tcW w:w="3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Presentation currency change</w:t>
            </w:r>
          </w:p>
        </w:tc>
        <w:tc>
          <w:tcPr>
            <w:tcW w:w="25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June 30, 2024</w:t>
            </w:r>
          </w:p>
        </w:tc>
        <w:tc>
          <w:tcPr>
            <w:tcW w:w="0" w:type="dxa"/>
            <w:vAlign w:val="bottom"/>
          </w:tcPr>
          <w:p>
            <w:pPr>
              <w:spacing w:after="0"/>
              <w:rPr>
                <w:sz w:val="1"/>
                <w:szCs w:val="1"/>
                <w:color w:val="auto"/>
              </w:rPr>
            </w:pPr>
          </w:p>
        </w:tc>
      </w:tr>
      <w:tr>
        <w:trPr>
          <w:trHeight w:val="218"/>
        </w:trPr>
        <w:tc>
          <w:tcPr>
            <w:tcW w:w="2640" w:type="dxa"/>
            <w:vAlign w:val="bottom"/>
            <w:vMerge w:val="continue"/>
          </w:tcPr>
          <w:p>
            <w:pPr>
              <w:spacing w:after="0"/>
              <w:rPr>
                <w:sz w:val="18"/>
                <w:szCs w:val="18"/>
                <w:color w:val="auto"/>
              </w:rPr>
            </w:pPr>
          </w:p>
        </w:tc>
        <w:tc>
          <w:tcPr>
            <w:tcW w:w="2880" w:type="dxa"/>
            <w:vAlign w:val="bottom"/>
          </w:tcPr>
          <w:p>
            <w:pPr>
              <w:jc w:val="right"/>
              <w:ind w:right="30"/>
              <w:spacing w:after="0"/>
              <w:rPr>
                <w:sz w:val="20"/>
                <w:szCs w:val="20"/>
                <w:color w:val="auto"/>
              </w:rPr>
            </w:pPr>
            <w:r>
              <w:rPr>
                <w:rFonts w:ascii="Arial" w:cs="Arial" w:eastAsia="Arial" w:hAnsi="Arial"/>
                <w:sz w:val="18"/>
                <w:szCs w:val="18"/>
                <w:color w:val="auto"/>
              </w:rPr>
              <w:t>1,408</w:t>
            </w:r>
          </w:p>
        </w:tc>
        <w:tc>
          <w:tcPr>
            <w:tcW w:w="3160" w:type="dxa"/>
            <w:vAlign w:val="bottom"/>
          </w:tcPr>
          <w:p>
            <w:pPr>
              <w:jc w:val="right"/>
              <w:ind w:right="290"/>
              <w:spacing w:after="0"/>
              <w:rPr>
                <w:sz w:val="20"/>
                <w:szCs w:val="20"/>
                <w:color w:val="auto"/>
              </w:rPr>
            </w:pPr>
            <w:r>
              <w:rPr>
                <w:rFonts w:ascii="Arial" w:cs="Arial" w:eastAsia="Arial" w:hAnsi="Arial"/>
                <w:sz w:val="18"/>
                <w:szCs w:val="18"/>
                <w:color w:val="auto"/>
              </w:rPr>
              <w:t>(1,205)</w:t>
            </w:r>
          </w:p>
        </w:tc>
        <w:tc>
          <w:tcPr>
            <w:tcW w:w="25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r>
              <w:rPr>
                <w:rFonts w:ascii="Arial" w:cs="Arial" w:eastAsia="Arial" w:hAnsi="Arial"/>
                <w:sz w:val="18"/>
                <w:szCs w:val="18"/>
                <w:color w:val="auto"/>
              </w:rPr>
              <w:t>Comprehensive income</w:t>
            </w:r>
          </w:p>
        </w:tc>
        <w:tc>
          <w:tcPr>
            <w:tcW w:w="2880" w:type="dxa"/>
            <w:vAlign w:val="bottom"/>
          </w:tcPr>
          <w:p>
            <w:pPr>
              <w:jc w:val="right"/>
              <w:ind w:right="30"/>
              <w:spacing w:after="0"/>
              <w:rPr>
                <w:sz w:val="20"/>
                <w:szCs w:val="20"/>
                <w:color w:val="auto"/>
              </w:rPr>
            </w:pPr>
            <w:r>
              <w:rPr>
                <w:rFonts w:ascii="Arial" w:cs="Arial" w:eastAsia="Arial" w:hAnsi="Arial"/>
                <w:sz w:val="18"/>
                <w:szCs w:val="18"/>
                <w:color w:val="auto"/>
              </w:rPr>
              <w:t>1,534</w:t>
            </w:r>
          </w:p>
        </w:tc>
        <w:tc>
          <w:tcPr>
            <w:tcW w:w="3160" w:type="dxa"/>
            <w:vAlign w:val="bottom"/>
          </w:tcPr>
          <w:p>
            <w:pPr>
              <w:jc w:val="right"/>
              <w:ind w:right="290"/>
              <w:spacing w:after="0"/>
              <w:rPr>
                <w:sz w:val="20"/>
                <w:szCs w:val="20"/>
                <w:color w:val="auto"/>
              </w:rPr>
            </w:pPr>
            <w:r>
              <w:rPr>
                <w:rFonts w:ascii="Arial" w:cs="Arial" w:eastAsia="Arial" w:hAnsi="Arial"/>
                <w:sz w:val="18"/>
                <w:szCs w:val="18"/>
                <w:color w:val="auto"/>
              </w:rPr>
              <w:t>(1,361)</w:t>
            </w:r>
          </w:p>
        </w:tc>
        <w:tc>
          <w:tcPr>
            <w:tcW w:w="25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change in presentation currency resulted in the following impact on the six months ended June 30, 2024 condensed consolidated statements of comprehensive income:</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2980" w:type="dxa"/>
            <w:vAlign w:val="bottom"/>
          </w:tcPr>
          <w:p>
            <w:pPr>
              <w:jc w:val="right"/>
              <w:ind w:right="350"/>
              <w:spacing w:after="0"/>
              <w:rPr>
                <w:sz w:val="20"/>
                <w:szCs w:val="20"/>
                <w:color w:val="auto"/>
              </w:rPr>
            </w:pPr>
            <w:r>
              <w:rPr>
                <w:rFonts w:ascii="Arial" w:cs="Arial" w:eastAsia="Arial" w:hAnsi="Arial"/>
                <w:sz w:val="18"/>
                <w:szCs w:val="18"/>
                <w:color w:val="auto"/>
              </w:rPr>
              <w:t>Previously reported in DKK</w:t>
            </w:r>
          </w:p>
        </w:tc>
        <w:tc>
          <w:tcPr>
            <w:tcW w:w="3220" w:type="dxa"/>
            <w:vAlign w:val="bottom"/>
          </w:tcPr>
          <w:p>
            <w:pPr>
              <w:spacing w:after="0"/>
              <w:rPr>
                <w:sz w:val="19"/>
                <w:szCs w:val="19"/>
                <w:color w:val="auto"/>
              </w:rPr>
            </w:pPr>
          </w:p>
        </w:tc>
        <w:tc>
          <w:tcPr>
            <w:tcW w:w="2340" w:type="dxa"/>
            <w:vAlign w:val="bottom"/>
          </w:tcPr>
          <w:p>
            <w:pPr>
              <w:jc w:val="right"/>
              <w:ind w:right="550"/>
              <w:spacing w:after="0"/>
              <w:rPr>
                <w:sz w:val="20"/>
                <w:szCs w:val="20"/>
                <w:color w:val="auto"/>
              </w:rPr>
            </w:pPr>
            <w:r>
              <w:rPr>
                <w:rFonts w:ascii="Arial" w:cs="Arial" w:eastAsia="Arial" w:hAnsi="Arial"/>
                <w:sz w:val="18"/>
                <w:szCs w:val="18"/>
                <w:color w:val="auto"/>
              </w:rPr>
              <w:t>Reported in USD</w:t>
            </w:r>
          </w:p>
        </w:tc>
        <w:tc>
          <w:tcPr>
            <w:tcW w:w="0" w:type="dxa"/>
            <w:vAlign w:val="bottom"/>
          </w:tcPr>
          <w:p>
            <w:pPr>
              <w:spacing w:after="0"/>
              <w:rPr>
                <w:sz w:val="1"/>
                <w:szCs w:val="1"/>
                <w:color w:val="auto"/>
              </w:rPr>
            </w:pPr>
          </w:p>
        </w:tc>
      </w:tr>
      <w:tr>
        <w:trPr>
          <w:trHeight w:val="235"/>
        </w:trPr>
        <w:tc>
          <w:tcPr>
            <w:tcW w:w="2640" w:type="dxa"/>
            <w:vAlign w:val="bottom"/>
            <w:vMerge w:val="restart"/>
          </w:tcPr>
          <w:p>
            <w:pPr>
              <w:spacing w:after="0"/>
              <w:rPr>
                <w:sz w:val="20"/>
                <w:szCs w:val="20"/>
                <w:color w:val="auto"/>
              </w:rPr>
            </w:pPr>
            <w:r>
              <w:rPr>
                <w:rFonts w:ascii="Arial" w:cs="Arial" w:eastAsia="Arial" w:hAnsi="Arial"/>
                <w:sz w:val="18"/>
                <w:szCs w:val="18"/>
                <w:color w:val="auto"/>
              </w:rPr>
              <w:t>Net profit</w:t>
            </w:r>
          </w:p>
        </w:tc>
        <w:tc>
          <w:tcPr>
            <w:tcW w:w="29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June 30, 2024</w:t>
            </w:r>
          </w:p>
        </w:tc>
        <w:tc>
          <w:tcPr>
            <w:tcW w:w="3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Presentation currency change</w:t>
            </w:r>
          </w:p>
        </w:tc>
        <w:tc>
          <w:tcPr>
            <w:tcW w:w="2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June 30, 2024</w:t>
            </w:r>
          </w:p>
        </w:tc>
        <w:tc>
          <w:tcPr>
            <w:tcW w:w="0" w:type="dxa"/>
            <w:vAlign w:val="bottom"/>
          </w:tcPr>
          <w:p>
            <w:pPr>
              <w:spacing w:after="0"/>
              <w:rPr>
                <w:sz w:val="1"/>
                <w:szCs w:val="1"/>
                <w:color w:val="auto"/>
              </w:rPr>
            </w:pPr>
          </w:p>
        </w:tc>
      </w:tr>
      <w:tr>
        <w:trPr>
          <w:trHeight w:val="218"/>
        </w:trPr>
        <w:tc>
          <w:tcPr>
            <w:tcW w:w="2640" w:type="dxa"/>
            <w:vAlign w:val="bottom"/>
            <w:vMerge w:val="continue"/>
          </w:tcPr>
          <w:p>
            <w:pPr>
              <w:spacing w:after="0"/>
              <w:rPr>
                <w:sz w:val="18"/>
                <w:szCs w:val="18"/>
                <w:color w:val="auto"/>
              </w:rPr>
            </w:pPr>
          </w:p>
        </w:tc>
        <w:tc>
          <w:tcPr>
            <w:tcW w:w="2980" w:type="dxa"/>
            <w:vAlign w:val="bottom"/>
          </w:tcPr>
          <w:p>
            <w:pPr>
              <w:jc w:val="right"/>
              <w:ind w:right="50"/>
              <w:spacing w:after="0"/>
              <w:rPr>
                <w:sz w:val="20"/>
                <w:szCs w:val="20"/>
                <w:color w:val="auto"/>
              </w:rPr>
            </w:pPr>
            <w:r>
              <w:rPr>
                <w:rFonts w:ascii="Arial" w:cs="Arial" w:eastAsia="Arial" w:hAnsi="Arial"/>
                <w:sz w:val="18"/>
                <w:szCs w:val="18"/>
                <w:color w:val="auto"/>
              </w:rPr>
              <w:t>2,733</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(2,338)</w:t>
            </w:r>
          </w:p>
        </w:tc>
        <w:tc>
          <w:tcPr>
            <w:tcW w:w="234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r>
              <w:rPr>
                <w:rFonts w:ascii="Arial" w:cs="Arial" w:eastAsia="Arial" w:hAnsi="Arial"/>
                <w:sz w:val="18"/>
                <w:szCs w:val="18"/>
                <w:color w:val="auto"/>
              </w:rPr>
              <w:t>Comprehensive income</w:t>
            </w:r>
          </w:p>
        </w:tc>
        <w:tc>
          <w:tcPr>
            <w:tcW w:w="2980" w:type="dxa"/>
            <w:vAlign w:val="bottom"/>
          </w:tcPr>
          <w:p>
            <w:pPr>
              <w:jc w:val="right"/>
              <w:ind w:right="50"/>
              <w:spacing w:after="0"/>
              <w:rPr>
                <w:sz w:val="20"/>
                <w:szCs w:val="20"/>
                <w:color w:val="auto"/>
              </w:rPr>
            </w:pPr>
            <w:r>
              <w:rPr>
                <w:rFonts w:ascii="Arial" w:cs="Arial" w:eastAsia="Arial" w:hAnsi="Arial"/>
                <w:sz w:val="18"/>
                <w:szCs w:val="18"/>
                <w:color w:val="auto"/>
              </w:rPr>
              <w:t>2,907</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(2,638)</w:t>
            </w:r>
          </w:p>
        </w:tc>
        <w:tc>
          <w:tcPr>
            <w:tcW w:w="234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change in presentation currency resulted in the following impact on the six months ended June 30, 2024 condensed consolidated statements of cash flows: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80" w:type="dxa"/>
            <w:vAlign w:val="bottom"/>
          </w:tcPr>
          <w:p>
            <w:pPr>
              <w:spacing w:after="0"/>
              <w:rPr>
                <w:sz w:val="19"/>
                <w:szCs w:val="19"/>
                <w:color w:val="auto"/>
              </w:rPr>
            </w:pPr>
          </w:p>
        </w:tc>
        <w:tc>
          <w:tcPr>
            <w:tcW w:w="2860" w:type="dxa"/>
            <w:vAlign w:val="bottom"/>
          </w:tcPr>
          <w:p>
            <w:pPr>
              <w:jc w:val="right"/>
              <w:ind w:right="270"/>
              <w:spacing w:after="0"/>
              <w:rPr>
                <w:sz w:val="20"/>
                <w:szCs w:val="20"/>
                <w:color w:val="auto"/>
              </w:rPr>
            </w:pPr>
            <w:r>
              <w:rPr>
                <w:rFonts w:ascii="Arial" w:cs="Arial" w:eastAsia="Arial" w:hAnsi="Arial"/>
                <w:sz w:val="18"/>
                <w:szCs w:val="18"/>
                <w:color w:val="auto"/>
              </w:rPr>
              <w:t>Previously reported in DKK</w:t>
            </w:r>
          </w:p>
        </w:tc>
        <w:tc>
          <w:tcPr>
            <w:tcW w:w="3020" w:type="dxa"/>
            <w:vAlign w:val="bottom"/>
          </w:tcPr>
          <w:p>
            <w:pPr>
              <w:spacing w:after="0"/>
              <w:rPr>
                <w:sz w:val="19"/>
                <w:szCs w:val="19"/>
                <w:color w:val="auto"/>
              </w:rPr>
            </w:pPr>
          </w:p>
        </w:tc>
        <w:tc>
          <w:tcPr>
            <w:tcW w:w="2360" w:type="dxa"/>
            <w:vAlign w:val="bottom"/>
          </w:tcPr>
          <w:p>
            <w:pPr>
              <w:jc w:val="right"/>
              <w:ind w:right="570"/>
              <w:spacing w:after="0"/>
              <w:rPr>
                <w:sz w:val="20"/>
                <w:szCs w:val="20"/>
                <w:color w:val="auto"/>
              </w:rPr>
            </w:pPr>
            <w:r>
              <w:rPr>
                <w:rFonts w:ascii="Arial" w:cs="Arial" w:eastAsia="Arial" w:hAnsi="Arial"/>
                <w:sz w:val="18"/>
                <w:szCs w:val="18"/>
                <w:color w:val="auto"/>
              </w:rPr>
              <w:t>Reported in USD</w:t>
            </w:r>
          </w:p>
        </w:tc>
      </w:tr>
      <w:tr>
        <w:trPr>
          <w:trHeight w:val="235"/>
        </w:trPr>
        <w:tc>
          <w:tcPr>
            <w:tcW w:w="28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28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June 30, 2024</w:t>
            </w:r>
          </w:p>
        </w:tc>
        <w:tc>
          <w:tcPr>
            <w:tcW w:w="3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Presentation currency change</w:t>
            </w:r>
          </w:p>
        </w:tc>
        <w:tc>
          <w:tcPr>
            <w:tcW w:w="2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June 30, 2024</w:t>
            </w:r>
          </w:p>
        </w:tc>
      </w:tr>
      <w:tr>
        <w:trPr>
          <w:trHeight w:val="218"/>
        </w:trPr>
        <w:tc>
          <w:tcPr>
            <w:tcW w:w="2880" w:type="dxa"/>
            <w:vAlign w:val="bottom"/>
          </w:tcPr>
          <w:p>
            <w:pPr>
              <w:spacing w:after="0"/>
              <w:rPr>
                <w:sz w:val="20"/>
                <w:szCs w:val="20"/>
                <w:color w:val="auto"/>
              </w:rPr>
            </w:pPr>
            <w:r>
              <w:rPr>
                <w:rFonts w:ascii="Arial" w:cs="Arial" w:eastAsia="Arial" w:hAnsi="Arial"/>
                <w:sz w:val="18"/>
                <w:szCs w:val="18"/>
                <w:color w:val="auto"/>
              </w:rPr>
              <w:t>Operating activities</w:t>
            </w:r>
          </w:p>
        </w:tc>
        <w:tc>
          <w:tcPr>
            <w:tcW w:w="2860" w:type="dxa"/>
            <w:vAlign w:val="bottom"/>
          </w:tcPr>
          <w:p>
            <w:pPr>
              <w:jc w:val="right"/>
              <w:ind w:right="10"/>
              <w:spacing w:after="0"/>
              <w:rPr>
                <w:sz w:val="20"/>
                <w:szCs w:val="20"/>
                <w:color w:val="auto"/>
              </w:rPr>
            </w:pPr>
            <w:r>
              <w:rPr>
                <w:rFonts w:ascii="Arial" w:cs="Arial" w:eastAsia="Arial" w:hAnsi="Arial"/>
                <w:sz w:val="18"/>
                <w:szCs w:val="18"/>
                <w:color w:val="auto"/>
              </w:rPr>
              <w:t>3,026</w:t>
            </w:r>
          </w:p>
        </w:tc>
        <w:tc>
          <w:tcPr>
            <w:tcW w:w="3020" w:type="dxa"/>
            <w:vAlign w:val="bottom"/>
          </w:tcPr>
          <w:p>
            <w:pPr>
              <w:jc w:val="right"/>
              <w:ind w:right="250"/>
              <w:spacing w:after="0"/>
              <w:rPr>
                <w:sz w:val="20"/>
                <w:szCs w:val="20"/>
                <w:color w:val="auto"/>
              </w:rPr>
            </w:pPr>
            <w:r>
              <w:rPr>
                <w:rFonts w:ascii="Arial" w:cs="Arial" w:eastAsia="Arial" w:hAnsi="Arial"/>
                <w:sz w:val="18"/>
                <w:szCs w:val="18"/>
                <w:color w:val="auto"/>
              </w:rPr>
              <w:t>(2,588)</w:t>
            </w:r>
          </w:p>
        </w:tc>
        <w:tc>
          <w:tcPr>
            <w:tcW w:w="236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Investing activities</w:t>
            </w:r>
          </w:p>
        </w:tc>
        <w:tc>
          <w:tcPr>
            <w:tcW w:w="2860" w:type="dxa"/>
            <w:vAlign w:val="bottom"/>
          </w:tcPr>
          <w:p>
            <w:pPr>
              <w:jc w:val="right"/>
              <w:spacing w:after="0"/>
              <w:rPr>
                <w:sz w:val="20"/>
                <w:szCs w:val="20"/>
                <w:color w:val="auto"/>
              </w:rPr>
            </w:pPr>
            <w:r>
              <w:rPr>
                <w:rFonts w:ascii="Arial" w:cs="Arial" w:eastAsia="Arial" w:hAnsi="Arial"/>
                <w:sz w:val="18"/>
                <w:szCs w:val="18"/>
                <w:color w:val="auto"/>
              </w:rPr>
              <w:t>(10,134)</w:t>
            </w:r>
          </w:p>
        </w:tc>
        <w:tc>
          <w:tcPr>
            <w:tcW w:w="3020" w:type="dxa"/>
            <w:vAlign w:val="bottom"/>
          </w:tcPr>
          <w:p>
            <w:pPr>
              <w:jc w:val="right"/>
              <w:ind w:right="290"/>
              <w:spacing w:after="0"/>
              <w:rPr>
                <w:sz w:val="20"/>
                <w:szCs w:val="20"/>
                <w:color w:val="auto"/>
              </w:rPr>
            </w:pPr>
            <w:r>
              <w:rPr>
                <w:rFonts w:ascii="Arial" w:cs="Arial" w:eastAsia="Arial" w:hAnsi="Arial"/>
                <w:sz w:val="18"/>
                <w:szCs w:val="18"/>
                <w:color w:val="auto"/>
              </w:rPr>
              <w:t>8,654</w:t>
            </w:r>
          </w:p>
        </w:tc>
        <w:tc>
          <w:tcPr>
            <w:tcW w:w="236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39"/>
        </w:trPr>
        <w:tc>
          <w:tcPr>
            <w:tcW w:w="2880" w:type="dxa"/>
            <w:vAlign w:val="bottom"/>
          </w:tcPr>
          <w:p>
            <w:pPr>
              <w:spacing w:after="0"/>
              <w:rPr>
                <w:sz w:val="20"/>
                <w:szCs w:val="20"/>
                <w:color w:val="auto"/>
              </w:rPr>
            </w:pPr>
            <w:r>
              <w:rPr>
                <w:rFonts w:ascii="Arial" w:cs="Arial" w:eastAsia="Arial" w:hAnsi="Arial"/>
                <w:sz w:val="18"/>
                <w:szCs w:val="18"/>
                <w:color w:val="auto"/>
              </w:rPr>
              <w:t>Financing activities</w:t>
            </w:r>
          </w:p>
        </w:tc>
        <w:tc>
          <w:tcPr>
            <w:tcW w:w="2860" w:type="dxa"/>
            <w:vAlign w:val="bottom"/>
          </w:tcPr>
          <w:p>
            <w:pPr>
              <w:jc w:val="right"/>
              <w:spacing w:after="0"/>
              <w:rPr>
                <w:sz w:val="20"/>
                <w:szCs w:val="20"/>
                <w:color w:val="auto"/>
              </w:rPr>
            </w:pPr>
            <w:r>
              <w:rPr>
                <w:rFonts w:ascii="Arial" w:cs="Arial" w:eastAsia="Arial" w:hAnsi="Arial"/>
                <w:sz w:val="18"/>
                <w:szCs w:val="18"/>
                <w:color w:val="auto"/>
              </w:rPr>
              <w:t>(3,646)</w:t>
            </w:r>
          </w:p>
        </w:tc>
        <w:tc>
          <w:tcPr>
            <w:tcW w:w="3020" w:type="dxa"/>
            <w:vAlign w:val="bottom"/>
          </w:tcPr>
          <w:p>
            <w:pPr>
              <w:jc w:val="right"/>
              <w:ind w:right="290"/>
              <w:spacing w:after="0"/>
              <w:rPr>
                <w:sz w:val="20"/>
                <w:szCs w:val="20"/>
                <w:color w:val="auto"/>
              </w:rPr>
            </w:pPr>
            <w:r>
              <w:rPr>
                <w:rFonts w:ascii="Arial" w:cs="Arial" w:eastAsia="Arial" w:hAnsi="Arial"/>
                <w:sz w:val="18"/>
                <w:szCs w:val="18"/>
                <w:color w:val="auto"/>
              </w:rPr>
              <w:t>3,121</w:t>
            </w:r>
          </w:p>
        </w:tc>
        <w:tc>
          <w:tcPr>
            <w:tcW w:w="2360" w:type="dxa"/>
            <w:vAlign w:val="bottom"/>
          </w:tcPr>
          <w:p>
            <w:pPr>
              <w:jc w:val="right"/>
              <w:spacing w:after="0"/>
              <w:rPr>
                <w:sz w:val="20"/>
                <w:szCs w:val="20"/>
                <w:color w:val="auto"/>
              </w:rPr>
            </w:pPr>
            <w:r>
              <w:rPr>
                <w:rFonts w:ascii="Arial" w:cs="Arial" w:eastAsia="Arial" w:hAnsi="Arial"/>
                <w:sz w:val="18"/>
                <w:szCs w:val="18"/>
                <w:color w:val="auto"/>
              </w:rPr>
              <w:t>(525)</w:t>
            </w:r>
          </w:p>
        </w:tc>
      </w:tr>
    </w:tbl>
    <w:p>
      <w:pPr>
        <w:spacing w:after="0" w:line="3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change in presentation currency resulted in the following impact on the three months ended June 30, 2024 basic and diluted earnings per share:</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900" w:type="dxa"/>
            <w:vAlign w:val="bottom"/>
          </w:tcPr>
          <w:p>
            <w:pPr>
              <w:spacing w:after="0"/>
              <w:rPr>
                <w:sz w:val="20"/>
                <w:szCs w:val="20"/>
                <w:color w:val="auto"/>
              </w:rPr>
            </w:pPr>
          </w:p>
        </w:tc>
        <w:tc>
          <w:tcPr>
            <w:tcW w:w="3020" w:type="dxa"/>
            <w:vAlign w:val="bottom"/>
          </w:tcPr>
          <w:p>
            <w:pPr>
              <w:jc w:val="right"/>
              <w:ind w:right="430"/>
              <w:spacing w:after="0"/>
              <w:rPr>
                <w:sz w:val="20"/>
                <w:szCs w:val="20"/>
                <w:color w:val="auto"/>
              </w:rPr>
            </w:pPr>
            <w:r>
              <w:rPr>
                <w:rFonts w:ascii="Arial" w:cs="Arial" w:eastAsia="Arial" w:hAnsi="Arial"/>
                <w:sz w:val="18"/>
                <w:szCs w:val="18"/>
                <w:color w:val="auto"/>
              </w:rPr>
              <w:t>Previously reported in DKK</w:t>
            </w:r>
          </w:p>
        </w:tc>
        <w:tc>
          <w:tcPr>
            <w:tcW w:w="278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Presentation currency</w:t>
            </w:r>
          </w:p>
        </w:tc>
        <w:tc>
          <w:tcPr>
            <w:tcW w:w="2460" w:type="dxa"/>
            <w:vAlign w:val="bottom"/>
          </w:tcPr>
          <w:p>
            <w:pPr>
              <w:jc w:val="right"/>
              <w:ind w:right="630"/>
              <w:spacing w:after="0"/>
              <w:rPr>
                <w:sz w:val="20"/>
                <w:szCs w:val="20"/>
                <w:color w:val="auto"/>
              </w:rPr>
            </w:pPr>
            <w:r>
              <w:rPr>
                <w:rFonts w:ascii="Arial" w:cs="Arial" w:eastAsia="Arial" w:hAnsi="Arial"/>
                <w:sz w:val="18"/>
                <w:szCs w:val="18"/>
                <w:color w:val="auto"/>
              </w:rPr>
              <w:t>Reported in USD</w:t>
            </w: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3020" w:type="dxa"/>
            <w:vAlign w:val="bottom"/>
            <w:vMerge w:val="restart"/>
          </w:tcPr>
          <w:p>
            <w:pPr>
              <w:jc w:val="right"/>
              <w:ind w:right="910"/>
              <w:spacing w:after="0"/>
              <w:rPr>
                <w:sz w:val="20"/>
                <w:szCs w:val="20"/>
                <w:color w:val="auto"/>
              </w:rPr>
            </w:pPr>
            <w:r>
              <w:rPr>
                <w:rFonts w:ascii="Arial" w:cs="Arial" w:eastAsia="Arial" w:hAnsi="Arial"/>
                <w:sz w:val="18"/>
                <w:szCs w:val="18"/>
                <w:b w:val="1"/>
                <w:bCs w:val="1"/>
                <w:color w:val="auto"/>
              </w:rPr>
              <w:t>June 30, 2024</w:t>
            </w:r>
          </w:p>
        </w:tc>
        <w:tc>
          <w:tcPr>
            <w:tcW w:w="2780" w:type="dxa"/>
            <w:vAlign w:val="bottom"/>
            <w:vMerge w:val="continue"/>
          </w:tcPr>
          <w:p>
            <w:pPr>
              <w:spacing w:after="0"/>
              <w:rPr>
                <w:sz w:val="14"/>
                <w:szCs w:val="14"/>
                <w:color w:val="auto"/>
              </w:rPr>
            </w:pPr>
          </w:p>
        </w:tc>
        <w:tc>
          <w:tcPr>
            <w:tcW w:w="246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June 30, 2024</w:t>
            </w:r>
          </w:p>
        </w:tc>
        <w:tc>
          <w:tcPr>
            <w:tcW w:w="0" w:type="dxa"/>
            <w:vAlign w:val="bottom"/>
          </w:tcPr>
          <w:p>
            <w:pPr>
              <w:spacing w:after="0"/>
              <w:rPr>
                <w:sz w:val="1"/>
                <w:szCs w:val="1"/>
                <w:color w:val="auto"/>
              </w:rPr>
            </w:pPr>
          </w:p>
        </w:tc>
      </w:tr>
      <w:tr>
        <w:trPr>
          <w:trHeight w:val="243"/>
        </w:trPr>
        <w:tc>
          <w:tcPr>
            <w:tcW w:w="2900" w:type="dxa"/>
            <w:vAlign w:val="bottom"/>
            <w:vMerge w:val="restart"/>
          </w:tcPr>
          <w:p>
            <w:pPr>
              <w:spacing w:after="0"/>
              <w:rPr>
                <w:sz w:val="20"/>
                <w:szCs w:val="20"/>
                <w:color w:val="auto"/>
              </w:rPr>
            </w:pPr>
            <w:r>
              <w:rPr>
                <w:rFonts w:ascii="Arial" w:cs="Arial" w:eastAsia="Arial" w:hAnsi="Arial"/>
                <w:sz w:val="18"/>
                <w:szCs w:val="18"/>
                <w:color w:val="auto"/>
              </w:rPr>
              <w:t>Earnings per share - basic</w:t>
            </w:r>
          </w:p>
        </w:tc>
        <w:tc>
          <w:tcPr>
            <w:tcW w:w="3020" w:type="dxa"/>
            <w:vAlign w:val="bottom"/>
            <w:tcBorders>
              <w:bottom w:val="single" w:sz="8" w:color="auto"/>
            </w:tcBorders>
            <w:vMerge w:val="continue"/>
          </w:tcPr>
          <w:p>
            <w:pPr>
              <w:spacing w:after="0"/>
              <w:rPr>
                <w:sz w:val="21"/>
                <w:szCs w:val="21"/>
                <w:color w:val="auto"/>
              </w:rPr>
            </w:pPr>
          </w:p>
        </w:tc>
        <w:tc>
          <w:tcPr>
            <w:tcW w:w="278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change</w:t>
            </w:r>
          </w:p>
        </w:tc>
        <w:tc>
          <w:tcPr>
            <w:tcW w:w="24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900" w:type="dxa"/>
            <w:vAlign w:val="bottom"/>
            <w:vMerge w:val="continue"/>
          </w:tcPr>
          <w:p>
            <w:pPr>
              <w:spacing w:after="0"/>
              <w:rPr>
                <w:sz w:val="18"/>
                <w:szCs w:val="18"/>
                <w:color w:val="auto"/>
              </w:rPr>
            </w:pPr>
          </w:p>
        </w:tc>
        <w:tc>
          <w:tcPr>
            <w:tcW w:w="3020" w:type="dxa"/>
            <w:vAlign w:val="bottom"/>
          </w:tcPr>
          <w:p>
            <w:pPr>
              <w:jc w:val="right"/>
              <w:ind w:right="90"/>
              <w:spacing w:after="0"/>
              <w:rPr>
                <w:sz w:val="20"/>
                <w:szCs w:val="20"/>
                <w:color w:val="auto"/>
              </w:rPr>
            </w:pPr>
            <w:r>
              <w:rPr>
                <w:rFonts w:ascii="Arial" w:cs="Arial" w:eastAsia="Arial" w:hAnsi="Arial"/>
                <w:sz w:val="18"/>
                <w:szCs w:val="18"/>
                <w:color w:val="auto"/>
              </w:rPr>
              <w:t>21.85</w:t>
            </w:r>
          </w:p>
        </w:tc>
        <w:tc>
          <w:tcPr>
            <w:tcW w:w="2780" w:type="dxa"/>
            <w:vAlign w:val="bottom"/>
          </w:tcPr>
          <w:p>
            <w:pPr>
              <w:jc w:val="right"/>
              <w:ind w:right="270"/>
              <w:spacing w:after="0"/>
              <w:rPr>
                <w:sz w:val="20"/>
                <w:szCs w:val="20"/>
                <w:color w:val="auto"/>
              </w:rPr>
            </w:pPr>
            <w:r>
              <w:rPr>
                <w:rFonts w:ascii="Arial" w:cs="Arial" w:eastAsia="Arial" w:hAnsi="Arial"/>
                <w:sz w:val="18"/>
                <w:szCs w:val="18"/>
                <w:color w:val="auto"/>
              </w:rPr>
              <w:t>(18.70)</w:t>
            </w:r>
          </w:p>
        </w:tc>
        <w:tc>
          <w:tcPr>
            <w:tcW w:w="246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9"/>
        </w:trPr>
        <w:tc>
          <w:tcPr>
            <w:tcW w:w="290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020" w:type="dxa"/>
            <w:vAlign w:val="bottom"/>
          </w:tcPr>
          <w:p>
            <w:pPr>
              <w:jc w:val="right"/>
              <w:ind w:right="90"/>
              <w:spacing w:after="0"/>
              <w:rPr>
                <w:sz w:val="20"/>
                <w:szCs w:val="20"/>
                <w:color w:val="auto"/>
              </w:rPr>
            </w:pPr>
            <w:r>
              <w:rPr>
                <w:rFonts w:ascii="Arial" w:cs="Arial" w:eastAsia="Arial" w:hAnsi="Arial"/>
                <w:sz w:val="18"/>
                <w:szCs w:val="18"/>
                <w:color w:val="auto"/>
              </w:rPr>
              <w:t>21.7</w:t>
            </w:r>
          </w:p>
        </w:tc>
        <w:tc>
          <w:tcPr>
            <w:tcW w:w="2780" w:type="dxa"/>
            <w:vAlign w:val="bottom"/>
          </w:tcPr>
          <w:p>
            <w:pPr>
              <w:jc w:val="right"/>
              <w:ind w:right="270"/>
              <w:spacing w:after="0"/>
              <w:rPr>
                <w:sz w:val="20"/>
                <w:szCs w:val="20"/>
                <w:color w:val="auto"/>
              </w:rPr>
            </w:pPr>
            <w:r>
              <w:rPr>
                <w:rFonts w:ascii="Arial" w:cs="Arial" w:eastAsia="Arial" w:hAnsi="Arial"/>
                <w:sz w:val="18"/>
                <w:szCs w:val="18"/>
                <w:color w:val="auto"/>
              </w:rPr>
              <w:t>(18.57)</w:t>
            </w:r>
          </w:p>
        </w:tc>
        <w:tc>
          <w:tcPr>
            <w:tcW w:w="24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change in presentation currency resulted in the following impact on the six months ended June 30, 2024 basic and diluted earnings per share: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31/44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900" w:type="dxa"/>
            <w:vAlign w:val="bottom"/>
          </w:tcPr>
          <w:p>
            <w:pPr>
              <w:spacing w:after="0"/>
              <w:rPr>
                <w:sz w:val="20"/>
                <w:szCs w:val="20"/>
                <w:color w:val="auto"/>
              </w:rPr>
            </w:pP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Previously reported in DKK</w:t>
            </w:r>
          </w:p>
        </w:tc>
        <w:tc>
          <w:tcPr>
            <w:tcW w:w="27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Presentation currency</w:t>
            </w:r>
          </w:p>
        </w:tc>
        <w:tc>
          <w:tcPr>
            <w:tcW w:w="2440" w:type="dxa"/>
            <w:vAlign w:val="bottom"/>
          </w:tcPr>
          <w:p>
            <w:pPr>
              <w:jc w:val="right"/>
              <w:ind w:right="630"/>
              <w:spacing w:after="0"/>
              <w:rPr>
                <w:sz w:val="20"/>
                <w:szCs w:val="20"/>
                <w:color w:val="auto"/>
              </w:rPr>
            </w:pPr>
            <w:r>
              <w:rPr>
                <w:rFonts w:ascii="Arial" w:cs="Arial" w:eastAsia="Arial" w:hAnsi="Arial"/>
                <w:sz w:val="18"/>
                <w:szCs w:val="18"/>
                <w:color w:val="auto"/>
              </w:rPr>
              <w:t>Reported in USD</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3120" w:type="dxa"/>
            <w:vAlign w:val="bottom"/>
            <w:vMerge w:val="restart"/>
          </w:tcPr>
          <w:p>
            <w:pPr>
              <w:jc w:val="right"/>
              <w:ind w:right="970"/>
              <w:spacing w:after="0"/>
              <w:rPr>
                <w:sz w:val="20"/>
                <w:szCs w:val="20"/>
                <w:color w:val="auto"/>
              </w:rPr>
            </w:pPr>
            <w:r>
              <w:rPr>
                <w:rFonts w:ascii="Arial" w:cs="Arial" w:eastAsia="Arial" w:hAnsi="Arial"/>
                <w:sz w:val="18"/>
                <w:szCs w:val="18"/>
                <w:b w:val="1"/>
                <w:bCs w:val="1"/>
                <w:color w:val="auto"/>
              </w:rPr>
              <w:t>June 30, 2024</w:t>
            </w:r>
          </w:p>
        </w:tc>
        <w:tc>
          <w:tcPr>
            <w:tcW w:w="2760" w:type="dxa"/>
            <w:vAlign w:val="bottom"/>
            <w:vMerge w:val="continue"/>
          </w:tcPr>
          <w:p>
            <w:pPr>
              <w:spacing w:after="0"/>
              <w:rPr>
                <w:sz w:val="14"/>
                <w:szCs w:val="14"/>
                <w:color w:val="auto"/>
              </w:rPr>
            </w:pPr>
          </w:p>
        </w:tc>
        <w:tc>
          <w:tcPr>
            <w:tcW w:w="24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June 30, 2024</w:t>
            </w:r>
          </w:p>
        </w:tc>
        <w:tc>
          <w:tcPr>
            <w:tcW w:w="0" w:type="dxa"/>
            <w:vAlign w:val="bottom"/>
          </w:tcPr>
          <w:p>
            <w:pPr>
              <w:spacing w:after="0"/>
              <w:rPr>
                <w:sz w:val="1"/>
                <w:szCs w:val="1"/>
                <w:color w:val="auto"/>
              </w:rPr>
            </w:pPr>
          </w:p>
        </w:tc>
      </w:tr>
      <w:tr>
        <w:trPr>
          <w:trHeight w:val="243"/>
        </w:trPr>
        <w:tc>
          <w:tcPr>
            <w:tcW w:w="2900" w:type="dxa"/>
            <w:vAlign w:val="bottom"/>
            <w:vMerge w:val="restart"/>
          </w:tcPr>
          <w:p>
            <w:pPr>
              <w:spacing w:after="0"/>
              <w:rPr>
                <w:sz w:val="20"/>
                <w:szCs w:val="20"/>
                <w:color w:val="auto"/>
              </w:rPr>
            </w:pPr>
            <w:r>
              <w:rPr>
                <w:rFonts w:ascii="Arial" w:cs="Arial" w:eastAsia="Arial" w:hAnsi="Arial"/>
                <w:sz w:val="18"/>
                <w:szCs w:val="18"/>
                <w:color w:val="auto"/>
              </w:rPr>
              <w:t>Earnings per share - basic</w:t>
            </w:r>
          </w:p>
        </w:tc>
        <w:tc>
          <w:tcPr>
            <w:tcW w:w="3120" w:type="dxa"/>
            <w:vAlign w:val="bottom"/>
            <w:tcBorders>
              <w:bottom w:val="single" w:sz="8" w:color="auto"/>
            </w:tcBorders>
            <w:vMerge w:val="continue"/>
          </w:tcPr>
          <w:p>
            <w:pPr>
              <w:spacing w:after="0"/>
              <w:rPr>
                <w:sz w:val="21"/>
                <w:szCs w:val="21"/>
                <w:color w:val="auto"/>
              </w:rPr>
            </w:pPr>
          </w:p>
        </w:tc>
        <w:tc>
          <w:tcPr>
            <w:tcW w:w="276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change</w:t>
            </w:r>
          </w:p>
        </w:tc>
        <w:tc>
          <w:tcPr>
            <w:tcW w:w="2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900" w:type="dxa"/>
            <w:vAlign w:val="bottom"/>
            <w:vMerge w:val="continue"/>
          </w:tcPr>
          <w:p>
            <w:pPr>
              <w:spacing w:after="0"/>
              <w:rPr>
                <w:sz w:val="18"/>
                <w:szCs w:val="18"/>
                <w:color w:val="auto"/>
              </w:rPr>
            </w:pPr>
          </w:p>
        </w:tc>
        <w:tc>
          <w:tcPr>
            <w:tcW w:w="3120" w:type="dxa"/>
            <w:vAlign w:val="bottom"/>
          </w:tcPr>
          <w:p>
            <w:pPr>
              <w:jc w:val="right"/>
              <w:ind w:right="110"/>
              <w:spacing w:after="0"/>
              <w:rPr>
                <w:sz w:val="20"/>
                <w:szCs w:val="20"/>
                <w:color w:val="auto"/>
              </w:rPr>
            </w:pPr>
            <w:r>
              <w:rPr>
                <w:rFonts w:ascii="Arial" w:cs="Arial" w:eastAsia="Arial" w:hAnsi="Arial"/>
                <w:sz w:val="18"/>
                <w:szCs w:val="18"/>
                <w:color w:val="auto"/>
              </w:rPr>
              <w:t>42.13</w:t>
            </w:r>
          </w:p>
        </w:tc>
        <w:tc>
          <w:tcPr>
            <w:tcW w:w="2760" w:type="dxa"/>
            <w:vAlign w:val="bottom"/>
          </w:tcPr>
          <w:p>
            <w:pPr>
              <w:jc w:val="right"/>
              <w:ind w:right="270"/>
              <w:spacing w:after="0"/>
              <w:rPr>
                <w:sz w:val="20"/>
                <w:szCs w:val="20"/>
                <w:color w:val="auto"/>
              </w:rPr>
            </w:pPr>
            <w:r>
              <w:rPr>
                <w:rFonts w:ascii="Arial" w:cs="Arial" w:eastAsia="Arial" w:hAnsi="Arial"/>
                <w:sz w:val="18"/>
                <w:szCs w:val="18"/>
                <w:color w:val="auto"/>
              </w:rPr>
              <w:t>(36.04)</w:t>
            </w:r>
          </w:p>
        </w:tc>
        <w:tc>
          <w:tcPr>
            <w:tcW w:w="244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9"/>
        </w:trPr>
        <w:tc>
          <w:tcPr>
            <w:tcW w:w="290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120" w:type="dxa"/>
            <w:vAlign w:val="bottom"/>
          </w:tcPr>
          <w:p>
            <w:pPr>
              <w:jc w:val="right"/>
              <w:ind w:right="110"/>
              <w:spacing w:after="0"/>
              <w:rPr>
                <w:sz w:val="20"/>
                <w:szCs w:val="20"/>
                <w:color w:val="auto"/>
              </w:rPr>
            </w:pPr>
            <w:r>
              <w:rPr>
                <w:rFonts w:ascii="Arial" w:cs="Arial" w:eastAsia="Arial" w:hAnsi="Arial"/>
                <w:sz w:val="18"/>
                <w:szCs w:val="18"/>
                <w:color w:val="auto"/>
              </w:rPr>
              <w:t>41.85</w:t>
            </w:r>
          </w:p>
        </w:tc>
        <w:tc>
          <w:tcPr>
            <w:tcW w:w="2760" w:type="dxa"/>
            <w:vAlign w:val="bottom"/>
          </w:tcPr>
          <w:p>
            <w:pPr>
              <w:jc w:val="right"/>
              <w:ind w:right="270"/>
              <w:spacing w:after="0"/>
              <w:rPr>
                <w:sz w:val="20"/>
                <w:szCs w:val="20"/>
                <w:color w:val="auto"/>
              </w:rPr>
            </w:pPr>
            <w:r>
              <w:rPr>
                <w:rFonts w:ascii="Arial" w:cs="Arial" w:eastAsia="Arial" w:hAnsi="Arial"/>
                <w:sz w:val="18"/>
                <w:szCs w:val="18"/>
                <w:color w:val="auto"/>
              </w:rPr>
              <w:t>(35.80)</w:t>
            </w:r>
          </w:p>
        </w:tc>
        <w:tc>
          <w:tcPr>
            <w:tcW w:w="244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Geographical Areas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Genmab is managed and operated as one business unit, which is reflected in the organizational structure and internal reporting. No separate lines of business or separate business entities have been identified with respect to any licensed products, product candidates, product sales or geographical markets and no segment information is currently prepared for internal reporting. Refer to Note 2.2 in the Annual Report for further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conform to the current period gross presentation for the first half of 2025, a reclassification of net $58 million has been made to the gross amounts presented for the first half of 2024 to move foreign exchange rate gains and losses related to marketable securities from gains and losses on foreign exchange rates to gains and losses on marketable securities. These reclassifications have no impact on the net amounts of financial items as presented in Note 6 - Financial Income and Expenses.</w:t>
      </w:r>
    </w:p>
    <w:p>
      <w:pPr>
        <w:spacing w:after="0" w:line="14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To facilitate the comparison of information across periods, a reclassification has been made to a prior period amount for cash (used in) investing activities of $11 million to conform to the current period’s presentation.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all accompanying tables, amounts of dollars expressed in millions, except per share amounts, unless otherwise noted.)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2 - Acquisition of Businesses</w:t>
      </w:r>
    </w:p>
    <w:p>
      <w:pPr>
        <w:spacing w:after="0" w:line="117"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On May 21, 2024 (Acquisition Date), Genmab completed the previously announced acquisition of all of the outstanding shares of ProfoundBio, resulting in ProfoundBio becoming a wholly owned subsidiary of Genmab. The acquisition of ProfoundBio gave Genmab worldwide rights to three candidates in clinical development, including ProfoundBio’s lead drug candidate, rinatabart sesutecan (Rina-S). In addition, Genmab acquired ProfoundBio’s novel ADC technology platforms. Rina-S is a clinical-stage, FRα-targeted, TOPO1 ADC, which was in Phase 2 of a Phase 1/2 clinical trial at the time of the acquisition, for the treatment of ovarian cancer and other FRα-expressing solid tumors. Based on the data from the ongoing Phase 1/2 clinical trial Genmab intends to broaden the development plans for Rina-S within ovarian cancer and other FRα-expressing solid tumors. In January 2024, the U.S. FDA granted Fast Track designation to Rina-S for the treatment of patients with FRα-expressing high-grade serous or endometrioid platinum-resistant ovarian cancer.</w:t>
      </w:r>
    </w:p>
    <w:p>
      <w:pPr>
        <w:spacing w:after="0" w:line="2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payment of $1.72 billion for all of the outstanding shares of ProfoundBio, Genmab also made a $199 million payment to holders of outstanding ProfoundBio equity awards for settlement of such vested and non-vested awards. Of the USD $199 million payment, $187 million related to the portion of awards where the vesting period was completed prior to the Acquisition Date. This portion of the payment was therefore determined to be attributable to the pre-combination period and included in purchase consideration. The remaining $11 million payment related to the portion of awards with future vesting conditions, and therefore is attributable to post-combination services. The amount attributable to the post-combination service does not form part of the consideration and was therefore instead recognized as Acquisition and integration related charges in Genmab’s Condensed Consolidated Statements of Comprehensive Income during the second quarter of 2024.</w:t>
      </w:r>
    </w:p>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acquisition has been accounted for using the acquisition method of accounting which requires that assets acquired and liabilities assumed be recognized at their fair values as of the Acquisition Date and consolidated into Genmab’s Condensed Consolidated Balance Sheets. The results of operations for ProfoundBio have been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32/44</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included in Genmab’s consolidated financial statements from the Acquisition Date. A fair value measurement has been performed and the purchase price has been allocated to intangible assets, associated deferred tax liabilities, other assets and liabilities, as well as goodwill being the excess value of the purchase price over the fair value of assets acquired and liabilities assumed (the purchase price allocation). Adjustments may be applied to the purchase price allocation for a period of up to 12 months from the Acquisition Date and was therefore finalized during the second quarter of 2025. During the fourth quarter of 2024, the Company recorded a measurement period adjustment impacting non-current deferred tax liabilities and goodwill that was not material.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consideration for the acquisition of ProfoundBio is summarized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380" w:type="dxa"/>
            <w:vAlign w:val="bottom"/>
          </w:tcPr>
          <w:p>
            <w:pPr>
              <w:spacing w:after="0"/>
              <w:rPr>
                <w:sz w:val="18"/>
                <w:szCs w:val="18"/>
                <w:color w:val="auto"/>
              </w:rPr>
            </w:pPr>
          </w:p>
        </w:tc>
        <w:tc>
          <w:tcPr>
            <w:tcW w:w="2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 Consideration</w:t>
            </w:r>
          </w:p>
        </w:tc>
      </w:tr>
      <w:tr>
        <w:trPr>
          <w:trHeight w:val="221"/>
        </w:trPr>
        <w:tc>
          <w:tcPr>
            <w:tcW w:w="8380" w:type="dxa"/>
            <w:vAlign w:val="bottom"/>
          </w:tcPr>
          <w:p>
            <w:pPr>
              <w:spacing w:after="0"/>
              <w:rPr>
                <w:sz w:val="20"/>
                <w:szCs w:val="20"/>
                <w:color w:val="auto"/>
              </w:rPr>
            </w:pPr>
            <w:r>
              <w:rPr>
                <w:rFonts w:ascii="Arial" w:cs="Arial" w:eastAsia="Arial" w:hAnsi="Arial"/>
                <w:sz w:val="16"/>
                <w:szCs w:val="16"/>
                <w:color w:val="auto"/>
              </w:rPr>
              <w:t>Cash paid for outstanding shares</w:t>
            </w:r>
          </w:p>
        </w:tc>
        <w:tc>
          <w:tcPr>
            <w:tcW w:w="2160" w:type="dxa"/>
            <w:vAlign w:val="bottom"/>
          </w:tcPr>
          <w:p>
            <w:pPr>
              <w:jc w:val="right"/>
              <w:spacing w:after="0"/>
              <w:rPr>
                <w:sz w:val="20"/>
                <w:szCs w:val="20"/>
                <w:color w:val="auto"/>
              </w:rPr>
            </w:pPr>
            <w:r>
              <w:rPr>
                <w:rFonts w:ascii="Arial" w:cs="Arial" w:eastAsia="Arial" w:hAnsi="Arial"/>
                <w:sz w:val="16"/>
                <w:szCs w:val="16"/>
                <w:color w:val="auto"/>
              </w:rPr>
              <w:t>1,718</w:t>
            </w:r>
          </w:p>
        </w:tc>
      </w:tr>
      <w:tr>
        <w:trPr>
          <w:trHeight w:val="252"/>
        </w:trPr>
        <w:tc>
          <w:tcPr>
            <w:tcW w:w="8380" w:type="dxa"/>
            <w:vAlign w:val="bottom"/>
          </w:tcPr>
          <w:p>
            <w:pPr>
              <w:spacing w:after="0"/>
              <w:rPr>
                <w:sz w:val="20"/>
                <w:szCs w:val="20"/>
                <w:color w:val="auto"/>
              </w:rPr>
            </w:pPr>
            <w:r>
              <w:rPr>
                <w:rFonts w:ascii="Arial" w:cs="Arial" w:eastAsia="Arial" w:hAnsi="Arial"/>
                <w:sz w:val="16"/>
                <w:szCs w:val="16"/>
                <w:color w:val="auto"/>
              </w:rPr>
              <w:t>Cash for equity compensation attributable to pre-combination service</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35"/>
        </w:trPr>
        <w:tc>
          <w:tcPr>
            <w:tcW w:w="8380" w:type="dxa"/>
            <w:vAlign w:val="bottom"/>
          </w:tcPr>
          <w:p>
            <w:pPr>
              <w:spacing w:after="0"/>
              <w:rPr>
                <w:sz w:val="20"/>
                <w:szCs w:val="20"/>
                <w:color w:val="auto"/>
              </w:rPr>
            </w:pPr>
            <w:r>
              <w:rPr>
                <w:rFonts w:ascii="Arial" w:cs="Arial" w:eastAsia="Arial" w:hAnsi="Arial"/>
                <w:sz w:val="16"/>
                <w:szCs w:val="16"/>
                <w:b w:val="1"/>
                <w:bCs w:val="1"/>
                <w:color w:val="auto"/>
              </w:rPr>
              <w:t>Total consideration</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1,905</w:t>
            </w:r>
          </w:p>
        </w:tc>
      </w:tr>
      <w:tr>
        <w:trPr>
          <w:trHeight w:val="244"/>
        </w:trPr>
        <w:tc>
          <w:tcPr>
            <w:tcW w:w="8380" w:type="dxa"/>
            <w:vAlign w:val="bottom"/>
          </w:tcPr>
          <w:p>
            <w:pPr>
              <w:spacing w:after="0"/>
              <w:rPr>
                <w:sz w:val="20"/>
                <w:szCs w:val="20"/>
                <w:color w:val="auto"/>
              </w:rPr>
            </w:pPr>
            <w:r>
              <w:rPr>
                <w:rFonts w:ascii="Arial" w:cs="Arial" w:eastAsia="Arial" w:hAnsi="Arial"/>
                <w:sz w:val="16"/>
                <w:szCs w:val="16"/>
                <w:color w:val="auto"/>
              </w:rPr>
              <w:t>Cash acquired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239"/>
        </w:trPr>
        <w:tc>
          <w:tcPr>
            <w:tcW w:w="8380" w:type="dxa"/>
            <w:vAlign w:val="bottom"/>
          </w:tcPr>
          <w:p>
            <w:pPr>
              <w:spacing w:after="0"/>
              <w:rPr>
                <w:sz w:val="20"/>
                <w:szCs w:val="20"/>
                <w:color w:val="auto"/>
              </w:rPr>
            </w:pPr>
            <w:r>
              <w:rPr>
                <w:rFonts w:ascii="Arial" w:cs="Arial" w:eastAsia="Arial" w:hAnsi="Arial"/>
                <w:sz w:val="16"/>
                <w:szCs w:val="16"/>
                <w:b w:val="1"/>
                <w:bCs w:val="1"/>
                <w:color w:val="auto"/>
              </w:rPr>
              <w:t>Cash used for acquisition of business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resulted in the following amounts being allocated to the assets acquired and liabilities assumed at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Acquisition Date based upon their respective fair values summarized below:</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4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Amounts Recognized as of</w:t>
            </w:r>
          </w:p>
        </w:tc>
      </w:tr>
      <w:tr>
        <w:trPr>
          <w:trHeight w:val="224"/>
        </w:trPr>
        <w:tc>
          <w:tcPr>
            <w:tcW w:w="8420" w:type="dxa"/>
            <w:vAlign w:val="bottom"/>
          </w:tcPr>
          <w:p>
            <w:pPr>
              <w:spacing w:after="0"/>
              <w:rPr>
                <w:sz w:val="19"/>
                <w:szCs w:val="19"/>
                <w:color w:val="auto"/>
              </w:rPr>
            </w:pPr>
          </w:p>
        </w:tc>
        <w:tc>
          <w:tcPr>
            <w:tcW w:w="2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the Acquisition Date</w:t>
            </w:r>
          </w:p>
        </w:tc>
      </w:tr>
      <w:tr>
        <w:trPr>
          <w:trHeight w:val="228"/>
        </w:trPr>
        <w:tc>
          <w:tcPr>
            <w:tcW w:w="84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43"/>
        </w:trPr>
        <w:tc>
          <w:tcPr>
            <w:tcW w:w="8420" w:type="dxa"/>
            <w:vAlign w:val="bottom"/>
          </w:tcPr>
          <w:p>
            <w:pPr>
              <w:spacing w:after="0"/>
              <w:rPr>
                <w:sz w:val="20"/>
                <w:szCs w:val="20"/>
                <w:color w:val="auto"/>
              </w:rPr>
            </w:pPr>
            <w:r>
              <w:rPr>
                <w:rFonts w:ascii="Arial" w:cs="Arial" w:eastAsia="Arial" w:hAnsi="Arial"/>
                <w:sz w:val="16"/>
                <w:szCs w:val="16"/>
                <w:color w:val="auto"/>
              </w:rPr>
              <w:t>Other current assets*</w:t>
            </w:r>
          </w:p>
        </w:tc>
        <w:tc>
          <w:tcPr>
            <w:tcW w:w="21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84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21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43"/>
        </w:trPr>
        <w:tc>
          <w:tcPr>
            <w:tcW w:w="8420" w:type="dxa"/>
            <w:vAlign w:val="bottom"/>
          </w:tcPr>
          <w:p>
            <w:pPr>
              <w:spacing w:after="0"/>
              <w:rPr>
                <w:sz w:val="20"/>
                <w:szCs w:val="20"/>
                <w:color w:val="auto"/>
              </w:rPr>
            </w:pPr>
            <w:r>
              <w:rPr>
                <w:rFonts w:ascii="Arial" w:cs="Arial" w:eastAsia="Arial" w:hAnsi="Arial"/>
                <w:sz w:val="16"/>
                <w:szCs w:val="16"/>
                <w:color w:val="auto"/>
              </w:rPr>
              <w:t>IPR&amp;D</w:t>
            </w:r>
          </w:p>
        </w:tc>
        <w:tc>
          <w:tcPr>
            <w:tcW w:w="2160" w:type="dxa"/>
            <w:vAlign w:val="bottom"/>
          </w:tcPr>
          <w:p>
            <w:pPr>
              <w:jc w:val="right"/>
              <w:spacing w:after="0"/>
              <w:rPr>
                <w:sz w:val="20"/>
                <w:szCs w:val="20"/>
                <w:color w:val="auto"/>
              </w:rPr>
            </w:pPr>
            <w:r>
              <w:rPr>
                <w:rFonts w:ascii="Arial" w:cs="Arial" w:eastAsia="Arial" w:hAnsi="Arial"/>
                <w:sz w:val="16"/>
                <w:szCs w:val="16"/>
                <w:color w:val="auto"/>
              </w:rPr>
              <w:t>1,540</w:t>
            </w:r>
          </w:p>
        </w:tc>
      </w:tr>
      <w:tr>
        <w:trPr>
          <w:trHeight w:val="243"/>
        </w:trPr>
        <w:tc>
          <w:tcPr>
            <w:tcW w:w="8420" w:type="dxa"/>
            <w:vAlign w:val="bottom"/>
          </w:tcPr>
          <w:p>
            <w:pPr>
              <w:spacing w:after="0"/>
              <w:rPr>
                <w:sz w:val="20"/>
                <w:szCs w:val="20"/>
                <w:color w:val="auto"/>
              </w:rPr>
            </w:pPr>
            <w:r>
              <w:rPr>
                <w:rFonts w:ascii="Arial" w:cs="Arial" w:eastAsia="Arial" w:hAnsi="Arial"/>
                <w:sz w:val="16"/>
                <w:szCs w:val="16"/>
                <w:color w:val="auto"/>
              </w:rPr>
              <w:t>Technology platform intangible asset</w:t>
            </w:r>
          </w:p>
        </w:tc>
        <w:tc>
          <w:tcPr>
            <w:tcW w:w="21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43"/>
        </w:trPr>
        <w:tc>
          <w:tcPr>
            <w:tcW w:w="84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1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8420" w:type="dxa"/>
            <w:vAlign w:val="bottom"/>
          </w:tcPr>
          <w:p>
            <w:pPr>
              <w:spacing w:after="0"/>
              <w:rPr>
                <w:sz w:val="20"/>
                <w:szCs w:val="20"/>
                <w:color w:val="auto"/>
              </w:rPr>
            </w:pPr>
            <w:r>
              <w:rPr>
                <w:rFonts w:ascii="Arial" w:cs="Arial" w:eastAsia="Arial" w:hAnsi="Arial"/>
                <w:sz w:val="16"/>
                <w:szCs w:val="16"/>
                <w:color w:val="auto"/>
              </w:rPr>
              <w:t>Non-current deferred tax liability</w:t>
            </w:r>
          </w:p>
        </w:tc>
        <w:tc>
          <w:tcPr>
            <w:tcW w:w="216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52"/>
        </w:trPr>
        <w:tc>
          <w:tcPr>
            <w:tcW w:w="842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5"/>
        </w:trPr>
        <w:tc>
          <w:tcPr>
            <w:tcW w:w="8420" w:type="dxa"/>
            <w:vAlign w:val="bottom"/>
          </w:tcPr>
          <w:p>
            <w:pPr>
              <w:ind w:left="160"/>
              <w:spacing w:after="0"/>
              <w:rPr>
                <w:sz w:val="20"/>
                <w:szCs w:val="20"/>
                <w:color w:val="auto"/>
              </w:rPr>
            </w:pPr>
            <w:r>
              <w:rPr>
                <w:rFonts w:ascii="Arial" w:cs="Arial" w:eastAsia="Arial" w:hAnsi="Arial"/>
                <w:sz w:val="16"/>
                <w:szCs w:val="16"/>
                <w:b w:val="1"/>
                <w:bCs w:val="1"/>
                <w:color w:val="auto"/>
              </w:rPr>
              <w:t>Total identifiable net assets</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1,551</w:t>
            </w:r>
          </w:p>
        </w:tc>
      </w:tr>
      <w:tr>
        <w:trPr>
          <w:trHeight w:val="244"/>
        </w:trPr>
        <w:tc>
          <w:tcPr>
            <w:tcW w:w="8420" w:type="dxa"/>
            <w:vAlign w:val="bottom"/>
          </w:tcPr>
          <w:p>
            <w:pPr>
              <w:spacing w:after="0"/>
              <w:rPr>
                <w:sz w:val="20"/>
                <w:szCs w:val="20"/>
                <w:color w:val="auto"/>
              </w:rPr>
            </w:pPr>
            <w:r>
              <w:rPr>
                <w:rFonts w:ascii="Arial" w:cs="Arial" w:eastAsia="Arial" w:hAnsi="Arial"/>
                <w:sz w:val="16"/>
                <w:szCs w:val="16"/>
                <w:color w:val="auto"/>
              </w:rPr>
              <w:t>Goodwill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r>
      <w:tr>
        <w:trPr>
          <w:trHeight w:val="239"/>
        </w:trPr>
        <w:tc>
          <w:tcPr>
            <w:tcW w:w="8420" w:type="dxa"/>
            <w:vAlign w:val="bottom"/>
          </w:tcPr>
          <w:p>
            <w:pPr>
              <w:ind w:left="160"/>
              <w:spacing w:after="0"/>
              <w:rPr>
                <w:sz w:val="20"/>
                <w:szCs w:val="20"/>
                <w:color w:val="auto"/>
              </w:rPr>
            </w:pPr>
            <w:r>
              <w:rPr>
                <w:rFonts w:ascii="Arial" w:cs="Arial" w:eastAsia="Arial" w:hAnsi="Arial"/>
                <w:sz w:val="16"/>
                <w:szCs w:val="16"/>
                <w:b w:val="1"/>
                <w:bCs w:val="1"/>
                <w:color w:val="auto"/>
              </w:rPr>
              <w:t>Total consideration</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*Includes receivables and other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**Includes other investments and right-of-use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Includes other payables, contract liabilities, lease and other liabilities</w:t>
      </w:r>
    </w:p>
    <w:p>
      <w:pPr>
        <w:spacing w:after="0" w:line="16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carrying values of other current assets, property and equipment, other non-current assets and other current liabilities were determined to approximate their fair values.</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fair value assigned to acquired IPR&amp;D, which was calculated using the multi-period excess earnings method of the income approach, was based on the present value of expected after-tax cash flows attributable to Rina-S, which was in Phase 1/2 testing. The present value of expected after-tax cash flows obtainable from Rina-S and assigned to IPR&amp;D was determined by estimating the after-tax costs to complete development of Rina-S into a commercially viable product, estimating future revenue and ongoing expenses to produce, support and sell Rina-S, on an after-tax basis, and discounting the resulting net cash flows to present value.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33/44</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revenue and costs projections used were reduced based on the probability that compounds at similar stages of development will become commercially viable products. The rate utilized to discount the net cash flows to their present value reflects the risk associated with the future earnings attributable to the intangible asset. Acquired IPR&amp;D will be accounted for as an intangible asset not yet available for use until regulatory approval in a major market is received or development is discontinued.</w:t>
      </w:r>
    </w:p>
    <w:p>
      <w:pPr>
        <w:spacing w:after="0" w:line="136"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The fair value of the technology platform intangible asset was calculated using the relief from royalty method of the income approach. This method includes assigning value based on the economic savings from owning, rather than in-licensing, the technology platform intangible asset supported by observable market data for peer companies, then discounting the resulting probability adjusted net post-tax cash flows using a discount rate commensurate with the risk associated with the future income or cost savings attributable to the intangible asset.</w:t>
      </w:r>
    </w:p>
    <w:p>
      <w:pPr>
        <w:spacing w:after="0" w:line="14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significant assumptions used to estimate the value of the acquired intangible assets include discount rates and certain assumptions that form the basis of future cash flows (such as probabilities of technical and commercial success, revenue growth rates, operating margins, and royalty rates).</w:t>
      </w:r>
    </w:p>
    <w:p>
      <w:pPr>
        <w:spacing w:after="0" w:line="1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excess of purchase price over the fair value amounts assigned to identifiable assets acquired and liabilities assumed represents the goodwill amount resulting from the acquisition. The goodwill recorded as part of the acquisition is attributable to the intangible assets that do not qualify for separate recognition at the time of the acquisition, assembled workforce and deferred tax consequences of the IPR&amp;D and technology platform intangible asset recorded for financial statement purposes. Genmab does not expect any portion of this goodwill to be deductible for tax purposes. The goodwill attributable to the acquisition has been recorded as a non-current asset in Genmab’s Condensed Consolidated Balance Sheets and is not amortized, but is subject to review for impairment annually. Refer to Note 4 for further details related to the accounting for goodwill.</w:t>
      </w:r>
    </w:p>
    <w:p>
      <w:pPr>
        <w:spacing w:after="0" w:line="14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From the Acquisition Date through June 30, 2024, Genmab’s Condensed Consolidated Statements of Comprehensive Income include no revenue and the following expenses associated with the acquisition and operations of ProfoundBio:</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700" w:type="dxa"/>
            <w:vAlign w:val="bottom"/>
          </w:tcPr>
          <w:p>
            <w:pPr>
              <w:spacing w:after="0"/>
              <w:rPr>
                <w:sz w:val="16"/>
                <w:szCs w:val="16"/>
                <w:color w:val="auto"/>
              </w:rPr>
            </w:pPr>
          </w:p>
        </w:tc>
        <w:tc>
          <w:tcPr>
            <w:tcW w:w="2520" w:type="dxa"/>
            <w:vAlign w:val="bottom"/>
          </w:tcPr>
          <w:p>
            <w:pPr>
              <w:jc w:val="right"/>
              <w:spacing w:after="0"/>
              <w:rPr>
                <w:sz w:val="20"/>
                <w:szCs w:val="20"/>
                <w:color w:val="auto"/>
              </w:rPr>
            </w:pPr>
            <w:r>
              <w:rPr>
                <w:rFonts w:ascii="Arial" w:cs="Arial" w:eastAsia="Arial" w:hAnsi="Arial"/>
                <w:sz w:val="16"/>
                <w:szCs w:val="16"/>
                <w:b w:val="1"/>
                <w:bCs w:val="1"/>
                <w:color w:val="auto"/>
              </w:rPr>
              <w:t>Acquisition Date through June</w:t>
            </w:r>
          </w:p>
        </w:tc>
      </w:tr>
      <w:tr>
        <w:trPr>
          <w:trHeight w:val="237"/>
        </w:trPr>
        <w:tc>
          <w:tcPr>
            <w:tcW w:w="8700" w:type="dxa"/>
            <w:vAlign w:val="bottom"/>
          </w:tcPr>
          <w:p>
            <w:pPr>
              <w:spacing w:after="0"/>
              <w:rPr>
                <w:sz w:val="20"/>
                <w:szCs w:val="20"/>
                <w:color w:val="auto"/>
              </w:rPr>
            </w:pPr>
            <w:r>
              <w:rPr>
                <w:rFonts w:ascii="Arial" w:cs="Arial" w:eastAsia="Arial" w:hAnsi="Arial"/>
                <w:sz w:val="16"/>
                <w:szCs w:val="16"/>
                <w:b w:val="1"/>
                <w:bCs w:val="1"/>
                <w:color w:val="auto"/>
              </w:rPr>
              <w:t>Condensed Consolidated Statements of Comprehensive Income:</w:t>
            </w:r>
          </w:p>
        </w:tc>
        <w:tc>
          <w:tcPr>
            <w:tcW w:w="25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30, 2024</w:t>
            </w:r>
          </w:p>
        </w:tc>
      </w:tr>
      <w:tr>
        <w:trPr>
          <w:trHeight w:val="228"/>
        </w:trPr>
        <w:tc>
          <w:tcPr>
            <w:tcW w:w="870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25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87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2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2"/>
        </w:trPr>
        <w:tc>
          <w:tcPr>
            <w:tcW w:w="8700" w:type="dxa"/>
            <w:vAlign w:val="bottom"/>
          </w:tcPr>
          <w:p>
            <w:pPr>
              <w:spacing w:after="0"/>
              <w:rPr>
                <w:sz w:val="20"/>
                <w:szCs w:val="20"/>
                <w:color w:val="auto"/>
              </w:rPr>
            </w:pPr>
            <w:r>
              <w:rPr>
                <w:rFonts w:ascii="Arial" w:cs="Arial" w:eastAsia="Arial" w:hAnsi="Arial"/>
                <w:sz w:val="16"/>
                <w:szCs w:val="16"/>
                <w:color w:val="auto"/>
              </w:rPr>
              <w:t>Acquisition and integration related charges*</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9"/>
        </w:trPr>
        <w:tc>
          <w:tcPr>
            <w:tcW w:w="87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r>
    </w:tbl>
    <w:p>
      <w:pPr>
        <w:spacing w:after="0" w:line="211" w:lineRule="exact"/>
        <w:rPr>
          <w:sz w:val="20"/>
          <w:szCs w:val="20"/>
          <w:color w:val="auto"/>
        </w:rPr>
      </w:pPr>
    </w:p>
    <w:p>
      <w:pPr>
        <w:ind w:left="180" w:right="120" w:hanging="172"/>
        <w:spacing w:after="0" w:line="255" w:lineRule="auto"/>
        <w:tabs>
          <w:tab w:leader="none" w:pos="180" w:val="left"/>
        </w:tabs>
        <w:numPr>
          <w:ilvl w:val="0"/>
          <w:numId w:val="30"/>
        </w:numPr>
        <w:rPr>
          <w:rFonts w:ascii="Times New Roman" w:cs="Times New Roman" w:eastAsia="Times New Roman" w:hAnsi="Times New Roman"/>
          <w:sz w:val="21"/>
          <w:szCs w:val="21"/>
          <w:color w:val="auto"/>
        </w:rPr>
      </w:pPr>
      <w:r>
        <w:rPr>
          <w:rFonts w:ascii="Arial" w:cs="Arial" w:eastAsia="Arial" w:hAnsi="Arial"/>
          <w:sz w:val="17"/>
          <w:szCs w:val="17"/>
          <w:color w:val="auto"/>
        </w:rPr>
        <w:t>Acquisition related charges incurred from the Acquisition Date through June 30, 2024, are comprised of payments to holders of outstanding ProfoundBio equity awards related to post-combination services ($11 million). The remaining expenses are integration related charges incurred from the Acquisition Date through June 30, 2024, which are comprised of professional fees incurred to assist with the integration of ProfoundBio into Genmab’s operations post-acquisition. Additionally, prior to the Acquisition Date, Genmab recorded</w:t>
      </w:r>
    </w:p>
    <w:p>
      <w:pPr>
        <w:spacing w:after="0" w:line="2" w:lineRule="exact"/>
        <w:rPr>
          <w:rFonts w:ascii="Times New Roman" w:cs="Times New Roman" w:eastAsia="Times New Roman" w:hAnsi="Times New Roman"/>
          <w:sz w:val="21"/>
          <w:szCs w:val="21"/>
          <w:color w:val="auto"/>
        </w:rPr>
      </w:pPr>
    </w:p>
    <w:p>
      <w:pPr>
        <w:ind w:left="180" w:right="260"/>
        <w:spacing w:after="0" w:line="255" w:lineRule="auto"/>
        <w:rPr>
          <w:rFonts w:ascii="Times New Roman" w:cs="Times New Roman" w:eastAsia="Times New Roman" w:hAnsi="Times New Roman"/>
          <w:sz w:val="21"/>
          <w:szCs w:val="21"/>
          <w:color w:val="auto"/>
        </w:rPr>
      </w:pPr>
      <w:r>
        <w:rPr>
          <w:rFonts w:ascii="Arial" w:cs="Arial" w:eastAsia="Arial" w:hAnsi="Arial"/>
          <w:sz w:val="18"/>
          <w:szCs w:val="18"/>
          <w:color w:val="auto"/>
        </w:rPr>
        <w:t>$16 million in Acquisition and integration related charges in Genmab’s Condensed Consolidated Statements of Comprehensive Income related to professional due diligence procedures in connection with the acquisition of ProfoundBio. The $16 million of Acquisition and integration related charges incurred prior to the Acquisition Date and the $20 million of Acquisition and integration charges incurred from the Acquisition Date through June 30, 2024 total $36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34/44</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Genmab’s consolidated revenue and net profit for the first six months of 2024 as if the acquisition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ProfoundBio had occurred on January 1, 2024:</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700" w:type="dxa"/>
            <w:vAlign w:val="bottom"/>
          </w:tcPr>
          <w:p>
            <w:pPr>
              <w:spacing w:after="0"/>
              <w:rPr>
                <w:sz w:val="17"/>
                <w:szCs w:val="17"/>
                <w:color w:val="auto"/>
              </w:rPr>
            </w:pPr>
          </w:p>
        </w:tc>
        <w:tc>
          <w:tcPr>
            <w:tcW w:w="2520" w:type="dxa"/>
            <w:vAlign w:val="bottom"/>
          </w:tcPr>
          <w:p>
            <w:pPr>
              <w:jc w:val="right"/>
              <w:ind w:right="39"/>
              <w:spacing w:after="0"/>
              <w:rPr>
                <w:sz w:val="20"/>
                <w:szCs w:val="20"/>
                <w:color w:val="auto"/>
              </w:rPr>
            </w:pPr>
            <w:r>
              <w:rPr>
                <w:rFonts w:ascii="Arial" w:cs="Arial" w:eastAsia="Arial" w:hAnsi="Arial"/>
                <w:sz w:val="16"/>
                <w:szCs w:val="16"/>
                <w:b w:val="1"/>
                <w:bCs w:val="1"/>
                <w:color w:val="auto"/>
              </w:rPr>
              <w:t>Six Month Period Ended June</w:t>
            </w:r>
          </w:p>
        </w:tc>
      </w:tr>
      <w:tr>
        <w:trPr>
          <w:trHeight w:val="224"/>
        </w:trPr>
        <w:tc>
          <w:tcPr>
            <w:tcW w:w="8700" w:type="dxa"/>
            <w:vAlign w:val="bottom"/>
          </w:tcPr>
          <w:p>
            <w:pPr>
              <w:spacing w:after="0"/>
              <w:rPr>
                <w:sz w:val="19"/>
                <w:szCs w:val="19"/>
                <w:color w:val="auto"/>
              </w:rPr>
            </w:pPr>
          </w:p>
        </w:tc>
        <w:tc>
          <w:tcPr>
            <w:tcW w:w="25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30, 2024</w:t>
            </w:r>
          </w:p>
        </w:tc>
      </w:tr>
      <w:tr>
        <w:trPr>
          <w:trHeight w:val="228"/>
        </w:trPr>
        <w:tc>
          <w:tcPr>
            <w:tcW w:w="8700" w:type="dxa"/>
            <w:vAlign w:val="bottom"/>
          </w:tcPr>
          <w:p>
            <w:pPr>
              <w:spacing w:after="0"/>
              <w:rPr>
                <w:sz w:val="20"/>
                <w:szCs w:val="20"/>
                <w:color w:val="auto"/>
              </w:rPr>
            </w:pPr>
            <w:r>
              <w:rPr>
                <w:rFonts w:ascii="Arial" w:cs="Arial" w:eastAsia="Arial" w:hAnsi="Arial"/>
                <w:sz w:val="16"/>
                <w:szCs w:val="16"/>
                <w:color w:val="auto"/>
              </w:rPr>
              <w:t>Revenue</w:t>
            </w:r>
          </w:p>
        </w:tc>
        <w:tc>
          <w:tcPr>
            <w:tcW w:w="2520" w:type="dxa"/>
            <w:vAlign w:val="bottom"/>
          </w:tcPr>
          <w:p>
            <w:pPr>
              <w:jc w:val="right"/>
              <w:spacing w:after="0"/>
              <w:rPr>
                <w:sz w:val="20"/>
                <w:szCs w:val="20"/>
                <w:color w:val="auto"/>
              </w:rPr>
            </w:pPr>
            <w:r>
              <w:rPr>
                <w:rFonts w:ascii="Arial" w:cs="Arial" w:eastAsia="Arial" w:hAnsi="Arial"/>
                <w:sz w:val="16"/>
                <w:szCs w:val="16"/>
                <w:color w:val="auto"/>
              </w:rPr>
              <w:t>1,382</w:t>
            </w:r>
          </w:p>
        </w:tc>
      </w:tr>
      <w:tr>
        <w:trPr>
          <w:trHeight w:val="243"/>
        </w:trPr>
        <w:tc>
          <w:tcPr>
            <w:tcW w:w="8700" w:type="dxa"/>
            <w:vAlign w:val="bottom"/>
          </w:tcPr>
          <w:p>
            <w:pPr>
              <w:spacing w:after="0"/>
              <w:rPr>
                <w:sz w:val="20"/>
                <w:szCs w:val="20"/>
                <w:color w:val="auto"/>
              </w:rPr>
            </w:pPr>
            <w:r>
              <w:rPr>
                <w:rFonts w:ascii="Arial" w:cs="Arial" w:eastAsia="Arial" w:hAnsi="Arial"/>
                <w:sz w:val="16"/>
                <w:szCs w:val="16"/>
                <w:color w:val="auto"/>
              </w:rPr>
              <w:t>Net Profit</w:t>
            </w:r>
          </w:p>
        </w:tc>
        <w:tc>
          <w:tcPr>
            <w:tcW w:w="2520" w:type="dxa"/>
            <w:vAlign w:val="bottom"/>
          </w:tcPr>
          <w:p>
            <w:pPr>
              <w:jc w:val="right"/>
              <w:spacing w:after="0"/>
              <w:rPr>
                <w:sz w:val="20"/>
                <w:szCs w:val="20"/>
                <w:color w:val="auto"/>
              </w:rPr>
            </w:pPr>
            <w:r>
              <w:rPr>
                <w:rFonts w:ascii="Arial" w:cs="Arial" w:eastAsia="Arial" w:hAnsi="Arial"/>
                <w:sz w:val="16"/>
                <w:szCs w:val="16"/>
                <w:color w:val="auto"/>
              </w:rPr>
              <w:t>364</w:t>
            </w:r>
          </w:p>
        </w:tc>
      </w:tr>
    </w:tbl>
    <w:p>
      <w:pPr>
        <w:spacing w:after="0" w:line="1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unaudited pro forma information does not necessarily reflect the actual results of operations of the combined entities that would have been achieved, nor are they necessarily indicative of future results of operations. The unaudited pro forma information reflects certain adjustments that were directly attributable to the acquisition of ProfoundBio, including additional amortization adjustments for the fair value of the technology platform intangible asset acquired.</w:t>
      </w:r>
    </w:p>
    <w:p>
      <w:pPr>
        <w:spacing w:after="0" w:line="13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June 30, 2024, Cash and cash equivalents in Genmab’s Condensed Consolidated Balance Sheets includes $30 million of restricted cash balances for funds held in escrow related to the acquisition of ProfoundBio.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3 -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Genmab’s revenue by type and collaboration partner, and royalties by product, under Genmab’s agreements.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26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Six Months Ended June 30,</w:t>
            </w:r>
          </w:p>
        </w:tc>
      </w:tr>
      <w:tr>
        <w:trPr>
          <w:trHeight w:val="244"/>
        </w:trPr>
        <w:tc>
          <w:tcPr>
            <w:tcW w:w="4600" w:type="dxa"/>
            <w:vAlign w:val="bottom"/>
          </w:tcPr>
          <w:p>
            <w:pPr>
              <w:spacing w:after="0"/>
              <w:rPr>
                <w:sz w:val="21"/>
                <w:szCs w:val="21"/>
                <w:color w:val="auto"/>
              </w:rPr>
            </w:pPr>
          </w:p>
        </w:tc>
        <w:tc>
          <w:tcPr>
            <w:tcW w:w="1020" w:type="dxa"/>
            <w:vAlign w:val="bottom"/>
            <w:tcBorders>
              <w:bottom w:val="single" w:sz="8" w:color="auto"/>
            </w:tcBorders>
            <w:shd w:val="clear" w:color="auto" w:fill="E6E6E6"/>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shd w:val="clear" w:color="auto" w:fill="E6E6E6"/>
          </w:tcPr>
          <w:p>
            <w:pPr>
              <w:spacing w:after="0"/>
              <w:rPr>
                <w:sz w:val="21"/>
                <w:szCs w:val="21"/>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auto"/>
            </w:tcBorders>
            <w:shd w:val="clear" w:color="auto" w:fill="E6E6E6"/>
          </w:tcPr>
          <w:p>
            <w:pPr>
              <w:spacing w:after="0"/>
              <w:rPr>
                <w:sz w:val="21"/>
                <w:szCs w:val="21"/>
                <w:color w:val="auto"/>
              </w:rPr>
            </w:pPr>
          </w:p>
        </w:tc>
        <w:tc>
          <w:tcPr>
            <w:tcW w:w="1200" w:type="dxa"/>
            <w:vAlign w:val="bottom"/>
            <w:tcBorders>
              <w:bottom w:val="single" w:sz="8" w:color="auto"/>
            </w:tcBorders>
            <w:shd w:val="clear" w:color="auto" w:fill="E6E6E6"/>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22"/>
        </w:trPr>
        <w:tc>
          <w:tcPr>
            <w:tcW w:w="4600" w:type="dxa"/>
            <w:vAlign w:val="bottom"/>
          </w:tcPr>
          <w:p>
            <w:pPr>
              <w:spacing w:after="0"/>
              <w:rPr>
                <w:sz w:val="20"/>
                <w:szCs w:val="20"/>
                <w:color w:val="auto"/>
              </w:rPr>
            </w:pPr>
            <w:r>
              <w:rPr>
                <w:rFonts w:ascii="Arial" w:cs="Arial" w:eastAsia="Arial" w:hAnsi="Arial"/>
                <w:sz w:val="16"/>
                <w:szCs w:val="16"/>
                <w:b w:val="1"/>
                <w:bCs w:val="1"/>
                <w:color w:val="auto"/>
              </w:rPr>
              <w:t>Revenue by type:</w:t>
            </w:r>
          </w:p>
        </w:tc>
        <w:tc>
          <w:tcPr>
            <w:tcW w:w="1020" w:type="dxa"/>
            <w:vAlign w:val="bottom"/>
            <w:shd w:val="clear" w:color="auto" w:fill="E7E6E6"/>
          </w:tcPr>
          <w:p>
            <w:pPr>
              <w:spacing w:after="0"/>
              <w:rPr>
                <w:sz w:val="19"/>
                <w:szCs w:val="19"/>
                <w:color w:val="auto"/>
              </w:rPr>
            </w:pPr>
          </w:p>
        </w:tc>
        <w:tc>
          <w:tcPr>
            <w:tcW w:w="440" w:type="dxa"/>
            <w:vAlign w:val="bottom"/>
            <w:shd w:val="clear" w:color="auto" w:fill="E7E6E6"/>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shd w:val="clear" w:color="auto" w:fill="E7E6E6"/>
          </w:tcPr>
          <w:p>
            <w:pPr>
              <w:spacing w:after="0"/>
              <w:rPr>
                <w:sz w:val="19"/>
                <w:szCs w:val="19"/>
                <w:color w:val="auto"/>
              </w:rPr>
            </w:pPr>
          </w:p>
        </w:tc>
        <w:tc>
          <w:tcPr>
            <w:tcW w:w="1200" w:type="dxa"/>
            <w:vAlign w:val="bottom"/>
            <w:shd w:val="clear" w:color="auto" w:fill="E7E6E6"/>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6"/>
                <w:szCs w:val="16"/>
                <w:color w:val="auto"/>
              </w:rPr>
              <w:t>Royalties</w:t>
            </w:r>
          </w:p>
        </w:tc>
        <w:tc>
          <w:tcPr>
            <w:tcW w:w="1020" w:type="dxa"/>
            <w:vAlign w:val="bottom"/>
            <w:shd w:val="clear" w:color="auto" w:fill="E7E6E6"/>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789</w:t>
            </w:r>
          </w:p>
        </w:tc>
        <w:tc>
          <w:tcPr>
            <w:tcW w:w="122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659</w:t>
            </w:r>
          </w:p>
        </w:tc>
        <w:tc>
          <w:tcPr>
            <w:tcW w:w="300" w:type="dxa"/>
            <w:vAlign w:val="bottom"/>
          </w:tcPr>
          <w:p>
            <w:pPr>
              <w:spacing w:after="0"/>
              <w:rPr>
                <w:sz w:val="20"/>
                <w:szCs w:val="20"/>
                <w:color w:val="auto"/>
              </w:rPr>
            </w:pPr>
          </w:p>
        </w:tc>
        <w:tc>
          <w:tcPr>
            <w:tcW w:w="300" w:type="dxa"/>
            <w:vAlign w:val="bottom"/>
            <w:shd w:val="clear" w:color="auto" w:fill="E7E6E6"/>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1,378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1,111</w:t>
            </w: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Reimbursement revenue</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13</w:t>
            </w:r>
          </w:p>
        </w:tc>
        <w:tc>
          <w:tcPr>
            <w:tcW w:w="12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36</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Milestone revenue</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w:t>
            </w:r>
          </w:p>
        </w:tc>
        <w:tc>
          <w:tcPr>
            <w:tcW w:w="1220" w:type="dxa"/>
            <w:vAlign w:val="bottom"/>
          </w:tcPr>
          <w:p>
            <w:pPr>
              <w:spacing w:after="0"/>
              <w:rPr>
                <w:sz w:val="21"/>
                <w:szCs w:val="21"/>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13</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Collaboration revenue</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21</w:t>
            </w:r>
          </w:p>
        </w:tc>
        <w:tc>
          <w:tcPr>
            <w:tcW w:w="12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37</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2"/>
        </w:trPr>
        <w:tc>
          <w:tcPr>
            <w:tcW w:w="4600" w:type="dxa"/>
            <w:vAlign w:val="bottom"/>
          </w:tcPr>
          <w:p>
            <w:pPr>
              <w:spacing w:after="0"/>
              <w:rPr>
                <w:sz w:val="20"/>
                <w:szCs w:val="20"/>
                <w:color w:val="auto"/>
              </w:rPr>
            </w:pPr>
            <w:r>
              <w:rPr>
                <w:rFonts w:ascii="Arial" w:cs="Arial" w:eastAsia="Arial" w:hAnsi="Arial"/>
                <w:sz w:val="16"/>
                <w:szCs w:val="16"/>
                <w:color w:val="auto"/>
              </w:rPr>
              <w:t>Net product sales</w:t>
            </w:r>
          </w:p>
        </w:tc>
        <w:tc>
          <w:tcPr>
            <w:tcW w:w="1020" w:type="dxa"/>
            <w:vAlign w:val="bottom"/>
            <w:tcBorders>
              <w:bottom w:val="single" w:sz="8" w:color="auto"/>
            </w:tcBorders>
            <w:shd w:val="clear" w:color="auto" w:fill="E7E6E6"/>
          </w:tcPr>
          <w:p>
            <w:pPr>
              <w:spacing w:after="0"/>
              <w:rPr>
                <w:sz w:val="21"/>
                <w:szCs w:val="21"/>
                <w:color w:val="auto"/>
              </w:rPr>
            </w:pPr>
          </w:p>
        </w:tc>
        <w:tc>
          <w:tcPr>
            <w:tcW w:w="4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101</w:t>
            </w:r>
          </w:p>
        </w:tc>
        <w:tc>
          <w:tcPr>
            <w:tcW w:w="1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300" w:type="dxa"/>
            <w:vAlign w:val="bottom"/>
          </w:tcPr>
          <w:p>
            <w:pPr>
              <w:spacing w:after="0"/>
              <w:rPr>
                <w:sz w:val="21"/>
                <w:szCs w:val="21"/>
                <w:color w:val="auto"/>
              </w:rPr>
            </w:pPr>
          </w:p>
        </w:tc>
        <w:tc>
          <w:tcPr>
            <w:tcW w:w="300" w:type="dxa"/>
            <w:vAlign w:val="bottom"/>
            <w:tcBorders>
              <w:bottom w:val="single" w:sz="8" w:color="auto"/>
            </w:tcBorders>
            <w:shd w:val="clear" w:color="auto" w:fill="E7E6E6"/>
          </w:tcPr>
          <w:p>
            <w:pPr>
              <w:spacing w:after="0"/>
              <w:rPr>
                <w:sz w:val="21"/>
                <w:szCs w:val="21"/>
                <w:color w:val="auto"/>
              </w:rPr>
            </w:pPr>
          </w:p>
        </w:tc>
        <w:tc>
          <w:tcPr>
            <w:tcW w:w="12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176</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4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tcBorders>
              <w:bottom w:val="single" w:sz="8" w:color="auto"/>
            </w:tcBorders>
            <w:shd w:val="clear" w:color="auto" w:fill="E7E6E6"/>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925</w:t>
            </w:r>
          </w:p>
        </w:tc>
        <w:tc>
          <w:tcPr>
            <w:tcW w:w="12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779</w:t>
            </w:r>
          </w:p>
        </w:tc>
        <w:tc>
          <w:tcPr>
            <w:tcW w:w="300" w:type="dxa"/>
            <w:vAlign w:val="bottom"/>
          </w:tcPr>
          <w:p>
            <w:pPr>
              <w:spacing w:after="0"/>
              <w:rPr>
                <w:sz w:val="20"/>
                <w:szCs w:val="20"/>
                <w:color w:val="auto"/>
              </w:rPr>
            </w:pPr>
          </w:p>
        </w:tc>
        <w:tc>
          <w:tcPr>
            <w:tcW w:w="300" w:type="dxa"/>
            <w:vAlign w:val="bottom"/>
            <w:tcBorders>
              <w:bottom w:val="single" w:sz="8" w:color="auto"/>
            </w:tcBorders>
            <w:shd w:val="clear" w:color="auto" w:fill="E7E6E6"/>
          </w:tcPr>
          <w:p>
            <w:pPr>
              <w:jc w:val="right"/>
              <w:ind w:right="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1,640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1,382</w:t>
            </w:r>
          </w:p>
        </w:tc>
      </w:tr>
      <w:tr>
        <w:trPr>
          <w:trHeight w:val="330"/>
        </w:trPr>
        <w:tc>
          <w:tcPr>
            <w:tcW w:w="4600" w:type="dxa"/>
            <w:vAlign w:val="bottom"/>
          </w:tcPr>
          <w:p>
            <w:pPr>
              <w:spacing w:after="0"/>
              <w:rPr>
                <w:sz w:val="20"/>
                <w:szCs w:val="20"/>
                <w:color w:val="auto"/>
              </w:rPr>
            </w:pPr>
            <w:r>
              <w:rPr>
                <w:rFonts w:ascii="Arial" w:cs="Arial" w:eastAsia="Arial" w:hAnsi="Arial"/>
                <w:sz w:val="16"/>
                <w:szCs w:val="16"/>
                <w:b w:val="1"/>
                <w:bCs w:val="1"/>
                <w:color w:val="auto"/>
              </w:rPr>
              <w:t>Revenue by collaboration partner:</w:t>
            </w:r>
          </w:p>
        </w:tc>
        <w:tc>
          <w:tcPr>
            <w:tcW w:w="1020" w:type="dxa"/>
            <w:vAlign w:val="bottom"/>
            <w:shd w:val="clear" w:color="auto" w:fill="E7E6E6"/>
          </w:tcPr>
          <w:p>
            <w:pPr>
              <w:spacing w:after="0"/>
              <w:rPr>
                <w:sz w:val="24"/>
                <w:szCs w:val="24"/>
                <w:color w:val="auto"/>
              </w:rPr>
            </w:pPr>
          </w:p>
        </w:tc>
        <w:tc>
          <w:tcPr>
            <w:tcW w:w="440" w:type="dxa"/>
            <w:vAlign w:val="bottom"/>
            <w:shd w:val="clear" w:color="auto" w:fill="E7E6E6"/>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shd w:val="clear" w:color="auto" w:fill="E7E6E6"/>
          </w:tcPr>
          <w:p>
            <w:pPr>
              <w:spacing w:after="0"/>
              <w:rPr>
                <w:sz w:val="24"/>
                <w:szCs w:val="24"/>
                <w:color w:val="auto"/>
              </w:rPr>
            </w:pPr>
          </w:p>
        </w:tc>
        <w:tc>
          <w:tcPr>
            <w:tcW w:w="1200" w:type="dxa"/>
            <w:vAlign w:val="bottom"/>
            <w:shd w:val="clear" w:color="auto" w:fill="E7E6E6"/>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6"/>
                <w:szCs w:val="16"/>
                <w:color w:val="auto"/>
              </w:rPr>
              <w:t>J&amp;J</w:t>
            </w:r>
          </w:p>
        </w:tc>
        <w:tc>
          <w:tcPr>
            <w:tcW w:w="1020" w:type="dxa"/>
            <w:vAlign w:val="bottom"/>
            <w:shd w:val="clear" w:color="auto" w:fill="E7E6E6"/>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656</w:t>
            </w:r>
          </w:p>
        </w:tc>
        <w:tc>
          <w:tcPr>
            <w:tcW w:w="122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554</w:t>
            </w:r>
          </w:p>
        </w:tc>
        <w:tc>
          <w:tcPr>
            <w:tcW w:w="300" w:type="dxa"/>
            <w:vAlign w:val="bottom"/>
          </w:tcPr>
          <w:p>
            <w:pPr>
              <w:spacing w:after="0"/>
              <w:rPr>
                <w:sz w:val="20"/>
                <w:szCs w:val="20"/>
                <w:color w:val="auto"/>
              </w:rPr>
            </w:pPr>
          </w:p>
        </w:tc>
        <w:tc>
          <w:tcPr>
            <w:tcW w:w="300" w:type="dxa"/>
            <w:vAlign w:val="bottom"/>
            <w:shd w:val="clear" w:color="auto" w:fill="E7E6E6"/>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1,137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915</w:t>
            </w: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Roche</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21</w:t>
            </w:r>
          </w:p>
        </w:tc>
        <w:tc>
          <w:tcPr>
            <w:tcW w:w="12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46</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Novartis</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109</w:t>
            </w:r>
          </w:p>
        </w:tc>
        <w:tc>
          <w:tcPr>
            <w:tcW w:w="12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81</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200</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BioNTech</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11</w:t>
            </w:r>
          </w:p>
        </w:tc>
        <w:tc>
          <w:tcPr>
            <w:tcW w:w="12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30</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Pfizer</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22</w:t>
            </w:r>
          </w:p>
        </w:tc>
        <w:tc>
          <w:tcPr>
            <w:tcW w:w="12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AbbVie</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w:t>
            </w:r>
          </w:p>
        </w:tc>
        <w:tc>
          <w:tcPr>
            <w:tcW w:w="12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8</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2"/>
        </w:trPr>
        <w:tc>
          <w:tcPr>
            <w:tcW w:w="4600" w:type="dxa"/>
            <w:vAlign w:val="bottom"/>
          </w:tcPr>
          <w:p>
            <w:pPr>
              <w:spacing w:after="0"/>
              <w:rPr>
                <w:sz w:val="20"/>
                <w:szCs w:val="20"/>
                <w:color w:val="auto"/>
              </w:rPr>
            </w:pPr>
            <w:r>
              <w:rPr>
                <w:rFonts w:ascii="Arial" w:cs="Arial" w:eastAsia="Arial" w:hAnsi="Arial"/>
                <w:sz w:val="16"/>
                <w:szCs w:val="16"/>
                <w:color w:val="auto"/>
              </w:rPr>
              <w:t>Other</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1"/>
                <w:szCs w:val="21"/>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tcBorders>
              <w:top w:val="single" w:sz="8" w:color="auto"/>
              <w:bottom w:val="single" w:sz="8" w:color="auto"/>
            </w:tcBorders>
            <w:shd w:val="clear" w:color="auto" w:fill="E7E6E6"/>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824</w:t>
            </w:r>
          </w:p>
        </w:tc>
        <w:tc>
          <w:tcPr>
            <w:tcW w:w="12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717</w:t>
            </w: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shd w:val="clear" w:color="auto" w:fill="E7E6E6"/>
          </w:tcPr>
          <w:p>
            <w:pPr>
              <w:jc w:val="right"/>
              <w:ind w:right="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1,464</w:t>
            </w:r>
          </w:p>
        </w:tc>
        <w:tc>
          <w:tcPr>
            <w:tcW w:w="4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1,273</w:t>
            </w:r>
          </w:p>
        </w:tc>
      </w:tr>
      <w:tr>
        <w:trPr>
          <w:trHeight w:val="370"/>
        </w:trPr>
        <w:tc>
          <w:tcPr>
            <w:tcW w:w="4600" w:type="dxa"/>
            <w:vAlign w:val="bottom"/>
          </w:tcPr>
          <w:p>
            <w:pPr>
              <w:spacing w:after="0"/>
              <w:rPr>
                <w:sz w:val="20"/>
                <w:szCs w:val="20"/>
                <w:color w:val="auto"/>
              </w:rPr>
            </w:pPr>
            <w:r>
              <w:rPr>
                <w:rFonts w:ascii="Arial" w:cs="Arial" w:eastAsia="Arial" w:hAnsi="Arial"/>
                <w:sz w:val="16"/>
                <w:szCs w:val="16"/>
                <w:b w:val="1"/>
                <w:bCs w:val="1"/>
                <w:color w:val="auto"/>
              </w:rPr>
              <w:t>Royalties by product:</w:t>
            </w:r>
          </w:p>
        </w:tc>
        <w:tc>
          <w:tcPr>
            <w:tcW w:w="1020" w:type="dxa"/>
            <w:vAlign w:val="bottom"/>
            <w:shd w:val="clear" w:color="auto" w:fill="E7E6E6"/>
          </w:tcPr>
          <w:p>
            <w:pPr>
              <w:spacing w:after="0"/>
              <w:rPr>
                <w:sz w:val="24"/>
                <w:szCs w:val="24"/>
                <w:color w:val="auto"/>
              </w:rPr>
            </w:pPr>
          </w:p>
        </w:tc>
        <w:tc>
          <w:tcPr>
            <w:tcW w:w="440" w:type="dxa"/>
            <w:vAlign w:val="bottom"/>
            <w:shd w:val="clear" w:color="auto" w:fill="E7E6E6"/>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shd w:val="clear" w:color="auto" w:fill="E7E6E6"/>
          </w:tcPr>
          <w:p>
            <w:pPr>
              <w:spacing w:after="0"/>
              <w:rPr>
                <w:sz w:val="24"/>
                <w:szCs w:val="24"/>
                <w:color w:val="auto"/>
              </w:rPr>
            </w:pPr>
          </w:p>
        </w:tc>
        <w:tc>
          <w:tcPr>
            <w:tcW w:w="1200" w:type="dxa"/>
            <w:vAlign w:val="bottom"/>
            <w:shd w:val="clear" w:color="auto" w:fill="E7E6E6"/>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6"/>
                <w:szCs w:val="16"/>
                <w:color w:val="auto"/>
              </w:rPr>
              <w:t>DARZALEX</w:t>
            </w:r>
          </w:p>
        </w:tc>
        <w:tc>
          <w:tcPr>
            <w:tcW w:w="1020" w:type="dxa"/>
            <w:vAlign w:val="bottom"/>
            <w:shd w:val="clear" w:color="auto" w:fill="E7E6E6"/>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638</w:t>
            </w:r>
          </w:p>
        </w:tc>
        <w:tc>
          <w:tcPr>
            <w:tcW w:w="122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538</w:t>
            </w:r>
          </w:p>
        </w:tc>
        <w:tc>
          <w:tcPr>
            <w:tcW w:w="300" w:type="dxa"/>
            <w:vAlign w:val="bottom"/>
          </w:tcPr>
          <w:p>
            <w:pPr>
              <w:spacing w:after="0"/>
              <w:rPr>
                <w:sz w:val="20"/>
                <w:szCs w:val="20"/>
                <w:color w:val="auto"/>
              </w:rPr>
            </w:pPr>
          </w:p>
        </w:tc>
        <w:tc>
          <w:tcPr>
            <w:tcW w:w="300" w:type="dxa"/>
            <w:vAlign w:val="bottom"/>
            <w:shd w:val="clear" w:color="auto" w:fill="E7E6E6"/>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1,088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43"/>
        </w:trPr>
        <w:tc>
          <w:tcPr>
            <w:tcW w:w="4600" w:type="dxa"/>
            <w:vAlign w:val="bottom"/>
          </w:tcPr>
          <w:p>
            <w:pPr>
              <w:spacing w:after="0"/>
              <w:rPr>
                <w:sz w:val="20"/>
                <w:szCs w:val="20"/>
                <w:color w:val="auto"/>
              </w:rPr>
            </w:pPr>
            <w:r>
              <w:rPr>
                <w:rFonts w:ascii="Arial" w:cs="Arial" w:eastAsia="Arial" w:hAnsi="Arial"/>
                <w:sz w:val="16"/>
                <w:szCs w:val="16"/>
                <w:color w:val="auto"/>
              </w:rPr>
              <w:t>Kesimpta</w:t>
            </w:r>
          </w:p>
        </w:tc>
        <w:tc>
          <w:tcPr>
            <w:tcW w:w="1020" w:type="dxa"/>
            <w:vAlign w:val="bottom"/>
            <w:shd w:val="clear" w:color="auto" w:fill="E7E6E6"/>
          </w:tcPr>
          <w:p>
            <w:pPr>
              <w:spacing w:after="0"/>
              <w:rPr>
                <w:sz w:val="21"/>
                <w:szCs w:val="21"/>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108</w:t>
            </w:r>
          </w:p>
        </w:tc>
        <w:tc>
          <w:tcPr>
            <w:tcW w:w="12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198</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58"/>
        </w:trPr>
        <w:tc>
          <w:tcPr>
            <w:tcW w:w="4600" w:type="dxa"/>
            <w:vAlign w:val="bottom"/>
          </w:tcPr>
          <w:p>
            <w:pPr>
              <w:spacing w:after="0"/>
              <w:rPr>
                <w:sz w:val="20"/>
                <w:szCs w:val="20"/>
                <w:color w:val="auto"/>
              </w:rPr>
            </w:pPr>
            <w:r>
              <w:rPr>
                <w:rFonts w:ascii="Arial" w:cs="Arial" w:eastAsia="Arial" w:hAnsi="Arial"/>
                <w:sz w:val="16"/>
                <w:szCs w:val="16"/>
                <w:color w:val="auto"/>
              </w:rPr>
              <w:t>TEPEZZA</w:t>
            </w:r>
          </w:p>
        </w:tc>
        <w:tc>
          <w:tcPr>
            <w:tcW w:w="1020" w:type="dxa"/>
            <w:vAlign w:val="bottom"/>
            <w:shd w:val="clear" w:color="auto" w:fill="E7E6E6"/>
          </w:tcPr>
          <w:p>
            <w:pPr>
              <w:spacing w:after="0"/>
              <w:rPr>
                <w:sz w:val="22"/>
                <w:szCs w:val="22"/>
                <w:color w:val="auto"/>
              </w:rPr>
            </w:pPr>
          </w:p>
        </w:tc>
        <w:tc>
          <w:tcPr>
            <w:tcW w:w="44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20</w:t>
            </w:r>
          </w:p>
        </w:tc>
        <w:tc>
          <w:tcPr>
            <w:tcW w:w="12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22"/>
                <w:szCs w:val="22"/>
                <w:color w:val="auto"/>
              </w:rPr>
            </w:pPr>
          </w:p>
        </w:tc>
        <w:tc>
          <w:tcPr>
            <w:tcW w:w="300" w:type="dxa"/>
            <w:vAlign w:val="bottom"/>
            <w:shd w:val="clear" w:color="auto" w:fill="E7E6E6"/>
          </w:tcPr>
          <w:p>
            <w:pPr>
              <w:spacing w:after="0"/>
              <w:rPr>
                <w:sz w:val="22"/>
                <w:szCs w:val="22"/>
                <w:color w:val="auto"/>
              </w:rPr>
            </w:pPr>
          </w:p>
        </w:tc>
        <w:tc>
          <w:tcPr>
            <w:tcW w:w="120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45</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35/44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600" w:type="dxa"/>
            <w:vAlign w:val="bottom"/>
          </w:tcPr>
          <w:p>
            <w:pPr>
              <w:spacing w:after="0"/>
              <w:rPr>
                <w:sz w:val="20"/>
                <w:szCs w:val="20"/>
                <w:color w:val="auto"/>
              </w:rPr>
            </w:pPr>
            <w:r>
              <w:rPr>
                <w:rFonts w:ascii="Arial" w:cs="Arial" w:eastAsia="Arial" w:hAnsi="Arial"/>
                <w:sz w:val="16"/>
                <w:szCs w:val="16"/>
                <w:color w:val="auto"/>
              </w:rPr>
              <w:t>Other**</w:t>
            </w:r>
          </w:p>
        </w:tc>
        <w:tc>
          <w:tcPr>
            <w:tcW w:w="620" w:type="dxa"/>
            <w:vAlign w:val="bottom"/>
            <w:tcBorders>
              <w:bottom w:val="single" w:sz="8" w:color="auto"/>
            </w:tcBorders>
            <w:shd w:val="clear" w:color="auto" w:fill="E7E6E6"/>
          </w:tcPr>
          <w:p>
            <w:pPr>
              <w:spacing w:after="0"/>
              <w:rPr>
                <w:sz w:val="20"/>
                <w:szCs w:val="20"/>
                <w:color w:val="auto"/>
              </w:rPr>
            </w:pPr>
          </w:p>
        </w:tc>
        <w:tc>
          <w:tcPr>
            <w:tcW w:w="8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23</w:t>
            </w:r>
          </w:p>
        </w:tc>
        <w:tc>
          <w:tcPr>
            <w:tcW w:w="7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20"/>
                <w:szCs w:val="20"/>
                <w:color w:val="auto"/>
              </w:rPr>
            </w:pPr>
          </w:p>
        </w:tc>
        <w:tc>
          <w:tcPr>
            <w:tcW w:w="560" w:type="dxa"/>
            <w:vAlign w:val="bottom"/>
            <w:tcBorders>
              <w:bottom w:val="single" w:sz="8" w:color="auto"/>
            </w:tcBorders>
            <w:shd w:val="clear" w:color="auto" w:fill="E7E6E6"/>
          </w:tcPr>
          <w:p>
            <w:pPr>
              <w:spacing w:after="0"/>
              <w:rPr>
                <w:sz w:val="20"/>
                <w:szCs w:val="20"/>
                <w:color w:val="auto"/>
              </w:rPr>
            </w:pPr>
          </w:p>
        </w:tc>
        <w:tc>
          <w:tcPr>
            <w:tcW w:w="9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47</w:t>
            </w: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39"/>
        </w:trPr>
        <w:tc>
          <w:tcPr>
            <w:tcW w:w="4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620" w:type="dxa"/>
            <w:vAlign w:val="bottom"/>
            <w:tcBorders>
              <w:bottom w:val="single" w:sz="8" w:color="auto"/>
            </w:tcBorders>
            <w:shd w:val="clear" w:color="auto" w:fill="E7E6E6"/>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789</w:t>
            </w:r>
          </w:p>
        </w:tc>
        <w:tc>
          <w:tcPr>
            <w:tcW w:w="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659</w:t>
            </w:r>
          </w:p>
        </w:tc>
        <w:tc>
          <w:tcPr>
            <w:tcW w:w="300" w:type="dxa"/>
            <w:vAlign w:val="bottom"/>
          </w:tcPr>
          <w:p>
            <w:pPr>
              <w:spacing w:after="0"/>
              <w:rPr>
                <w:sz w:val="20"/>
                <w:szCs w:val="20"/>
                <w:color w:val="auto"/>
              </w:rPr>
            </w:pPr>
          </w:p>
        </w:tc>
        <w:tc>
          <w:tcPr>
            <w:tcW w:w="560" w:type="dxa"/>
            <w:vAlign w:val="bottom"/>
            <w:tcBorders>
              <w:bottom w:val="single" w:sz="8" w:color="auto"/>
            </w:tcBorders>
            <w:shd w:val="clear" w:color="auto" w:fill="E7E6E6"/>
          </w:tcPr>
          <w:p>
            <w:pPr>
              <w:jc w:val="right"/>
              <w:ind w:right="3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b w:val="1"/>
                <w:bCs w:val="1"/>
                <w:color w:val="auto"/>
              </w:rPr>
              <w:t>1,378</w:t>
            </w: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1,111</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*Excludes Genmab’s Net product sales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Other consist of royalties from net sales of RYBREVANT, TECVAYLI, TALVEY and TEPKINLY.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Sales</w:t>
      </w:r>
    </w:p>
    <w:p>
      <w:pPr>
        <w:spacing w:after="0" w:line="27"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Genmab recognized net product sales of $176 million during the first six months of 2025 compared to $109 million in the first six months of 2024. EPKINLY was approved in the U.S. in May 2023 and Japan in September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7"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As part of the continued evaluation of contract liabilities related to the AbbVie Agreement, during the first six months of 2025, Genmab’s classification of contract liabilities reflects the current estimate of co-development activities as of June 30, 2025. These co-development activities are related to a performance obligation in connection with the product concepts under a research option agreement. Contract liabilities have been recognized as reimbursement revenue during the first half of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2.1 in the Annual Report for further details regarding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4 - Other Intangible Assets and Goodwill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Licenses and</w:t>
            </w:r>
          </w:p>
        </w:tc>
        <w:tc>
          <w:tcPr>
            <w:tcW w:w="2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rPr>
              <w:t>Technology</w:t>
            </w: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Total Intangible</w:t>
            </w:r>
          </w:p>
        </w:tc>
      </w:tr>
      <w:tr>
        <w:trPr>
          <w:trHeight w:val="237"/>
        </w:trPr>
        <w:tc>
          <w:tcPr>
            <w:tcW w:w="4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Goodwill</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Patents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Platform</w:t>
            </w:r>
          </w:p>
        </w:tc>
        <w:tc>
          <w:tcPr>
            <w:tcW w:w="14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Acquired IPR&amp;D</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Assets</w:t>
            </w:r>
          </w:p>
        </w:tc>
      </w:tr>
      <w:tr>
        <w:trPr>
          <w:trHeight w:val="370"/>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June 30, 2025</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Cost at the beginning of the period</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58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1,532</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2,216</w:t>
            </w:r>
          </w:p>
        </w:tc>
      </w:tr>
      <w:tr>
        <w:trPr>
          <w:trHeight w:val="24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Additions during the period</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3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Cost at the end of the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1,532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2,248</w:t>
            </w:r>
          </w:p>
        </w:tc>
      </w:tr>
      <w:tr>
        <w:trPr>
          <w:trHeight w:val="402"/>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and impairment losses at the beginning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color w:val="auto"/>
              </w:rPr>
              <w:t>of the period</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for the period</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Impairment losses for the period</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9"/>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and impairment losses at the end of the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period</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3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Carrying amount at the end of the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1,532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2,107</w:t>
            </w:r>
          </w:p>
        </w:tc>
      </w:tr>
      <w:tr>
        <w:trPr>
          <w:trHeight w:val="422"/>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Cost at the beginning of the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126</w:t>
            </w: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color w:val="auto"/>
              </w:rPr>
              <w:t>Additions during the year</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w:t>
            </w:r>
          </w:p>
        </w:tc>
        <w:tc>
          <w:tcPr>
            <w:tcW w:w="5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1,481</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adjustment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3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Cost at the end of the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1,532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36/44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and impairment losses at the beginning of</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8"/>
        </w:trPr>
        <w:tc>
          <w:tcPr>
            <w:tcW w:w="4040" w:type="dxa"/>
            <w:vAlign w:val="bottom"/>
          </w:tcPr>
          <w:p>
            <w:pPr>
              <w:ind w:left="20"/>
              <w:spacing w:after="0"/>
              <w:rPr>
                <w:sz w:val="20"/>
                <w:szCs w:val="20"/>
                <w:color w:val="auto"/>
              </w:rPr>
            </w:pPr>
            <w:r>
              <w:rPr>
                <w:rFonts w:ascii="Arial" w:cs="Arial" w:eastAsia="Arial" w:hAnsi="Arial"/>
                <w:sz w:val="16"/>
                <w:szCs w:val="16"/>
                <w:color w:val="auto"/>
              </w:rPr>
              <w:t>the year</w:t>
            </w:r>
          </w:p>
        </w:tc>
        <w:tc>
          <w:tcPr>
            <w:tcW w:w="6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43"/>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for the year</w:t>
            </w:r>
          </w:p>
        </w:tc>
        <w:tc>
          <w:tcPr>
            <w:tcW w:w="60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Impairment losses for the year</w:t>
            </w:r>
          </w:p>
        </w:tc>
        <w:tc>
          <w:tcPr>
            <w:tcW w:w="6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6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96"/>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and impairment losses at the end of the</w:t>
            </w: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year</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w:t>
            </w: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3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Carrying amount at the end of the year</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355</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w:t>
            </w:r>
          </w:p>
        </w:tc>
        <w:tc>
          <w:tcPr>
            <w:tcW w:w="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w:t>
            </w:r>
          </w:p>
        </w:tc>
        <w:tc>
          <w:tcPr>
            <w:tcW w:w="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1,532</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2,083</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increase in the gross carrying value of other intangible assets during the first six months of 2025 was due to the addition of $32 million of licenses and patents.</w:t>
      </w:r>
    </w:p>
    <w:p>
      <w:pPr>
        <w:spacing w:after="0" w:line="13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Amortization expense was $ 7 million and $4 million for the first six months of 2025 and 2024 respectively, which was recorded in Research and development expenses in the Condensed Consolidated Statements of Comprehensive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The carrying amount of goodwill, which relates to the acquisition of ProfoundBio during the second quarter of 2024, was $355 million as of both June 30, 2025 and December 31, 2024.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5 - Financial Instruments</w:t>
      </w:r>
    </w:p>
    <w:p>
      <w:pPr>
        <w:spacing w:after="0" w:line="117"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Genmab’s portfolio is spread over a number of different securities with a focus on liquidity and the preservation of capital. Genmab’s marketable securities in USD, DKK, EUR, and GBP as a percentage of total marketable securities were as follows: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6320" w:type="dxa"/>
            <w:vAlign w:val="bottom"/>
          </w:tcPr>
          <w:p>
            <w:pPr>
              <w:spacing w:after="0"/>
              <w:rPr>
                <w:sz w:val="23"/>
                <w:szCs w:val="23"/>
                <w:color w:val="auto"/>
              </w:rPr>
            </w:pPr>
          </w:p>
        </w:tc>
        <w:tc>
          <w:tcPr>
            <w:tcW w:w="2080" w:type="dxa"/>
            <w:vAlign w:val="bottom"/>
            <w:tcBorders>
              <w:bottom w:val="single" w:sz="8" w:color="auto"/>
            </w:tcBorders>
            <w:shd w:val="clear" w:color="auto" w:fill="E6E6E6"/>
          </w:tcPr>
          <w:p>
            <w:pPr>
              <w:jc w:val="right"/>
              <w:ind w:right="210"/>
              <w:spacing w:after="0"/>
              <w:rPr>
                <w:sz w:val="20"/>
                <w:szCs w:val="20"/>
                <w:color w:val="auto"/>
              </w:rPr>
            </w:pPr>
            <w:r>
              <w:rPr>
                <w:rFonts w:ascii="Arial" w:cs="Arial" w:eastAsia="Arial" w:hAnsi="Arial"/>
                <w:sz w:val="18"/>
                <w:szCs w:val="18"/>
                <w:b w:val="1"/>
                <w:bCs w:val="1"/>
                <w:color w:val="auto"/>
              </w:rPr>
              <w:t>June 30, 2025</w:t>
            </w:r>
          </w:p>
        </w:tc>
        <w:tc>
          <w:tcPr>
            <w:tcW w:w="300" w:type="dxa"/>
            <w:vAlign w:val="bottom"/>
            <w:tcBorders>
              <w:bottom w:val="single" w:sz="8" w:color="auto"/>
            </w:tcBorders>
            <w:shd w:val="clear" w:color="auto" w:fill="E6E6E6"/>
          </w:tcPr>
          <w:p>
            <w:pPr>
              <w:spacing w:after="0"/>
              <w:rPr>
                <w:sz w:val="23"/>
                <w:szCs w:val="23"/>
                <w:color w:val="auto"/>
              </w:rPr>
            </w:pPr>
          </w:p>
        </w:tc>
        <w:tc>
          <w:tcPr>
            <w:tcW w:w="80" w:type="dxa"/>
            <w:vAlign w:val="bottom"/>
          </w:tcPr>
          <w:p>
            <w:pPr>
              <w:spacing w:after="0"/>
              <w:rPr>
                <w:sz w:val="23"/>
                <w:szCs w:val="23"/>
                <w:color w:val="auto"/>
              </w:rPr>
            </w:pPr>
          </w:p>
        </w:tc>
        <w:tc>
          <w:tcPr>
            <w:tcW w:w="2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 2024</w:t>
            </w:r>
          </w:p>
        </w:tc>
        <w:tc>
          <w:tcPr>
            <w:tcW w:w="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r>
              <w:rPr>
                <w:rFonts w:ascii="Arial" w:cs="Arial" w:eastAsia="Arial" w:hAnsi="Arial"/>
                <w:sz w:val="18"/>
                <w:szCs w:val="18"/>
                <w:b w:val="1"/>
                <w:bCs w:val="1"/>
                <w:color w:val="auto"/>
              </w:rPr>
              <w:t>Percent</w:t>
            </w:r>
          </w:p>
        </w:tc>
        <w:tc>
          <w:tcPr>
            <w:tcW w:w="208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320" w:type="dxa"/>
            <w:vAlign w:val="bottom"/>
            <w:vMerge w:val="restart"/>
          </w:tcPr>
          <w:p>
            <w:pPr>
              <w:spacing w:after="0"/>
              <w:rPr>
                <w:sz w:val="20"/>
                <w:szCs w:val="20"/>
                <w:color w:val="auto"/>
              </w:rPr>
            </w:pPr>
            <w:r>
              <w:rPr>
                <w:rFonts w:ascii="Arial" w:cs="Arial" w:eastAsia="Arial" w:hAnsi="Arial"/>
                <w:sz w:val="18"/>
                <w:szCs w:val="18"/>
                <w:color w:val="auto"/>
              </w:rPr>
              <w:t>USD</w:t>
            </w:r>
          </w:p>
        </w:tc>
        <w:tc>
          <w:tcPr>
            <w:tcW w:w="2080" w:type="dxa"/>
            <w:vAlign w:val="bottom"/>
            <w:shd w:val="clear" w:color="auto" w:fill="E6E6E6"/>
          </w:tcPr>
          <w:p>
            <w:pPr>
              <w:spacing w:after="0"/>
              <w:rPr>
                <w:sz w:val="15"/>
                <w:szCs w:val="15"/>
                <w:color w:val="auto"/>
              </w:rPr>
            </w:pPr>
          </w:p>
        </w:tc>
        <w:tc>
          <w:tcPr>
            <w:tcW w:w="3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76</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320" w:type="dxa"/>
            <w:vAlign w:val="bottom"/>
            <w:vMerge w:val="continue"/>
          </w:tcPr>
          <w:p>
            <w:pPr>
              <w:spacing w:after="0"/>
              <w:rPr>
                <w:sz w:val="21"/>
                <w:szCs w:val="21"/>
                <w:color w:val="auto"/>
              </w:rPr>
            </w:pPr>
          </w:p>
        </w:tc>
        <w:tc>
          <w:tcPr>
            <w:tcW w:w="2080" w:type="dxa"/>
            <w:vAlign w:val="bottom"/>
            <w:shd w:val="clear" w:color="auto" w:fill="E7E6E6"/>
          </w:tcPr>
          <w:p>
            <w:pPr>
              <w:jc w:val="right"/>
              <w:spacing w:after="0"/>
              <w:rPr>
                <w:sz w:val="20"/>
                <w:szCs w:val="20"/>
                <w:color w:val="auto"/>
              </w:rPr>
            </w:pPr>
            <w:r>
              <w:rPr>
                <w:rFonts w:ascii="Arial" w:cs="Arial" w:eastAsia="Arial" w:hAnsi="Arial"/>
                <w:sz w:val="18"/>
                <w:szCs w:val="18"/>
                <w:color w:val="auto"/>
              </w:rPr>
              <w:t>75</w:t>
            </w:r>
          </w:p>
        </w:tc>
        <w:tc>
          <w:tcPr>
            <w:tcW w:w="300" w:type="dxa"/>
            <w:vAlign w:val="bottom"/>
            <w:vMerge w:val="continue"/>
            <w:shd w:val="clear" w:color="auto" w:fill="E6E6E6"/>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DKK</w:t>
            </w:r>
          </w:p>
        </w:tc>
        <w:tc>
          <w:tcPr>
            <w:tcW w:w="2080" w:type="dxa"/>
            <w:vAlign w:val="bottom"/>
            <w:shd w:val="clear" w:color="auto" w:fill="E7E6E6"/>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EUR</w:t>
            </w:r>
          </w:p>
        </w:tc>
        <w:tc>
          <w:tcPr>
            <w:tcW w:w="2080" w:type="dxa"/>
            <w:vAlign w:val="bottom"/>
            <w:shd w:val="clear" w:color="auto" w:fill="E7E6E6"/>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6320" w:type="dxa"/>
            <w:vAlign w:val="bottom"/>
          </w:tcPr>
          <w:p>
            <w:pPr>
              <w:spacing w:after="0"/>
              <w:rPr>
                <w:sz w:val="20"/>
                <w:szCs w:val="20"/>
                <w:color w:val="auto"/>
              </w:rPr>
            </w:pPr>
            <w:r>
              <w:rPr>
                <w:rFonts w:ascii="Arial" w:cs="Arial" w:eastAsia="Arial" w:hAnsi="Arial"/>
                <w:sz w:val="18"/>
                <w:szCs w:val="18"/>
                <w:color w:val="auto"/>
              </w:rPr>
              <w:t>GBP</w:t>
            </w:r>
          </w:p>
        </w:tc>
        <w:tc>
          <w:tcPr>
            <w:tcW w:w="208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tcBorders>
              <w:top w:val="single" w:sz="8" w:color="auto"/>
            </w:tcBorders>
            <w:shd w:val="clear" w:color="auto" w:fill="E7E6E6"/>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2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June 30, 2025, 70% of Genmab’s marketable securities were long-term A rated or higher, or short-term A-1 / P-1 rated compared to 71% as of December 31,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fair value measurements by level for Genmab’s financial assets measured at fair value through profit or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shd w:val="clear" w:color="auto" w:fill="DBDBDB"/>
          </w:tcPr>
          <w:p>
            <w:pPr>
              <w:spacing w:after="0"/>
              <w:rPr>
                <w:sz w:val="18"/>
                <w:szCs w:val="18"/>
                <w:color w:val="auto"/>
              </w:rPr>
            </w:pPr>
          </w:p>
        </w:tc>
        <w:tc>
          <w:tcPr>
            <w:tcW w:w="2000" w:type="dxa"/>
            <w:vAlign w:val="bottom"/>
            <w:tcBorders>
              <w:bottom w:val="single" w:sz="8" w:color="auto"/>
            </w:tcBorders>
            <w:gridSpan w:val="2"/>
            <w:shd w:val="clear" w:color="auto" w:fill="DBDBDB"/>
          </w:tcPr>
          <w:p>
            <w:pPr>
              <w:jc w:val="right"/>
              <w:ind w:right="468"/>
              <w:spacing w:after="0"/>
              <w:rPr>
                <w:sz w:val="20"/>
                <w:szCs w:val="20"/>
                <w:color w:val="auto"/>
              </w:rPr>
            </w:pPr>
            <w:r>
              <w:rPr>
                <w:rFonts w:ascii="Arial" w:cs="Arial" w:eastAsia="Arial" w:hAnsi="Arial"/>
                <w:sz w:val="16"/>
                <w:szCs w:val="16"/>
                <w:b w:val="1"/>
                <w:bCs w:val="1"/>
                <w:color w:val="auto"/>
              </w:rPr>
              <w:t>June 30, 2025</w:t>
            </w:r>
          </w:p>
        </w:tc>
        <w:tc>
          <w:tcPr>
            <w:tcW w:w="82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6"/>
                <w:szCs w:val="16"/>
                <w:b w:val="1"/>
                <w:bCs w:val="1"/>
                <w:color w:val="auto"/>
              </w:rPr>
              <w:t>December 31, 2024</w:t>
            </w:r>
          </w:p>
        </w:tc>
        <w:tc>
          <w:tcPr>
            <w:tcW w:w="9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Assets Measured at Fair Value</w:t>
            </w:r>
          </w:p>
        </w:tc>
        <w:tc>
          <w:tcPr>
            <w:tcW w:w="960" w:type="dxa"/>
            <w:vAlign w:val="bottom"/>
            <w:shd w:val="clear" w:color="auto" w:fill="DBDBDB"/>
          </w:tcPr>
          <w:p>
            <w:pPr>
              <w:ind w:left="240"/>
              <w:spacing w:after="0"/>
              <w:rPr>
                <w:sz w:val="20"/>
                <w:szCs w:val="20"/>
                <w:color w:val="auto"/>
              </w:rPr>
            </w:pPr>
            <w:r>
              <w:rPr>
                <w:rFonts w:ascii="Arial" w:cs="Arial" w:eastAsia="Arial" w:hAnsi="Arial"/>
                <w:sz w:val="14"/>
                <w:szCs w:val="14"/>
                <w:b w:val="1"/>
                <w:bCs w:val="1"/>
                <w:color w:val="auto"/>
              </w:rPr>
              <w:t>Level 1</w:t>
            </w:r>
          </w:p>
        </w:tc>
        <w:tc>
          <w:tcPr>
            <w:tcW w:w="1020" w:type="dxa"/>
            <w:vAlign w:val="bottom"/>
            <w:shd w:val="clear" w:color="auto" w:fill="DBDBDB"/>
          </w:tcPr>
          <w:p>
            <w:pPr>
              <w:jc w:val="right"/>
              <w:ind w:right="246"/>
              <w:spacing w:after="0"/>
              <w:rPr>
                <w:sz w:val="20"/>
                <w:szCs w:val="20"/>
                <w:color w:val="auto"/>
              </w:rPr>
            </w:pPr>
            <w:r>
              <w:rPr>
                <w:rFonts w:ascii="Arial" w:cs="Arial" w:eastAsia="Arial" w:hAnsi="Arial"/>
                <w:sz w:val="14"/>
                <w:szCs w:val="14"/>
                <w:b w:val="1"/>
                <w:bCs w:val="1"/>
                <w:color w:val="auto"/>
              </w:rPr>
              <w:t>Level 2</w:t>
            </w:r>
          </w:p>
        </w:tc>
        <w:tc>
          <w:tcPr>
            <w:tcW w:w="980" w:type="dxa"/>
            <w:vAlign w:val="bottom"/>
            <w:shd w:val="clear" w:color="auto" w:fill="DBDBDB"/>
          </w:tcPr>
          <w:p>
            <w:pPr>
              <w:jc w:val="right"/>
              <w:ind w:right="268"/>
              <w:spacing w:after="0"/>
              <w:rPr>
                <w:sz w:val="20"/>
                <w:szCs w:val="20"/>
                <w:color w:val="auto"/>
              </w:rPr>
            </w:pPr>
            <w:r>
              <w:rPr>
                <w:rFonts w:ascii="Arial" w:cs="Arial" w:eastAsia="Arial" w:hAnsi="Arial"/>
                <w:sz w:val="14"/>
                <w:szCs w:val="14"/>
                <w:b w:val="1"/>
                <w:bCs w:val="1"/>
                <w:color w:val="auto"/>
              </w:rPr>
              <w:t>Level 3</w:t>
            </w:r>
          </w:p>
        </w:tc>
        <w:tc>
          <w:tcPr>
            <w:tcW w:w="820" w:type="dxa"/>
            <w:vAlign w:val="bottom"/>
            <w:shd w:val="clear" w:color="auto" w:fill="DBDBDB"/>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960" w:type="dxa"/>
            <w:vAlign w:val="bottom"/>
          </w:tcPr>
          <w:p>
            <w:pPr>
              <w:jc w:val="right"/>
              <w:ind w:right="246"/>
              <w:spacing w:after="0"/>
              <w:rPr>
                <w:sz w:val="20"/>
                <w:szCs w:val="20"/>
                <w:color w:val="auto"/>
              </w:rPr>
            </w:pPr>
            <w:r>
              <w:rPr>
                <w:rFonts w:ascii="Arial" w:cs="Arial" w:eastAsia="Arial" w:hAnsi="Arial"/>
                <w:sz w:val="14"/>
                <w:szCs w:val="14"/>
                <w:b w:val="1"/>
                <w:bCs w:val="1"/>
                <w:color w:val="auto"/>
              </w:rPr>
              <w:t>Level 2</w:t>
            </w: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Level 3</w:t>
            </w: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64"/>
        </w:trPr>
        <w:tc>
          <w:tcPr>
            <w:tcW w:w="3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Marketable securities</w:t>
            </w:r>
          </w:p>
        </w:tc>
        <w:tc>
          <w:tcPr>
            <w:tcW w:w="96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1,603</w:t>
            </w:r>
          </w:p>
        </w:tc>
        <w:tc>
          <w:tcPr>
            <w:tcW w:w="1020" w:type="dxa"/>
            <w:vAlign w:val="bottom"/>
            <w:tcBorders>
              <w:top w:val="single" w:sz="8" w:color="auto"/>
            </w:tcBorders>
            <w:shd w:val="clear" w:color="auto" w:fill="DBDBDB"/>
          </w:tcPr>
          <w:p>
            <w:pPr>
              <w:jc w:val="right"/>
              <w:ind w:right="86"/>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1,603</w:t>
            </w: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1,574</w:t>
            </w:r>
          </w:p>
        </w:tc>
        <w:tc>
          <w:tcPr>
            <w:tcW w:w="960" w:type="dxa"/>
            <w:vAlign w:val="bottom"/>
            <w:tcBorders>
              <w:top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investments</w:t>
            </w:r>
          </w:p>
        </w:tc>
        <w:tc>
          <w:tcPr>
            <w:tcW w:w="9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8</w:t>
            </w:r>
          </w:p>
        </w:tc>
        <w:tc>
          <w:tcPr>
            <w:tcW w:w="10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4"/>
                <w:szCs w:val="14"/>
                <w:color w:val="auto"/>
              </w:rPr>
              <w:t>2</w:t>
            </w:r>
          </w:p>
        </w:tc>
        <w:tc>
          <w:tcPr>
            <w:tcW w:w="9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25</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35</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2</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2"/>
        </w:trPr>
        <w:tc>
          <w:tcPr>
            <w:tcW w:w="3620" w:type="dxa"/>
            <w:vAlign w:val="bottom"/>
          </w:tcPr>
          <w:p>
            <w:pPr>
              <w:ind w:left="20"/>
              <w:spacing w:after="0"/>
              <w:rPr>
                <w:sz w:val="20"/>
                <w:szCs w:val="20"/>
                <w:color w:val="auto"/>
              </w:rPr>
            </w:pPr>
            <w:r>
              <w:rPr>
                <w:rFonts w:ascii="Arial" w:cs="Arial" w:eastAsia="Arial" w:hAnsi="Arial"/>
                <w:sz w:val="14"/>
                <w:szCs w:val="14"/>
                <w:color w:val="auto"/>
              </w:rPr>
              <w:t>Genmab A/S</w:t>
            </w:r>
          </w:p>
        </w:tc>
        <w:tc>
          <w:tcPr>
            <w:tcW w:w="1980" w:type="dxa"/>
            <w:vAlign w:val="bottom"/>
            <w:gridSpan w:val="2"/>
          </w:tcPr>
          <w:p>
            <w:pPr>
              <w:ind w:left="140"/>
              <w:spacing w:after="0"/>
              <w:rPr>
                <w:sz w:val="20"/>
                <w:szCs w:val="20"/>
                <w:color w:val="auto"/>
              </w:rPr>
            </w:pPr>
            <w:r>
              <w:rPr>
                <w:rFonts w:ascii="Arial" w:cs="Arial" w:eastAsia="Arial" w:hAnsi="Arial"/>
                <w:sz w:val="14"/>
                <w:szCs w:val="14"/>
                <w:color w:val="auto"/>
              </w:rPr>
              <w:t>Tel: +45 7020 2728</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gridSpan w:val="4"/>
          </w:tcPr>
          <w:p>
            <w:pPr>
              <w:jc w:val="right"/>
              <w:ind w:right="100"/>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1980" w:type="dxa"/>
            <w:vAlign w:val="bottom"/>
            <w:gridSpan w:val="2"/>
          </w:tcPr>
          <w:p>
            <w:pPr>
              <w:ind w:left="140"/>
              <w:spacing w:after="0"/>
              <w:rPr>
                <w:sz w:val="20"/>
                <w:szCs w:val="20"/>
                <w:color w:val="auto"/>
              </w:rPr>
            </w:pPr>
            <w:r>
              <w:rPr>
                <w:rFonts w:ascii="Arial" w:cs="Arial" w:eastAsia="Arial" w:hAnsi="Arial"/>
                <w:sz w:val="14"/>
                <w:szCs w:val="14"/>
                <w:color w:val="auto"/>
              </w:rPr>
              <w:t>www.genmab.com</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Page 37/44</w:t>
            </w:r>
          </w:p>
        </w:tc>
        <w:tc>
          <w:tcPr>
            <w:tcW w:w="0" w:type="dxa"/>
            <w:vAlign w:val="bottom"/>
          </w:tcPr>
          <w:p>
            <w:pPr>
              <w:spacing w:after="0"/>
              <w:rPr>
                <w:sz w:val="1"/>
                <w:szCs w:val="1"/>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3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6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ind w:right="800"/>
        <w:spacing w:after="0" w:line="266" w:lineRule="auto"/>
        <w:rPr>
          <w:sz w:val="20"/>
          <w:szCs w:val="20"/>
          <w:color w:val="auto"/>
        </w:rPr>
      </w:pPr>
      <w:r>
        <w:rPr>
          <w:rFonts w:ascii="Arial" w:cs="Arial" w:eastAsia="Arial" w:hAnsi="Arial"/>
          <w:sz w:val="18"/>
          <w:szCs w:val="18"/>
          <w:color w:val="auto"/>
        </w:rPr>
        <w:t>All fair values are determined by reference to external sources using unadjusted quoted prices in established markets for Genmab’s marketable securities (Level 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Other investments primarily consist of investments in certain strategic investment funds. Genmab’s share of the fair value of these fund investments is determined based on the valuation of the underlying investments included in the fund. Investments in publicly traded equity securities included in these strategic investment funds are valued based at the most recent sale price or official closing price reported on the exchange or over-the-counter market on which they trade, while investments in non-publicly traded equity securities are based on other factors, including but not limited to, type of the security, the size of the holding, the initial cost of the security, the price and extent of public trading in similar securities of the comparable companies, an analysis of the company's or issuer's financial statements and with respect to debt securities, the maturity and creditworthiness. As such, these fund investments have been characterized as Level 3 investments as fair values are based on significant unobservable inputs.</w:t>
      </w:r>
    </w:p>
    <w:p>
      <w:pPr>
        <w:spacing w:after="0" w:line="200" w:lineRule="exact"/>
        <w:rPr>
          <w:sz w:val="20"/>
          <w:szCs w:val="20"/>
          <w:color w:val="auto"/>
        </w:rPr>
      </w:pPr>
    </w:p>
    <w:p>
      <w:pPr>
        <w:spacing w:after="0" w:line="20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There were no transfers into or out of Level 3 during the first half of 2025 or 2024. Acquisitions (capital calls) and fair value changes on Level 3 investments in 2025 and 2024 were as follows:</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18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4080" w:type="dxa"/>
            <w:vAlign w:val="bottom"/>
            <w:tcBorders>
              <w:top w:val="single" w:sz="8" w:color="auto"/>
              <w:bottom w:val="single" w:sz="8" w:color="auto"/>
              <w:right w:val="single" w:sz="8" w:color="auto"/>
            </w:tcBorders>
          </w:tcPr>
          <w:p>
            <w:pPr>
              <w:spacing w:after="0"/>
              <w:rPr>
                <w:sz w:val="23"/>
                <w:szCs w:val="23"/>
                <w:color w:val="auto"/>
              </w:rPr>
            </w:pPr>
          </w:p>
        </w:tc>
      </w:tr>
      <w:tr>
        <w:trPr>
          <w:trHeight w:val="223"/>
        </w:trPr>
        <w:tc>
          <w:tcPr>
            <w:tcW w:w="7180" w:type="dxa"/>
            <w:vAlign w:val="bottom"/>
            <w:tcBorders>
              <w:left w:val="single" w:sz="8" w:color="auto"/>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b w:val="1"/>
                <w:bCs w:val="1"/>
                <w:color w:val="auto"/>
              </w:rPr>
              <w:t>Other Investments</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Fair value at December 31, 2023</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Acquisitions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Fair value changes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Fair value at June 30, 2024</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21</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Acquisitions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Fair value changes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Fair value at December 31, 2024</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25</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Acquisitions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Fair value changes</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23"/>
        </w:trPr>
        <w:tc>
          <w:tcPr>
            <w:tcW w:w="7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Fair value at June 30, 2025</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25</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4.3 and Note 4.4 in the Annual Report for further details regarding Genmab’s marketable securities and other investments.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38/44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1" w:name="page42"/>
    <w:bookmarkEnd w:id="41"/>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6 - Financial Income and Expenses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1"/>
        </w:trPr>
        <w:tc>
          <w:tcPr>
            <w:tcW w:w="5280" w:type="dxa"/>
            <w:vAlign w:val="bottom"/>
          </w:tcPr>
          <w:p>
            <w:pPr>
              <w:spacing w:after="0"/>
              <w:rPr>
                <w:sz w:val="20"/>
                <w:szCs w:val="20"/>
                <w:color w:val="auto"/>
              </w:rPr>
            </w:pPr>
          </w:p>
        </w:tc>
        <w:tc>
          <w:tcPr>
            <w:tcW w:w="940" w:type="dxa"/>
            <w:vAlign w:val="bottom"/>
            <w:tcBorders>
              <w:bottom w:val="single" w:sz="8" w:color="auto"/>
            </w:tcBorders>
            <w:shd w:val="clear" w:color="auto" w:fill="E6E6E6"/>
          </w:tcPr>
          <w:p>
            <w:pPr>
              <w:jc w:val="right"/>
              <w:ind w:right="22"/>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shd w:val="clear" w:color="auto" w:fill="E6E6E6"/>
          </w:tcPr>
          <w:p>
            <w:pPr>
              <w:spacing w:after="0"/>
              <w:rPr>
                <w:sz w:val="20"/>
                <w:szCs w:val="20"/>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shd w:val="clear" w:color="auto" w:fill="E6E6E6"/>
          </w:tcPr>
          <w:p>
            <w:pPr>
              <w:spacing w:after="0"/>
              <w:rPr>
                <w:sz w:val="20"/>
                <w:szCs w:val="20"/>
                <w:color w:val="auto"/>
              </w:rPr>
            </w:pPr>
          </w:p>
        </w:tc>
        <w:tc>
          <w:tcPr>
            <w:tcW w:w="1060" w:type="dxa"/>
            <w:vAlign w:val="bottom"/>
            <w:tcBorders>
              <w:bottom w:val="single" w:sz="8" w:color="auto"/>
            </w:tcBorders>
            <w:shd w:val="clear" w:color="auto" w:fill="E6E6E6"/>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43"/>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Financial income:</w:t>
            </w:r>
          </w:p>
        </w:tc>
        <w:tc>
          <w:tcPr>
            <w:tcW w:w="94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60" w:type="dxa"/>
            <w:vAlign w:val="bottom"/>
            <w:shd w:val="clear" w:color="auto" w:fill="E6E6E6"/>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5280" w:type="dxa"/>
            <w:vAlign w:val="bottom"/>
            <w:vMerge w:val="continue"/>
          </w:tcPr>
          <w:p>
            <w:pPr>
              <w:spacing w:after="0"/>
              <w:rPr>
                <w:sz w:val="24"/>
                <w:szCs w:val="24"/>
                <w:color w:val="auto"/>
              </w:rPr>
            </w:pPr>
          </w:p>
        </w:tc>
        <w:tc>
          <w:tcPr>
            <w:tcW w:w="940" w:type="dxa"/>
            <w:vAlign w:val="bottom"/>
            <w:shd w:val="clear" w:color="auto" w:fill="E7E6E6"/>
          </w:tcPr>
          <w:p>
            <w:pPr>
              <w:spacing w:after="0"/>
              <w:rPr>
                <w:sz w:val="24"/>
                <w:szCs w:val="24"/>
                <w:color w:val="auto"/>
              </w:rPr>
            </w:pPr>
          </w:p>
        </w:tc>
        <w:tc>
          <w:tcPr>
            <w:tcW w:w="420" w:type="dxa"/>
            <w:vAlign w:val="bottom"/>
            <w:shd w:val="clear" w:color="auto" w:fill="E7E6E6"/>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shd w:val="clear" w:color="auto" w:fill="E7E6E6"/>
          </w:tcPr>
          <w:p>
            <w:pPr>
              <w:spacing w:after="0"/>
              <w:rPr>
                <w:sz w:val="24"/>
                <w:szCs w:val="24"/>
                <w:color w:val="auto"/>
              </w:rPr>
            </w:pPr>
          </w:p>
        </w:tc>
        <w:tc>
          <w:tcPr>
            <w:tcW w:w="1060" w:type="dxa"/>
            <w:vAlign w:val="bottom"/>
            <w:shd w:val="clear" w:color="auto" w:fill="E7E6E6"/>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280" w:type="dxa"/>
            <w:vAlign w:val="bottom"/>
          </w:tcPr>
          <w:p>
            <w:pPr>
              <w:spacing w:after="0"/>
              <w:rPr>
                <w:sz w:val="20"/>
                <w:szCs w:val="20"/>
                <w:color w:val="auto"/>
              </w:rPr>
            </w:pPr>
            <w:r>
              <w:rPr>
                <w:rFonts w:ascii="Arial" w:cs="Arial" w:eastAsia="Arial" w:hAnsi="Arial"/>
                <w:sz w:val="16"/>
                <w:szCs w:val="16"/>
                <w:color w:val="auto"/>
              </w:rPr>
              <w:t>Interest and other financial income</w:t>
            </w:r>
          </w:p>
        </w:tc>
        <w:tc>
          <w:tcPr>
            <w:tcW w:w="940" w:type="dxa"/>
            <w:vAlign w:val="bottom"/>
            <w:shd w:val="clear" w:color="auto" w:fill="E7E6E6"/>
          </w:tcPr>
          <w:p>
            <w:pPr>
              <w:jc w:val="right"/>
              <w:ind w:right="76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25</w:t>
            </w:r>
          </w:p>
        </w:tc>
        <w:tc>
          <w:tcPr>
            <w:tcW w:w="110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20"/>
                <w:szCs w:val="20"/>
                <w:color w:val="auto"/>
              </w:rPr>
            </w:pPr>
          </w:p>
        </w:tc>
        <w:tc>
          <w:tcPr>
            <w:tcW w:w="300" w:type="dxa"/>
            <w:vAlign w:val="bottom"/>
            <w:shd w:val="clear" w:color="auto" w:fill="E7E6E6"/>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6"/>
                <w:szCs w:val="16"/>
                <w:color w:val="auto"/>
              </w:rPr>
              <w:t>Gain on marketable securities</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43</w:t>
            </w: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0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69</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6"/>
                <w:szCs w:val="16"/>
                <w:color w:val="auto"/>
              </w:rPr>
              <w:t>Gain on other investments, net</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0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2"/>
        </w:trPr>
        <w:tc>
          <w:tcPr>
            <w:tcW w:w="5280" w:type="dxa"/>
            <w:vAlign w:val="bottom"/>
          </w:tcPr>
          <w:p>
            <w:pPr>
              <w:spacing w:after="0"/>
              <w:rPr>
                <w:sz w:val="20"/>
                <w:szCs w:val="20"/>
                <w:color w:val="auto"/>
              </w:rPr>
            </w:pPr>
            <w:r>
              <w:rPr>
                <w:rFonts w:ascii="Arial" w:cs="Arial" w:eastAsia="Arial" w:hAnsi="Arial"/>
                <w:sz w:val="16"/>
                <w:szCs w:val="16"/>
                <w:color w:val="auto"/>
              </w:rPr>
              <w:t>Foreign exchange rate gain</w:t>
            </w:r>
          </w:p>
        </w:tc>
        <w:tc>
          <w:tcPr>
            <w:tcW w:w="940" w:type="dxa"/>
            <w:vAlign w:val="bottom"/>
            <w:tcBorders>
              <w:bottom w:val="single" w:sz="8" w:color="auto"/>
            </w:tcBorders>
            <w:shd w:val="clear" w:color="auto" w:fill="E7E6E6"/>
          </w:tcPr>
          <w:p>
            <w:pPr>
              <w:spacing w:after="0"/>
              <w:rPr>
                <w:sz w:val="21"/>
                <w:szCs w:val="21"/>
                <w:color w:val="auto"/>
              </w:rPr>
            </w:pPr>
          </w:p>
        </w:tc>
        <w:tc>
          <w:tcPr>
            <w:tcW w:w="4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83</w:t>
            </w:r>
          </w:p>
        </w:tc>
        <w:tc>
          <w:tcPr>
            <w:tcW w:w="1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21"/>
                <w:szCs w:val="21"/>
                <w:color w:val="auto"/>
              </w:rPr>
            </w:pPr>
          </w:p>
        </w:tc>
        <w:tc>
          <w:tcPr>
            <w:tcW w:w="300" w:type="dxa"/>
            <w:vAlign w:val="bottom"/>
            <w:tcBorders>
              <w:bottom w:val="single" w:sz="8" w:color="auto"/>
            </w:tcBorders>
            <w:shd w:val="clear" w:color="auto" w:fill="E7E6E6"/>
          </w:tcPr>
          <w:p>
            <w:pPr>
              <w:spacing w:after="0"/>
              <w:rPr>
                <w:sz w:val="21"/>
                <w:szCs w:val="21"/>
                <w:color w:val="auto"/>
              </w:rPr>
            </w:pPr>
          </w:p>
        </w:tc>
        <w:tc>
          <w:tcPr>
            <w:tcW w:w="10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125</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49"/>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Total financial income</w:t>
            </w:r>
          </w:p>
        </w:tc>
        <w:tc>
          <w:tcPr>
            <w:tcW w:w="940" w:type="dxa"/>
            <w:vAlign w:val="bottom"/>
            <w:shd w:val="clear" w:color="auto" w:fill="E7E6E6"/>
          </w:tcPr>
          <w:p>
            <w:pPr>
              <w:spacing w:after="0"/>
              <w:rPr>
                <w:sz w:val="12"/>
                <w:szCs w:val="12"/>
                <w:color w:val="auto"/>
              </w:rPr>
            </w:pPr>
          </w:p>
        </w:tc>
        <w:tc>
          <w:tcPr>
            <w:tcW w:w="420" w:type="dxa"/>
            <w:vAlign w:val="bottom"/>
            <w:shd w:val="clear" w:color="auto" w:fill="E7E6E6"/>
          </w:tcPr>
          <w:p>
            <w:pPr>
              <w:spacing w:after="0"/>
              <w:rPr>
                <w:sz w:val="12"/>
                <w:szCs w:val="12"/>
                <w:color w:val="auto"/>
              </w:rPr>
            </w:pPr>
          </w:p>
        </w:tc>
        <w:tc>
          <w:tcPr>
            <w:tcW w:w="1100" w:type="dxa"/>
            <w:vAlign w:val="bottom"/>
            <w:vMerge w:val="restart"/>
          </w:tcPr>
          <w:p>
            <w:pPr>
              <w:jc w:val="right"/>
              <w:ind w:right="821"/>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117</w:t>
            </w:r>
          </w:p>
        </w:tc>
        <w:tc>
          <w:tcPr>
            <w:tcW w:w="300" w:type="dxa"/>
            <w:vAlign w:val="bottom"/>
          </w:tcPr>
          <w:p>
            <w:pPr>
              <w:spacing w:after="0"/>
              <w:rPr>
                <w:sz w:val="12"/>
                <w:szCs w:val="12"/>
                <w:color w:val="auto"/>
              </w:rPr>
            </w:pPr>
          </w:p>
        </w:tc>
        <w:tc>
          <w:tcPr>
            <w:tcW w:w="300" w:type="dxa"/>
            <w:vAlign w:val="bottom"/>
            <w:shd w:val="clear" w:color="auto" w:fill="E7E6E6"/>
          </w:tcPr>
          <w:p>
            <w:pPr>
              <w:spacing w:after="0"/>
              <w:rPr>
                <w:sz w:val="12"/>
                <w:szCs w:val="12"/>
                <w:color w:val="auto"/>
              </w:rPr>
            </w:pPr>
          </w:p>
        </w:tc>
        <w:tc>
          <w:tcPr>
            <w:tcW w:w="1060" w:type="dxa"/>
            <w:vAlign w:val="bottom"/>
            <w:shd w:val="clear" w:color="auto" w:fill="E7E6E6"/>
          </w:tcPr>
          <w:p>
            <w:pPr>
              <w:spacing w:after="0"/>
              <w:rPr>
                <w:sz w:val="12"/>
                <w:szCs w:val="12"/>
                <w:color w:val="auto"/>
              </w:rPr>
            </w:pPr>
          </w:p>
        </w:tc>
        <w:tc>
          <w:tcPr>
            <w:tcW w:w="4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284</w:t>
            </w:r>
          </w:p>
        </w:tc>
        <w:tc>
          <w:tcPr>
            <w:tcW w:w="0" w:type="dxa"/>
            <w:vAlign w:val="bottom"/>
          </w:tcPr>
          <w:p>
            <w:pPr>
              <w:spacing w:after="0"/>
              <w:rPr>
                <w:sz w:val="1"/>
                <w:szCs w:val="1"/>
                <w:color w:val="auto"/>
              </w:rPr>
            </w:pPr>
          </w:p>
        </w:tc>
      </w:tr>
      <w:tr>
        <w:trPr>
          <w:trHeight w:val="236"/>
        </w:trPr>
        <w:tc>
          <w:tcPr>
            <w:tcW w:w="5280" w:type="dxa"/>
            <w:vAlign w:val="bottom"/>
            <w:vMerge w:val="continue"/>
          </w:tcPr>
          <w:p>
            <w:pPr>
              <w:spacing w:after="0"/>
              <w:rPr>
                <w:sz w:val="20"/>
                <w:szCs w:val="20"/>
                <w:color w:val="auto"/>
              </w:rPr>
            </w:pPr>
          </w:p>
        </w:tc>
        <w:tc>
          <w:tcPr>
            <w:tcW w:w="940" w:type="dxa"/>
            <w:vAlign w:val="bottom"/>
            <w:tcBorders>
              <w:bottom w:val="single" w:sz="8" w:color="auto"/>
            </w:tcBorders>
            <w:shd w:val="clear" w:color="auto" w:fill="E6E6E6"/>
          </w:tcPr>
          <w:p>
            <w:pPr>
              <w:jc w:val="right"/>
              <w:ind w:right="762"/>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154</w:t>
            </w:r>
          </w:p>
        </w:tc>
        <w:tc>
          <w:tcPr>
            <w:tcW w:w="11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shd w:val="clear" w:color="auto" w:fill="E6E6E6"/>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253</w:t>
            </w:r>
          </w:p>
        </w:tc>
        <w:tc>
          <w:tcPr>
            <w:tcW w:w="4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5280" w:type="dxa"/>
            <w:vAlign w:val="bottom"/>
          </w:tcPr>
          <w:p>
            <w:pPr>
              <w:spacing w:after="0"/>
              <w:rPr>
                <w:sz w:val="20"/>
                <w:szCs w:val="20"/>
                <w:color w:val="auto"/>
              </w:rPr>
            </w:pPr>
            <w:r>
              <w:rPr>
                <w:rFonts w:ascii="Arial" w:cs="Arial" w:eastAsia="Arial" w:hAnsi="Arial"/>
                <w:sz w:val="16"/>
                <w:szCs w:val="16"/>
                <w:b w:val="1"/>
                <w:bCs w:val="1"/>
                <w:color w:val="auto"/>
              </w:rPr>
              <w:t>Financial expenses:</w:t>
            </w:r>
          </w:p>
        </w:tc>
        <w:tc>
          <w:tcPr>
            <w:tcW w:w="940" w:type="dxa"/>
            <w:vAlign w:val="bottom"/>
            <w:shd w:val="clear" w:color="auto" w:fill="E7E6E6"/>
          </w:tcPr>
          <w:p>
            <w:pPr>
              <w:spacing w:after="0"/>
              <w:rPr>
                <w:sz w:val="24"/>
                <w:szCs w:val="24"/>
                <w:color w:val="auto"/>
              </w:rPr>
            </w:pPr>
          </w:p>
        </w:tc>
        <w:tc>
          <w:tcPr>
            <w:tcW w:w="420" w:type="dxa"/>
            <w:vAlign w:val="bottom"/>
            <w:shd w:val="clear" w:color="auto" w:fill="E7E6E6"/>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shd w:val="clear" w:color="auto" w:fill="E7E6E6"/>
          </w:tcPr>
          <w:p>
            <w:pPr>
              <w:spacing w:after="0"/>
              <w:rPr>
                <w:sz w:val="24"/>
                <w:szCs w:val="24"/>
                <w:color w:val="auto"/>
              </w:rPr>
            </w:pPr>
          </w:p>
        </w:tc>
        <w:tc>
          <w:tcPr>
            <w:tcW w:w="1060" w:type="dxa"/>
            <w:vAlign w:val="bottom"/>
            <w:shd w:val="clear" w:color="auto" w:fill="E7E6E6"/>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280" w:type="dxa"/>
            <w:vAlign w:val="bottom"/>
          </w:tcPr>
          <w:p>
            <w:pPr>
              <w:spacing w:after="0"/>
              <w:rPr>
                <w:sz w:val="20"/>
                <w:szCs w:val="20"/>
                <w:color w:val="auto"/>
              </w:rPr>
            </w:pPr>
            <w:r>
              <w:rPr>
                <w:rFonts w:ascii="Arial" w:cs="Arial" w:eastAsia="Arial" w:hAnsi="Arial"/>
                <w:sz w:val="16"/>
                <w:szCs w:val="16"/>
                <w:color w:val="auto"/>
              </w:rPr>
              <w:t>Interest and other financial expenses</w:t>
            </w:r>
          </w:p>
        </w:tc>
        <w:tc>
          <w:tcPr>
            <w:tcW w:w="940" w:type="dxa"/>
            <w:vAlign w:val="bottom"/>
            <w:shd w:val="clear" w:color="auto" w:fill="E7E6E6"/>
          </w:tcPr>
          <w:p>
            <w:pPr>
              <w:jc w:val="right"/>
              <w:ind w:right="76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(9)</w:t>
            </w:r>
          </w:p>
        </w:tc>
        <w:tc>
          <w:tcPr>
            <w:tcW w:w="110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20"/>
                <w:szCs w:val="20"/>
                <w:color w:val="auto"/>
              </w:rPr>
            </w:pPr>
          </w:p>
        </w:tc>
        <w:tc>
          <w:tcPr>
            <w:tcW w:w="300" w:type="dxa"/>
            <w:vAlign w:val="bottom"/>
            <w:shd w:val="clear" w:color="auto" w:fill="E7E6E6"/>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6"/>
                <w:szCs w:val="16"/>
                <w:color w:val="auto"/>
              </w:rPr>
              <w:t>Loss on marketable securities</w:t>
            </w:r>
          </w:p>
        </w:tc>
        <w:tc>
          <w:tcPr>
            <w:tcW w:w="940" w:type="dxa"/>
            <w:vAlign w:val="bottom"/>
            <w:shd w:val="clear" w:color="auto" w:fill="E7E6E6"/>
          </w:tcPr>
          <w:p>
            <w:pPr>
              <w:spacing w:after="0"/>
              <w:rPr>
                <w:sz w:val="21"/>
                <w:szCs w:val="21"/>
                <w:color w:val="auto"/>
              </w:rPr>
            </w:pPr>
          </w:p>
        </w:tc>
        <w:tc>
          <w:tcPr>
            <w:tcW w:w="4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(5)</w:t>
            </w: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21"/>
                <w:szCs w:val="21"/>
                <w:color w:val="auto"/>
              </w:rPr>
            </w:pPr>
          </w:p>
        </w:tc>
        <w:tc>
          <w:tcPr>
            <w:tcW w:w="300" w:type="dxa"/>
            <w:vAlign w:val="bottom"/>
            <w:shd w:val="clear" w:color="auto" w:fill="E7E6E6"/>
          </w:tcPr>
          <w:p>
            <w:pPr>
              <w:spacing w:after="0"/>
              <w:rPr>
                <w:sz w:val="21"/>
                <w:szCs w:val="21"/>
                <w:color w:val="auto"/>
              </w:rPr>
            </w:pPr>
          </w:p>
        </w:tc>
        <w:tc>
          <w:tcPr>
            <w:tcW w:w="1060" w:type="dxa"/>
            <w:vAlign w:val="bottom"/>
            <w:shd w:val="clear" w:color="auto" w:fill="E7E6E6"/>
          </w:tcPr>
          <w:p>
            <w:pPr>
              <w:jc w:val="right"/>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52"/>
        </w:trPr>
        <w:tc>
          <w:tcPr>
            <w:tcW w:w="5280" w:type="dxa"/>
            <w:vAlign w:val="bottom"/>
          </w:tcPr>
          <w:p>
            <w:pPr>
              <w:spacing w:after="0"/>
              <w:rPr>
                <w:sz w:val="20"/>
                <w:szCs w:val="20"/>
                <w:color w:val="auto"/>
              </w:rPr>
            </w:pPr>
            <w:r>
              <w:rPr>
                <w:rFonts w:ascii="Arial" w:cs="Arial" w:eastAsia="Arial" w:hAnsi="Arial"/>
                <w:sz w:val="16"/>
                <w:szCs w:val="16"/>
                <w:color w:val="auto"/>
              </w:rPr>
              <w:t>Foreign exchange rate loss</w:t>
            </w:r>
          </w:p>
        </w:tc>
        <w:tc>
          <w:tcPr>
            <w:tcW w:w="940" w:type="dxa"/>
            <w:vAlign w:val="bottom"/>
            <w:tcBorders>
              <w:bottom w:val="single" w:sz="8" w:color="auto"/>
            </w:tcBorders>
            <w:shd w:val="clear" w:color="auto" w:fill="E7E6E6"/>
          </w:tcPr>
          <w:p>
            <w:pPr>
              <w:spacing w:after="0"/>
              <w:rPr>
                <w:sz w:val="21"/>
                <w:szCs w:val="21"/>
                <w:color w:val="auto"/>
              </w:rPr>
            </w:pPr>
          </w:p>
        </w:tc>
        <w:tc>
          <w:tcPr>
            <w:tcW w:w="42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(77)</w:t>
            </w:r>
          </w:p>
        </w:tc>
        <w:tc>
          <w:tcPr>
            <w:tcW w:w="1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1"/>
                <w:szCs w:val="21"/>
                <w:color w:val="auto"/>
              </w:rPr>
            </w:pPr>
          </w:p>
        </w:tc>
        <w:tc>
          <w:tcPr>
            <w:tcW w:w="300" w:type="dxa"/>
            <w:vAlign w:val="bottom"/>
            <w:tcBorders>
              <w:bottom w:val="single" w:sz="8" w:color="auto"/>
            </w:tcBorders>
            <w:shd w:val="clear" w:color="auto" w:fill="E7E6E6"/>
          </w:tcPr>
          <w:p>
            <w:pPr>
              <w:spacing w:after="0"/>
              <w:rPr>
                <w:sz w:val="21"/>
                <w:szCs w:val="21"/>
                <w:color w:val="auto"/>
              </w:rPr>
            </w:pPr>
          </w:p>
        </w:tc>
        <w:tc>
          <w:tcPr>
            <w:tcW w:w="106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6"/>
                <w:szCs w:val="16"/>
                <w:color w:val="auto"/>
              </w:rPr>
              <w:t>(108)</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48"/>
        </w:trPr>
        <w:tc>
          <w:tcPr>
            <w:tcW w:w="5280" w:type="dxa"/>
            <w:vAlign w:val="bottom"/>
            <w:vMerge w:val="restart"/>
          </w:tcPr>
          <w:p>
            <w:pPr>
              <w:spacing w:after="0"/>
              <w:rPr>
                <w:sz w:val="20"/>
                <w:szCs w:val="20"/>
                <w:color w:val="auto"/>
              </w:rPr>
            </w:pPr>
            <w:r>
              <w:rPr>
                <w:rFonts w:ascii="Arial" w:cs="Arial" w:eastAsia="Arial" w:hAnsi="Arial"/>
                <w:sz w:val="16"/>
                <w:szCs w:val="16"/>
                <w:b w:val="1"/>
                <w:bCs w:val="1"/>
                <w:color w:val="auto"/>
              </w:rPr>
              <w:t>Total financial expenses</w:t>
            </w:r>
          </w:p>
        </w:tc>
        <w:tc>
          <w:tcPr>
            <w:tcW w:w="940" w:type="dxa"/>
            <w:vAlign w:val="bottom"/>
            <w:shd w:val="clear" w:color="auto" w:fill="E7E6E6"/>
          </w:tcPr>
          <w:p>
            <w:pPr>
              <w:spacing w:after="0"/>
              <w:rPr>
                <w:sz w:val="12"/>
                <w:szCs w:val="12"/>
                <w:color w:val="auto"/>
              </w:rPr>
            </w:pPr>
          </w:p>
        </w:tc>
        <w:tc>
          <w:tcPr>
            <w:tcW w:w="420" w:type="dxa"/>
            <w:vAlign w:val="bottom"/>
            <w:shd w:val="clear" w:color="auto" w:fill="E7E6E6"/>
          </w:tcPr>
          <w:p>
            <w:pPr>
              <w:spacing w:after="0"/>
              <w:rPr>
                <w:sz w:val="12"/>
                <w:szCs w:val="12"/>
                <w:color w:val="auto"/>
              </w:rPr>
            </w:pPr>
          </w:p>
        </w:tc>
        <w:tc>
          <w:tcPr>
            <w:tcW w:w="1100" w:type="dxa"/>
            <w:vAlign w:val="bottom"/>
            <w:vMerge w:val="restart"/>
          </w:tcPr>
          <w:p>
            <w:pPr>
              <w:jc w:val="right"/>
              <w:ind w:right="821"/>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w:t>
            </w:r>
          </w:p>
        </w:tc>
        <w:tc>
          <w:tcPr>
            <w:tcW w:w="300" w:type="dxa"/>
            <w:vAlign w:val="bottom"/>
          </w:tcPr>
          <w:p>
            <w:pPr>
              <w:spacing w:after="0"/>
              <w:rPr>
                <w:sz w:val="12"/>
                <w:szCs w:val="12"/>
                <w:color w:val="auto"/>
              </w:rPr>
            </w:pPr>
          </w:p>
        </w:tc>
        <w:tc>
          <w:tcPr>
            <w:tcW w:w="300" w:type="dxa"/>
            <w:vAlign w:val="bottom"/>
            <w:shd w:val="clear" w:color="auto" w:fill="E7E6E6"/>
          </w:tcPr>
          <w:p>
            <w:pPr>
              <w:spacing w:after="0"/>
              <w:rPr>
                <w:sz w:val="12"/>
                <w:szCs w:val="12"/>
                <w:color w:val="auto"/>
              </w:rPr>
            </w:pPr>
          </w:p>
        </w:tc>
        <w:tc>
          <w:tcPr>
            <w:tcW w:w="1060" w:type="dxa"/>
            <w:vAlign w:val="bottom"/>
            <w:shd w:val="clear" w:color="auto" w:fill="E7E6E6"/>
          </w:tcPr>
          <w:p>
            <w:pPr>
              <w:spacing w:after="0"/>
              <w:rPr>
                <w:sz w:val="12"/>
                <w:szCs w:val="12"/>
                <w:color w:val="auto"/>
              </w:rPr>
            </w:pPr>
          </w:p>
        </w:tc>
        <w:tc>
          <w:tcPr>
            <w:tcW w:w="4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r>
        <w:trPr>
          <w:trHeight w:val="239"/>
        </w:trPr>
        <w:tc>
          <w:tcPr>
            <w:tcW w:w="5280" w:type="dxa"/>
            <w:vAlign w:val="bottom"/>
            <w:vMerge w:val="continue"/>
          </w:tcPr>
          <w:p>
            <w:pPr>
              <w:spacing w:after="0"/>
              <w:rPr>
                <w:sz w:val="20"/>
                <w:szCs w:val="20"/>
                <w:color w:val="auto"/>
              </w:rPr>
            </w:pPr>
          </w:p>
        </w:tc>
        <w:tc>
          <w:tcPr>
            <w:tcW w:w="940" w:type="dxa"/>
            <w:vAlign w:val="bottom"/>
            <w:tcBorders>
              <w:bottom w:val="single" w:sz="8" w:color="auto"/>
            </w:tcBorders>
            <w:shd w:val="clear" w:color="auto" w:fill="E6E6E6"/>
          </w:tcPr>
          <w:p>
            <w:pPr>
              <w:jc w:val="right"/>
              <w:ind w:right="762"/>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(91)</w:t>
            </w:r>
          </w:p>
        </w:tc>
        <w:tc>
          <w:tcPr>
            <w:tcW w:w="11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shd w:val="clear" w:color="auto" w:fill="E6E6E6"/>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(134)</w:t>
            </w:r>
          </w:p>
        </w:tc>
        <w:tc>
          <w:tcPr>
            <w:tcW w:w="4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5280" w:type="dxa"/>
            <w:vAlign w:val="bottom"/>
          </w:tcPr>
          <w:p>
            <w:pPr>
              <w:spacing w:after="0"/>
              <w:rPr>
                <w:sz w:val="20"/>
                <w:szCs w:val="20"/>
                <w:color w:val="auto"/>
              </w:rPr>
            </w:pPr>
            <w:r>
              <w:rPr>
                <w:rFonts w:ascii="Arial" w:cs="Arial" w:eastAsia="Arial" w:hAnsi="Arial"/>
                <w:sz w:val="16"/>
                <w:szCs w:val="16"/>
                <w:b w:val="1"/>
                <w:bCs w:val="1"/>
                <w:color w:val="auto"/>
              </w:rPr>
              <w:t>Net financial items</w:t>
            </w:r>
          </w:p>
        </w:tc>
        <w:tc>
          <w:tcPr>
            <w:tcW w:w="940" w:type="dxa"/>
            <w:vAlign w:val="bottom"/>
            <w:tcBorders>
              <w:bottom w:val="single" w:sz="8" w:color="auto"/>
            </w:tcBorders>
            <w:shd w:val="clear" w:color="auto" w:fill="E6E6E6"/>
          </w:tcPr>
          <w:p>
            <w:pPr>
              <w:jc w:val="right"/>
              <w:ind w:right="762"/>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63</w:t>
            </w:r>
          </w:p>
        </w:tc>
        <w:tc>
          <w:tcPr>
            <w:tcW w:w="11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300" w:type="dxa"/>
            <w:vAlign w:val="bottom"/>
          </w:tcPr>
          <w:p>
            <w:pPr>
              <w:spacing w:after="0"/>
              <w:rPr>
                <w:sz w:val="24"/>
                <w:szCs w:val="24"/>
                <w:color w:val="auto"/>
              </w:rPr>
            </w:pPr>
          </w:p>
        </w:tc>
        <w:tc>
          <w:tcPr>
            <w:tcW w:w="300" w:type="dxa"/>
            <w:vAlign w:val="bottom"/>
            <w:tcBorders>
              <w:bottom w:val="single" w:sz="8" w:color="auto"/>
            </w:tcBorders>
            <w:shd w:val="clear" w:color="auto" w:fill="E6E6E6"/>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6"/>
                <w:szCs w:val="16"/>
                <w:b w:val="1"/>
                <w:bCs w:val="1"/>
                <w:color w:val="auto"/>
              </w:rPr>
              <w:t>119</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7 - Share-Based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Program</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Genmab has established an RSU program (equity-settled share-based payment transactions) as an incentive for Genmab’s employees, members of the Executive Management, and members of the Board of Directors. RSUs granted to Executive Management are performance-based (PSUs).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216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37"/>
        </w:trPr>
        <w:tc>
          <w:tcPr>
            <w:tcW w:w="8160" w:type="dxa"/>
            <w:vAlign w:val="bottom"/>
          </w:tcPr>
          <w:p>
            <w:pPr>
              <w:spacing w:after="0"/>
              <w:rPr>
                <w:sz w:val="20"/>
                <w:szCs w:val="20"/>
                <w:color w:val="auto"/>
              </w:rPr>
            </w:pPr>
          </w:p>
        </w:tc>
        <w:tc>
          <w:tcPr>
            <w:tcW w:w="216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20"/>
                <w:szCs w:val="20"/>
                <w:color w:val="auto"/>
              </w:rPr>
            </w:pPr>
          </w:p>
        </w:tc>
      </w:tr>
      <w:tr>
        <w:trPr>
          <w:trHeight w:val="231"/>
        </w:trPr>
        <w:tc>
          <w:tcPr>
            <w:tcW w:w="8160" w:type="dxa"/>
            <w:vAlign w:val="bottom"/>
          </w:tcPr>
          <w:p>
            <w:pPr>
              <w:spacing w:after="0"/>
              <w:rPr>
                <w:sz w:val="20"/>
                <w:szCs w:val="20"/>
                <w:color w:val="auto"/>
              </w:rPr>
            </w:pPr>
          </w:p>
        </w:tc>
        <w:tc>
          <w:tcPr>
            <w:tcW w:w="1480" w:type="dxa"/>
            <w:vAlign w:val="bottom"/>
            <w:tcBorders>
              <w:bottom w:val="single" w:sz="8" w:color="auto"/>
            </w:tcBorders>
            <w:shd w:val="clear" w:color="auto" w:fill="E6E6E6"/>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6"/>
              </w:rPr>
              <w:t>2024</w:t>
            </w:r>
          </w:p>
        </w:tc>
      </w:tr>
      <w:tr>
        <w:trPr>
          <w:trHeight w:val="208"/>
        </w:trPr>
        <w:tc>
          <w:tcPr>
            <w:tcW w:w="8160" w:type="dxa"/>
            <w:vAlign w:val="bottom"/>
          </w:tcPr>
          <w:p>
            <w:pPr>
              <w:spacing w:after="0"/>
              <w:rPr>
                <w:sz w:val="20"/>
                <w:szCs w:val="20"/>
                <w:color w:val="auto"/>
              </w:rPr>
            </w:pPr>
            <w:r>
              <w:rPr>
                <w:rFonts w:ascii="Arial" w:cs="Arial" w:eastAsia="Arial" w:hAnsi="Arial"/>
                <w:sz w:val="14"/>
                <w:szCs w:val="14"/>
                <w:color w:val="auto"/>
              </w:rPr>
              <w:t>RSUs granted</w:t>
            </w:r>
          </w:p>
        </w:tc>
        <w:tc>
          <w:tcPr>
            <w:tcW w:w="1480" w:type="dxa"/>
            <w:vAlign w:val="bottom"/>
            <w:shd w:val="clear" w:color="auto" w:fill="E7E6E6"/>
          </w:tcPr>
          <w:p>
            <w:pPr>
              <w:jc w:val="right"/>
              <w:spacing w:after="0"/>
              <w:rPr>
                <w:sz w:val="20"/>
                <w:szCs w:val="20"/>
                <w:color w:val="auto"/>
              </w:rPr>
            </w:pPr>
            <w:r>
              <w:rPr>
                <w:rFonts w:ascii="Arial" w:cs="Arial" w:eastAsia="Arial" w:hAnsi="Arial"/>
                <w:sz w:val="14"/>
                <w:szCs w:val="14"/>
                <w:color w:val="auto"/>
              </w:rPr>
              <w:t>636,825</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452,485</w:t>
            </w:r>
          </w:p>
        </w:tc>
      </w:tr>
      <w:tr>
        <w:trPr>
          <w:trHeight w:val="230"/>
        </w:trPr>
        <w:tc>
          <w:tcPr>
            <w:tcW w:w="8160" w:type="dxa"/>
            <w:vAlign w:val="bottom"/>
          </w:tcPr>
          <w:p>
            <w:pPr>
              <w:spacing w:after="0"/>
              <w:rPr>
                <w:sz w:val="20"/>
                <w:szCs w:val="20"/>
                <w:color w:val="auto"/>
              </w:rPr>
            </w:pPr>
            <w:r>
              <w:rPr>
                <w:rFonts w:ascii="Arial" w:cs="Arial" w:eastAsia="Arial" w:hAnsi="Arial"/>
                <w:sz w:val="14"/>
                <w:szCs w:val="14"/>
                <w:i w:val="1"/>
                <w:iCs w:val="1"/>
                <w:color w:val="auto"/>
              </w:rPr>
              <w:t>Weighted average fair value per RSU granted (DKK)</w:t>
            </w:r>
          </w:p>
        </w:tc>
        <w:tc>
          <w:tcPr>
            <w:tcW w:w="1480" w:type="dxa"/>
            <w:vAlign w:val="bottom"/>
            <w:shd w:val="clear" w:color="auto" w:fill="E7E6E6"/>
          </w:tcPr>
          <w:p>
            <w:pPr>
              <w:jc w:val="right"/>
              <w:spacing w:after="0"/>
              <w:rPr>
                <w:sz w:val="20"/>
                <w:szCs w:val="20"/>
                <w:color w:val="auto"/>
              </w:rPr>
            </w:pPr>
            <w:r>
              <w:rPr>
                <w:rFonts w:ascii="Arial" w:cs="Arial" w:eastAsia="Arial" w:hAnsi="Arial"/>
                <w:sz w:val="14"/>
                <w:szCs w:val="14"/>
                <w:i w:val="1"/>
                <w:iCs w:val="1"/>
                <w:color w:val="auto"/>
              </w:rPr>
              <w:t>1,601.95</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2,010.05</w:t>
            </w:r>
          </w:p>
        </w:tc>
      </w:tr>
      <w:tr>
        <w:trPr>
          <w:trHeight w:val="393"/>
        </w:trPr>
        <w:tc>
          <w:tcPr>
            <w:tcW w:w="8160" w:type="dxa"/>
            <w:vAlign w:val="bottom"/>
          </w:tcPr>
          <w:p>
            <w:pPr>
              <w:spacing w:after="0"/>
              <w:rPr>
                <w:sz w:val="20"/>
                <w:szCs w:val="20"/>
                <w:color w:val="auto"/>
              </w:rPr>
            </w:pPr>
            <w:r>
              <w:rPr>
                <w:rFonts w:ascii="Arial" w:cs="Arial" w:eastAsia="Arial" w:hAnsi="Arial"/>
                <w:sz w:val="14"/>
                <w:szCs w:val="14"/>
                <w:color w:val="auto"/>
              </w:rPr>
              <w:t>RSUs vested</w:t>
            </w:r>
          </w:p>
        </w:tc>
        <w:tc>
          <w:tcPr>
            <w:tcW w:w="1480" w:type="dxa"/>
            <w:vAlign w:val="bottom"/>
            <w:tcBorders>
              <w:bottom w:val="single" w:sz="8" w:color="E7E6E6"/>
            </w:tcBorders>
            <w:shd w:val="clear" w:color="auto" w:fill="E7E6E6"/>
          </w:tcPr>
          <w:p>
            <w:pPr>
              <w:jc w:val="right"/>
              <w:spacing w:after="0"/>
              <w:rPr>
                <w:sz w:val="20"/>
                <w:szCs w:val="20"/>
                <w:color w:val="auto"/>
              </w:rPr>
            </w:pPr>
            <w:r>
              <w:rPr>
                <w:rFonts w:ascii="Arial" w:cs="Arial" w:eastAsia="Arial" w:hAnsi="Arial"/>
                <w:sz w:val="14"/>
                <w:szCs w:val="14"/>
                <w:color w:val="auto"/>
              </w:rPr>
              <w:t>180,822</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130,579</w:t>
            </w:r>
          </w:p>
        </w:tc>
      </w:tr>
      <w:tr>
        <w:trPr>
          <w:trHeight w:val="20"/>
        </w:trPr>
        <w:tc>
          <w:tcPr>
            <w:tcW w:w="8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4.6 in the Annual Report for details on the RSU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Program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Genmab has established a warrant program (equity-settled share-based payment transactions) as an incentive for all Genmab employees.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39/44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880" w:type="dxa"/>
            <w:vAlign w:val="bottom"/>
          </w:tcPr>
          <w:p>
            <w:pPr>
              <w:spacing w:after="0"/>
              <w:rPr>
                <w:sz w:val="17"/>
                <w:szCs w:val="17"/>
                <w:color w:val="auto"/>
              </w:rPr>
            </w:pPr>
          </w:p>
        </w:tc>
        <w:tc>
          <w:tcPr>
            <w:tcW w:w="2300" w:type="dxa"/>
            <w:vAlign w:val="bottom"/>
            <w:gridSpan w:val="2"/>
          </w:tcPr>
          <w:p>
            <w:pPr>
              <w:jc w:val="center"/>
              <w:ind w:left="865"/>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7"/>
                <w:szCs w:val="17"/>
                <w:color w:val="auto"/>
              </w:rPr>
            </w:pPr>
          </w:p>
        </w:tc>
      </w:tr>
      <w:tr>
        <w:trPr>
          <w:trHeight w:val="237"/>
        </w:trPr>
        <w:tc>
          <w:tcPr>
            <w:tcW w:w="7880" w:type="dxa"/>
            <w:vAlign w:val="bottom"/>
          </w:tcPr>
          <w:p>
            <w:pPr>
              <w:spacing w:after="0"/>
              <w:rPr>
                <w:sz w:val="20"/>
                <w:szCs w:val="20"/>
                <w:color w:val="auto"/>
              </w:rPr>
            </w:pPr>
          </w:p>
        </w:tc>
        <w:tc>
          <w:tcPr>
            <w:tcW w:w="2300" w:type="dxa"/>
            <w:vAlign w:val="bottom"/>
            <w:gridSpan w:val="2"/>
          </w:tcPr>
          <w:p>
            <w:pPr>
              <w:jc w:val="center"/>
              <w:ind w:left="885"/>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20"/>
                <w:szCs w:val="20"/>
                <w:color w:val="auto"/>
              </w:rPr>
            </w:pPr>
          </w:p>
        </w:tc>
      </w:tr>
      <w:tr>
        <w:trPr>
          <w:trHeight w:val="231"/>
        </w:trPr>
        <w:tc>
          <w:tcPr>
            <w:tcW w:w="7880" w:type="dxa"/>
            <w:vAlign w:val="bottom"/>
          </w:tcPr>
          <w:p>
            <w:pPr>
              <w:spacing w:after="0"/>
              <w:rPr>
                <w:sz w:val="20"/>
                <w:szCs w:val="20"/>
                <w:color w:val="auto"/>
              </w:rPr>
            </w:pPr>
          </w:p>
        </w:tc>
        <w:tc>
          <w:tcPr>
            <w:tcW w:w="1580" w:type="dxa"/>
            <w:vAlign w:val="bottom"/>
            <w:tcBorders>
              <w:bottom w:val="single" w:sz="8" w:color="auto"/>
            </w:tcBorders>
            <w:shd w:val="clear" w:color="auto" w:fill="E6E6E6"/>
          </w:tcPr>
          <w:p>
            <w:pPr>
              <w:jc w:val="right"/>
              <w:ind w:right="565"/>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r>
      <w:tr>
        <w:trPr>
          <w:trHeight w:val="210"/>
        </w:trPr>
        <w:tc>
          <w:tcPr>
            <w:tcW w:w="7880" w:type="dxa"/>
            <w:vAlign w:val="bottom"/>
          </w:tcPr>
          <w:p>
            <w:pPr>
              <w:spacing w:after="0"/>
              <w:rPr>
                <w:sz w:val="20"/>
                <w:szCs w:val="20"/>
                <w:color w:val="auto"/>
              </w:rPr>
            </w:pPr>
            <w:r>
              <w:rPr>
                <w:rFonts w:ascii="Arial" w:cs="Arial" w:eastAsia="Arial" w:hAnsi="Arial"/>
                <w:sz w:val="15"/>
                <w:szCs w:val="15"/>
                <w:color w:val="auto"/>
              </w:rPr>
              <w:t>Warrants granted</w:t>
            </w:r>
          </w:p>
        </w:tc>
        <w:tc>
          <w:tcPr>
            <w:tcW w:w="1580" w:type="dxa"/>
            <w:vAlign w:val="bottom"/>
            <w:shd w:val="clear" w:color="auto" w:fill="E7E6E6"/>
          </w:tcPr>
          <w:p>
            <w:pPr>
              <w:jc w:val="right"/>
              <w:ind w:right="45"/>
              <w:spacing w:after="0"/>
              <w:rPr>
                <w:sz w:val="20"/>
                <w:szCs w:val="20"/>
                <w:color w:val="auto"/>
              </w:rPr>
            </w:pPr>
            <w:r>
              <w:rPr>
                <w:rFonts w:ascii="Arial" w:cs="Arial" w:eastAsia="Arial" w:hAnsi="Arial"/>
                <w:sz w:val="15"/>
                <w:szCs w:val="15"/>
                <w:color w:val="auto"/>
              </w:rPr>
              <w:t>530,330</w:t>
            </w:r>
          </w:p>
        </w:tc>
        <w:tc>
          <w:tcPr>
            <w:tcW w:w="72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345,079</w:t>
            </w:r>
          </w:p>
        </w:tc>
      </w:tr>
      <w:tr>
        <w:trPr>
          <w:trHeight w:val="243"/>
        </w:trPr>
        <w:tc>
          <w:tcPr>
            <w:tcW w:w="7880" w:type="dxa"/>
            <w:vAlign w:val="bottom"/>
          </w:tcPr>
          <w:p>
            <w:pPr>
              <w:spacing w:after="0"/>
              <w:rPr>
                <w:sz w:val="20"/>
                <w:szCs w:val="20"/>
                <w:color w:val="auto"/>
              </w:rPr>
            </w:pPr>
            <w:r>
              <w:rPr>
                <w:rFonts w:ascii="Arial" w:cs="Arial" w:eastAsia="Arial" w:hAnsi="Arial"/>
                <w:sz w:val="15"/>
                <w:szCs w:val="15"/>
                <w:i w:val="1"/>
                <w:iCs w:val="1"/>
                <w:color w:val="auto"/>
              </w:rPr>
              <w:t>Weighted average exercise price per warrant granted (DKK)</w:t>
            </w:r>
          </w:p>
        </w:tc>
        <w:tc>
          <w:tcPr>
            <w:tcW w:w="1580" w:type="dxa"/>
            <w:vAlign w:val="bottom"/>
            <w:shd w:val="clear" w:color="auto" w:fill="E7E6E6"/>
          </w:tcPr>
          <w:p>
            <w:pPr>
              <w:jc w:val="right"/>
              <w:ind w:right="125"/>
              <w:spacing w:after="0"/>
              <w:rPr>
                <w:sz w:val="20"/>
                <w:szCs w:val="20"/>
                <w:color w:val="auto"/>
              </w:rPr>
            </w:pPr>
            <w:r>
              <w:rPr>
                <w:rFonts w:ascii="Arial" w:cs="Arial" w:eastAsia="Arial" w:hAnsi="Arial"/>
                <w:sz w:val="15"/>
                <w:szCs w:val="15"/>
                <w:i w:val="1"/>
                <w:iCs w:val="1"/>
                <w:color w:val="auto"/>
              </w:rPr>
              <w:t>1,604.81</w:t>
            </w:r>
          </w:p>
        </w:tc>
        <w:tc>
          <w:tcPr>
            <w:tcW w:w="720" w:type="dxa"/>
            <w:vAlign w:val="bottom"/>
          </w:tcPr>
          <w:p>
            <w:pPr>
              <w:spacing w:after="0"/>
              <w:rPr>
                <w:sz w:val="21"/>
                <w:szCs w:val="21"/>
                <w:color w:val="auto"/>
              </w:rPr>
            </w:pPr>
          </w:p>
        </w:tc>
        <w:tc>
          <w:tcPr>
            <w:tcW w:w="960" w:type="dxa"/>
            <w:vAlign w:val="bottom"/>
          </w:tcPr>
          <w:p>
            <w:pPr>
              <w:jc w:val="right"/>
              <w:ind w:right="124"/>
              <w:spacing w:after="0"/>
              <w:rPr>
                <w:sz w:val="20"/>
                <w:szCs w:val="20"/>
                <w:color w:val="auto"/>
              </w:rPr>
            </w:pPr>
            <w:r>
              <w:rPr>
                <w:rFonts w:ascii="Arial" w:cs="Arial" w:eastAsia="Arial" w:hAnsi="Arial"/>
                <w:sz w:val="15"/>
                <w:szCs w:val="15"/>
                <w:i w:val="1"/>
                <w:iCs w:val="1"/>
                <w:color w:val="auto"/>
              </w:rPr>
              <w:t>2,006.50</w:t>
            </w:r>
          </w:p>
        </w:tc>
      </w:tr>
      <w:tr>
        <w:trPr>
          <w:trHeight w:val="243"/>
        </w:trPr>
        <w:tc>
          <w:tcPr>
            <w:tcW w:w="7880" w:type="dxa"/>
            <w:vAlign w:val="bottom"/>
          </w:tcPr>
          <w:p>
            <w:pPr>
              <w:spacing w:after="0"/>
              <w:rPr>
                <w:sz w:val="20"/>
                <w:szCs w:val="20"/>
                <w:color w:val="auto"/>
              </w:rPr>
            </w:pPr>
            <w:r>
              <w:rPr>
                <w:rFonts w:ascii="Arial" w:cs="Arial" w:eastAsia="Arial" w:hAnsi="Arial"/>
                <w:sz w:val="15"/>
                <w:szCs w:val="15"/>
                <w:i w:val="1"/>
                <w:iCs w:val="1"/>
                <w:color w:val="auto"/>
              </w:rPr>
              <w:t>Weighted average Black-Scholes fair value per warrant granted (DKK)</w:t>
            </w:r>
          </w:p>
        </w:tc>
        <w:tc>
          <w:tcPr>
            <w:tcW w:w="1580" w:type="dxa"/>
            <w:vAlign w:val="bottom"/>
            <w:shd w:val="clear" w:color="auto" w:fill="E7E6E6"/>
          </w:tcPr>
          <w:p>
            <w:pPr>
              <w:jc w:val="right"/>
              <w:ind w:right="125"/>
              <w:spacing w:after="0"/>
              <w:rPr>
                <w:sz w:val="20"/>
                <w:szCs w:val="20"/>
                <w:color w:val="auto"/>
              </w:rPr>
            </w:pPr>
            <w:r>
              <w:rPr>
                <w:rFonts w:ascii="Arial" w:cs="Arial" w:eastAsia="Arial" w:hAnsi="Arial"/>
                <w:sz w:val="15"/>
                <w:szCs w:val="15"/>
                <w:i w:val="1"/>
                <w:iCs w:val="1"/>
                <w:color w:val="auto"/>
              </w:rPr>
              <w:t>500.33</w:t>
            </w:r>
          </w:p>
        </w:tc>
        <w:tc>
          <w:tcPr>
            <w:tcW w:w="720" w:type="dxa"/>
            <w:vAlign w:val="bottom"/>
          </w:tcPr>
          <w:p>
            <w:pPr>
              <w:spacing w:after="0"/>
              <w:rPr>
                <w:sz w:val="21"/>
                <w:szCs w:val="21"/>
                <w:color w:val="auto"/>
              </w:rPr>
            </w:pPr>
          </w:p>
        </w:tc>
        <w:tc>
          <w:tcPr>
            <w:tcW w:w="960" w:type="dxa"/>
            <w:vAlign w:val="bottom"/>
          </w:tcPr>
          <w:p>
            <w:pPr>
              <w:jc w:val="right"/>
              <w:ind w:right="124"/>
              <w:spacing w:after="0"/>
              <w:rPr>
                <w:sz w:val="20"/>
                <w:szCs w:val="20"/>
                <w:color w:val="auto"/>
              </w:rPr>
            </w:pPr>
            <w:r>
              <w:rPr>
                <w:rFonts w:ascii="Arial" w:cs="Arial" w:eastAsia="Arial" w:hAnsi="Arial"/>
                <w:sz w:val="15"/>
                <w:szCs w:val="15"/>
                <w:i w:val="1"/>
                <w:iCs w:val="1"/>
                <w:color w:val="auto"/>
              </w:rPr>
              <w:t>650.72</w:t>
            </w:r>
          </w:p>
        </w:tc>
      </w:tr>
      <w:tr>
        <w:trPr>
          <w:trHeight w:val="445"/>
        </w:trPr>
        <w:tc>
          <w:tcPr>
            <w:tcW w:w="7880" w:type="dxa"/>
            <w:vAlign w:val="bottom"/>
          </w:tcPr>
          <w:p>
            <w:pPr>
              <w:spacing w:after="0"/>
              <w:rPr>
                <w:sz w:val="20"/>
                <w:szCs w:val="20"/>
                <w:color w:val="auto"/>
              </w:rPr>
            </w:pPr>
            <w:r>
              <w:rPr>
                <w:rFonts w:ascii="Arial" w:cs="Arial" w:eastAsia="Arial" w:hAnsi="Arial"/>
                <w:sz w:val="15"/>
                <w:szCs w:val="15"/>
                <w:color w:val="auto"/>
              </w:rPr>
              <w:t>Warrants exercised</w:t>
            </w:r>
          </w:p>
        </w:tc>
        <w:tc>
          <w:tcPr>
            <w:tcW w:w="1580" w:type="dxa"/>
            <w:vAlign w:val="bottom"/>
            <w:shd w:val="clear" w:color="auto" w:fill="E7E6E6"/>
          </w:tcPr>
          <w:p>
            <w:pPr>
              <w:jc w:val="right"/>
              <w:ind w:right="45"/>
              <w:spacing w:after="0"/>
              <w:rPr>
                <w:sz w:val="20"/>
                <w:szCs w:val="20"/>
                <w:color w:val="auto"/>
              </w:rPr>
            </w:pPr>
            <w:r>
              <w:rPr>
                <w:rFonts w:ascii="Arial" w:cs="Arial" w:eastAsia="Arial" w:hAnsi="Arial"/>
                <w:sz w:val="15"/>
                <w:szCs w:val="15"/>
                <w:color w:val="auto"/>
              </w:rPr>
              <w:t>43,921</w:t>
            </w:r>
          </w:p>
        </w:tc>
        <w:tc>
          <w:tcPr>
            <w:tcW w:w="720" w:type="dxa"/>
            <w:vAlign w:val="bottom"/>
          </w:tcPr>
          <w:p>
            <w:pPr>
              <w:spacing w:after="0"/>
              <w:rPr>
                <w:sz w:val="24"/>
                <w:szCs w:val="24"/>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62,374</w:t>
            </w:r>
          </w:p>
        </w:tc>
      </w:tr>
      <w:tr>
        <w:trPr>
          <w:trHeight w:val="256"/>
        </w:trPr>
        <w:tc>
          <w:tcPr>
            <w:tcW w:w="7880" w:type="dxa"/>
            <w:vAlign w:val="bottom"/>
          </w:tcPr>
          <w:p>
            <w:pPr>
              <w:spacing w:after="0"/>
              <w:rPr>
                <w:sz w:val="20"/>
                <w:szCs w:val="20"/>
                <w:color w:val="auto"/>
              </w:rPr>
            </w:pPr>
            <w:r>
              <w:rPr>
                <w:rFonts w:ascii="Arial" w:cs="Arial" w:eastAsia="Arial" w:hAnsi="Arial"/>
                <w:sz w:val="15"/>
                <w:szCs w:val="15"/>
                <w:i w:val="1"/>
                <w:iCs w:val="1"/>
                <w:color w:val="auto"/>
              </w:rPr>
              <w:t>Weighted average exercise price on date of grant per warrant exercised (DKK)</w:t>
            </w:r>
          </w:p>
        </w:tc>
        <w:tc>
          <w:tcPr>
            <w:tcW w:w="1580" w:type="dxa"/>
            <w:vAlign w:val="bottom"/>
            <w:tcBorders>
              <w:bottom w:val="single" w:sz="8" w:color="E7E6E6"/>
            </w:tcBorders>
            <w:shd w:val="clear" w:color="auto" w:fill="E7E6E6"/>
          </w:tcPr>
          <w:p>
            <w:pPr>
              <w:jc w:val="right"/>
              <w:ind w:right="125"/>
              <w:spacing w:after="0"/>
              <w:rPr>
                <w:sz w:val="20"/>
                <w:szCs w:val="20"/>
                <w:color w:val="auto"/>
              </w:rPr>
            </w:pPr>
            <w:r>
              <w:rPr>
                <w:rFonts w:ascii="Arial" w:cs="Arial" w:eastAsia="Arial" w:hAnsi="Arial"/>
                <w:sz w:val="15"/>
                <w:szCs w:val="15"/>
                <w:i w:val="1"/>
                <w:iCs w:val="1"/>
                <w:color w:val="auto"/>
              </w:rPr>
              <w:t>1,057.95</w:t>
            </w:r>
          </w:p>
        </w:tc>
        <w:tc>
          <w:tcPr>
            <w:tcW w:w="720" w:type="dxa"/>
            <w:vAlign w:val="bottom"/>
          </w:tcPr>
          <w:p>
            <w:pPr>
              <w:spacing w:after="0"/>
              <w:rPr>
                <w:sz w:val="22"/>
                <w:szCs w:val="22"/>
                <w:color w:val="auto"/>
              </w:rPr>
            </w:pPr>
          </w:p>
        </w:tc>
        <w:tc>
          <w:tcPr>
            <w:tcW w:w="960" w:type="dxa"/>
            <w:vAlign w:val="bottom"/>
          </w:tcPr>
          <w:p>
            <w:pPr>
              <w:jc w:val="right"/>
              <w:ind w:right="124"/>
              <w:spacing w:after="0"/>
              <w:rPr>
                <w:sz w:val="20"/>
                <w:szCs w:val="20"/>
                <w:color w:val="auto"/>
              </w:rPr>
            </w:pPr>
            <w:r>
              <w:rPr>
                <w:rFonts w:ascii="Arial" w:cs="Arial" w:eastAsia="Arial" w:hAnsi="Arial"/>
                <w:sz w:val="15"/>
                <w:szCs w:val="15"/>
                <w:i w:val="1"/>
                <w:iCs w:val="1"/>
                <w:color w:val="auto"/>
              </w:rPr>
              <w:t>1,208.46</w:t>
            </w:r>
          </w:p>
        </w:tc>
      </w:tr>
      <w:tr>
        <w:trPr>
          <w:trHeight w:val="210"/>
        </w:trPr>
        <w:tc>
          <w:tcPr>
            <w:tcW w:w="7880" w:type="dxa"/>
            <w:vAlign w:val="bottom"/>
          </w:tcPr>
          <w:p>
            <w:pPr>
              <w:spacing w:after="0"/>
              <w:rPr>
                <w:sz w:val="20"/>
                <w:szCs w:val="20"/>
                <w:color w:val="auto"/>
              </w:rPr>
            </w:pPr>
            <w:r>
              <w:rPr>
                <w:rFonts w:ascii="Arial" w:cs="Arial" w:eastAsia="Arial" w:hAnsi="Arial"/>
                <w:sz w:val="15"/>
                <w:szCs w:val="15"/>
                <w:i w:val="1"/>
                <w:iCs w:val="1"/>
                <w:color w:val="auto"/>
              </w:rPr>
              <w:t>% change in share capital - warrants exercised</w:t>
            </w:r>
          </w:p>
        </w:tc>
        <w:tc>
          <w:tcPr>
            <w:tcW w:w="1580" w:type="dxa"/>
            <w:vAlign w:val="bottom"/>
          </w:tcPr>
          <w:p>
            <w:pPr>
              <w:jc w:val="right"/>
              <w:spacing w:after="0"/>
              <w:rPr>
                <w:sz w:val="20"/>
                <w:szCs w:val="20"/>
                <w:color w:val="auto"/>
              </w:rPr>
            </w:pPr>
            <w:r>
              <w:rPr>
                <w:rFonts w:ascii="Arial" w:cs="Arial" w:eastAsia="Arial" w:hAnsi="Arial"/>
                <w:sz w:val="15"/>
                <w:szCs w:val="15"/>
                <w:i w:val="1"/>
                <w:iCs w:val="1"/>
                <w:color w:val="auto"/>
              </w:rPr>
              <w:t>0.07%</w:t>
            </w:r>
          </w:p>
        </w:tc>
        <w:tc>
          <w:tcPr>
            <w:tcW w:w="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i w:val="1"/>
                <w:iCs w:val="1"/>
                <w:color w:val="auto"/>
              </w:rPr>
              <w:t>0.09%</w:t>
            </w:r>
          </w:p>
        </w:tc>
      </w:tr>
      <w:tr>
        <w:trPr>
          <w:trHeight w:val="33"/>
        </w:trPr>
        <w:tc>
          <w:tcPr>
            <w:tcW w:w="78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-316865</wp:posOffset>
            </wp:positionV>
            <wp:extent cx="908685"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908685" cy="30861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4.6 in the Annual Report for details on the warrant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Expense</w:t>
      </w:r>
    </w:p>
    <w:p>
      <w:pPr>
        <w:spacing w:after="0" w:line="27"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Share-based compensation expenses related to Genmab’s RSU and warrant programs for the first six months of 2025 were $58 million compared to $51 million for the first six months of 2024.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Genmab’s Annual General Meeting on March 12, 2025, the Board of Directors was authorized to allow Genmab to acquire treasury shares with a total nominal value of up to 10% of the share capital in the period until and including March 11, 2030. The purchase price for the relevant shares may not deviate by more than 10% from the price quoted on Nasdaq Copenhagen A/S at the time of the acquisition. Such shares may only be acquired to the extent that the Company’s total holding of treasury shares does not at any time exceed a nominal value of 10% of the share capital. The authorization replaced existing previously provided authorizations to purchase treasury shares.</w:t>
      </w:r>
    </w:p>
    <w:p>
      <w:pPr>
        <w:spacing w:after="0" w:line="14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announced on March 25, 2025, Genmab initiated a share buy-back program to reduce capital and to honor our commitments under the RSU program. During the first six months of 2025, Genmab acquired 2,200,000 of its own shares under the program, representing approximately 3.3% of share capital as of December 31, 2024. The total amount incurred to acquire the shares, including directly attributable costs, was $430 million and was recognized as a deduction to shareholders’ equity. These shares are classified as treasury shares and are presented within retained earnings on the Condensed Consolidated Balance Sheets as of June 30, 2025. As of June 30, 2025, 3,763,698 shares were available for repurchase, and 2,651,727 treasury shares were held by Genmab.</w:t>
      </w:r>
    </w:p>
    <w:p>
      <w:pPr>
        <w:spacing w:after="0" w:line="1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announced on February 14, 2024, and March 15, 2024, Genmab initiated two share buy-back programs. The purpose of the share buy-back program announced on February 14, 2024, was to honor Genmab’s commitments under the RSU program. The share buy-back program announced on March 15, 2024, was in support of Genmab’s capital allocation strategy. During the first six months of 2024, Genmab acquired 2,011,853 of its own shares, under both programs, representing approximately 3.0% of share capital as of December 31, 2023. The total amount incurred to acquire the shares, including directly attributable costs, was $560 million and was recognized as a deduction to shareholders’ equity.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Reduction</w:t>
      </w:r>
    </w:p>
    <w:p>
      <w:pPr>
        <w:spacing w:after="0" w:line="14"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At the Genmab’s Annual General Meeting on March 12, 2025, the decision was made to reduce the share capital with nominally DKK 2,076,853 by cancellation of 2,076,853 of the Company’s holding of shares with 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40/44</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1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nominal value of DKK 1 each. The decision was approved on April 10, 2025 by the board of directors and was consequently registered with the Danish Business Authority.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8 - Related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Genmab’s related parties are its Board of Directors, Executive Management, and close members of the family of these persons.</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Genmab has not granted any loans, guarantees or other commitments to or on behalf of any of the members of the Board of Directors or members of the Executive Management.</w:t>
      </w:r>
    </w:p>
    <w:p>
      <w:pPr>
        <w:spacing w:after="0" w:line="12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Other than the similar remuneration relating to the Board of Directors and the Executive Management described in Note 5.1 in the Annual Report, there were no material related party transactions during the first six months of 2025.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the Executive Management and the Board of Directors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Following Genmab’s Annual General Meeting on March 12, 2025, the Board of Directors is comprised of five independent board members, one non-independent board member, and three employee-elected board members. Deirdre P. Connelly (Chair), Pernille Erenbjerg (Deputy Chair), Rolf Hoffmann, Elizabeth O’Farrell, Paolo Paoletti and Anders Gersel Pedersen were re-elected to the Board of Directors for a one-year period. Mijke Zachariasse, Martin Schultz and Michael Kavanagh were elected as employee-elected board members and will serve for a three-year period expiring in 2028.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9 -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the Condensed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Condensed Consolidated Balance Sheets show the following amounts relating to leases: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8380" w:type="dxa"/>
            <w:vAlign w:val="bottom"/>
          </w:tcPr>
          <w:p>
            <w:pPr>
              <w:spacing w:after="0"/>
              <w:rPr>
                <w:sz w:val="19"/>
                <w:szCs w:val="19"/>
                <w:color w:val="auto"/>
              </w:rPr>
            </w:pPr>
          </w:p>
        </w:tc>
        <w:tc>
          <w:tcPr>
            <w:tcW w:w="560" w:type="dxa"/>
            <w:vAlign w:val="bottom"/>
            <w:shd w:val="clear" w:color="auto" w:fill="E6E6E6"/>
          </w:tcPr>
          <w:p>
            <w:pPr>
              <w:spacing w:after="0"/>
              <w:rPr>
                <w:sz w:val="19"/>
                <w:szCs w:val="19"/>
                <w:color w:val="auto"/>
              </w:rPr>
            </w:pPr>
          </w:p>
        </w:tc>
        <w:tc>
          <w:tcPr>
            <w:tcW w:w="800" w:type="dxa"/>
            <w:vAlign w:val="bottom"/>
            <w:shd w:val="clear" w:color="auto" w:fill="E6E6E6"/>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55"/>
        </w:trPr>
        <w:tc>
          <w:tcPr>
            <w:tcW w:w="8380" w:type="dxa"/>
            <w:vAlign w:val="bottom"/>
          </w:tcPr>
          <w:p>
            <w:pPr>
              <w:spacing w:after="0"/>
              <w:rPr>
                <w:sz w:val="22"/>
                <w:szCs w:val="22"/>
                <w:color w:val="auto"/>
              </w:rPr>
            </w:pPr>
          </w:p>
        </w:tc>
        <w:tc>
          <w:tcPr>
            <w:tcW w:w="1360" w:type="dxa"/>
            <w:vAlign w:val="bottom"/>
            <w:tcBorders>
              <w:bottom w:val="single" w:sz="8" w:color="auto"/>
            </w:tcBorders>
            <w:gridSpan w:val="2"/>
            <w:shd w:val="clear" w:color="auto" w:fill="E6E6E6"/>
          </w:tcPr>
          <w:p>
            <w:pPr>
              <w:jc w:val="right"/>
              <w:ind w:right="10"/>
              <w:spacing w:after="0"/>
              <w:rPr>
                <w:sz w:val="20"/>
                <w:szCs w:val="20"/>
                <w:color w:val="auto"/>
              </w:rPr>
            </w:pPr>
            <w:r>
              <w:rPr>
                <w:rFonts w:ascii="Arial" w:cs="Arial" w:eastAsia="Arial" w:hAnsi="Arial"/>
                <w:sz w:val="18"/>
                <w:szCs w:val="18"/>
                <w:b w:val="1"/>
                <w:bCs w:val="1"/>
                <w:color w:val="auto"/>
              </w:rPr>
              <w:t>June 30, 2025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511"/>
        </w:trPr>
        <w:tc>
          <w:tcPr>
            <w:tcW w:w="8380" w:type="dxa"/>
            <w:vAlign w:val="bottom"/>
          </w:tcPr>
          <w:p>
            <w:pPr>
              <w:spacing w:after="0"/>
              <w:rPr>
                <w:sz w:val="20"/>
                <w:szCs w:val="20"/>
                <w:color w:val="auto"/>
              </w:rPr>
            </w:pPr>
            <w:r>
              <w:rPr>
                <w:rFonts w:ascii="Arial" w:cs="Arial" w:eastAsia="Arial" w:hAnsi="Arial"/>
                <w:sz w:val="18"/>
                <w:szCs w:val="18"/>
                <w:b w:val="1"/>
                <w:bCs w:val="1"/>
                <w:color w:val="auto"/>
              </w:rPr>
              <w:t>Right-of-use assets</w:t>
            </w:r>
          </w:p>
        </w:tc>
        <w:tc>
          <w:tcPr>
            <w:tcW w:w="5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5"/>
        </w:trPr>
        <w:tc>
          <w:tcPr>
            <w:tcW w:w="8380" w:type="dxa"/>
            <w:vAlign w:val="bottom"/>
          </w:tcPr>
          <w:p>
            <w:pPr>
              <w:spacing w:after="0"/>
              <w:rPr>
                <w:sz w:val="20"/>
                <w:szCs w:val="20"/>
                <w:color w:val="auto"/>
              </w:rPr>
            </w:pPr>
            <w:r>
              <w:rPr>
                <w:rFonts w:ascii="Arial" w:cs="Arial" w:eastAsia="Arial" w:hAnsi="Arial"/>
                <w:sz w:val="18"/>
                <w:szCs w:val="18"/>
                <w:color w:val="auto"/>
              </w:rPr>
              <w:t>Properties</w:t>
            </w:r>
          </w:p>
        </w:tc>
        <w:tc>
          <w:tcPr>
            <w:tcW w:w="560" w:type="dxa"/>
            <w:vAlign w:val="bottom"/>
            <w:tcBorders>
              <w:bottom w:val="single" w:sz="8" w:color="E6E6E6"/>
            </w:tcBorders>
            <w:shd w:val="clear" w:color="auto" w:fill="E6E6E6"/>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514"/>
        </w:trPr>
        <w:tc>
          <w:tcPr>
            <w:tcW w:w="8380" w:type="dxa"/>
            <w:vAlign w:val="bottom"/>
          </w:tcPr>
          <w:p>
            <w:pPr>
              <w:spacing w:after="0"/>
              <w:rPr>
                <w:sz w:val="20"/>
                <w:szCs w:val="20"/>
                <w:color w:val="auto"/>
              </w:rPr>
            </w:pPr>
            <w:r>
              <w:rPr>
                <w:rFonts w:ascii="Arial" w:cs="Arial" w:eastAsia="Arial" w:hAnsi="Arial"/>
                <w:sz w:val="18"/>
                <w:szCs w:val="18"/>
                <w:b w:val="1"/>
                <w:bCs w:val="1"/>
                <w:color w:val="auto"/>
              </w:rPr>
              <w:t>Total right-of-use assets</w:t>
            </w:r>
          </w:p>
        </w:tc>
        <w:tc>
          <w:tcPr>
            <w:tcW w:w="560" w:type="dxa"/>
            <w:vAlign w:val="bottom"/>
            <w:tcBorders>
              <w:top w:val="single" w:sz="8" w:color="auto"/>
              <w:bottom w:val="single" w:sz="8" w:color="auto"/>
            </w:tcBorders>
            <w:shd w:val="clear" w:color="auto" w:fill="E6E6E6"/>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r>
      <w:tr>
        <w:trPr>
          <w:trHeight w:val="511"/>
        </w:trPr>
        <w:tc>
          <w:tcPr>
            <w:tcW w:w="838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56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8380" w:type="dxa"/>
            <w:vAlign w:val="bottom"/>
          </w:tcPr>
          <w:p>
            <w:pPr>
              <w:spacing w:after="0"/>
              <w:rPr>
                <w:sz w:val="20"/>
                <w:szCs w:val="20"/>
                <w:color w:val="auto"/>
              </w:rPr>
            </w:pPr>
            <w:r>
              <w:rPr>
                <w:rFonts w:ascii="Arial" w:cs="Arial" w:eastAsia="Arial" w:hAnsi="Arial"/>
                <w:sz w:val="18"/>
                <w:szCs w:val="18"/>
                <w:color w:val="auto"/>
              </w:rPr>
              <w:t>Current</w:t>
            </w:r>
          </w:p>
        </w:tc>
        <w:tc>
          <w:tcPr>
            <w:tcW w:w="560" w:type="dxa"/>
            <w:vAlign w:val="bottom"/>
            <w:shd w:val="clear" w:color="auto" w:fill="E6E6E6"/>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3"/>
        </w:trPr>
        <w:tc>
          <w:tcPr>
            <w:tcW w:w="8380" w:type="dxa"/>
            <w:vAlign w:val="bottom"/>
          </w:tcPr>
          <w:p>
            <w:pPr>
              <w:spacing w:after="0"/>
              <w:rPr>
                <w:sz w:val="20"/>
                <w:szCs w:val="20"/>
                <w:color w:val="auto"/>
              </w:rPr>
            </w:pPr>
            <w:r>
              <w:rPr>
                <w:rFonts w:ascii="Arial" w:cs="Arial" w:eastAsia="Arial" w:hAnsi="Arial"/>
                <w:sz w:val="18"/>
                <w:szCs w:val="18"/>
                <w:color w:val="auto"/>
              </w:rPr>
              <w:t>Non-current</w:t>
            </w:r>
          </w:p>
        </w:tc>
        <w:tc>
          <w:tcPr>
            <w:tcW w:w="56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513"/>
        </w:trPr>
        <w:tc>
          <w:tcPr>
            <w:tcW w:w="838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560" w:type="dxa"/>
            <w:vAlign w:val="bottom"/>
            <w:tcBorders>
              <w:top w:val="single" w:sz="8" w:color="auto"/>
              <w:bottom w:val="single" w:sz="8" w:color="auto"/>
            </w:tcBorders>
            <w:shd w:val="clear" w:color="auto" w:fill="E6E6E6"/>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r>
    </w:tbl>
    <w:p>
      <w:pPr>
        <w:spacing w:after="0" w:line="2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first six months of 2025, there were no material additions to Genmab’s right-of-use assets and lease liabilities. During the first six months of 2024, there were additions to Genmab’s right-of-use assets and lease liabilities related to the commencement of leases in the U.S. with respect to office and laboratory space and in Japan with respect to office space.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26"/>
        </w:trPr>
        <w:tc>
          <w:tcPr>
            <w:tcW w:w="2600" w:type="dxa"/>
            <w:vAlign w:val="bottom"/>
          </w:tcPr>
          <w:p>
            <w:pPr>
              <w:ind w:left="20"/>
              <w:spacing w:after="0" w:line="126" w:lineRule="exact"/>
              <w:rPr>
                <w:sz w:val="20"/>
                <w:szCs w:val="20"/>
                <w:color w:val="auto"/>
              </w:rPr>
            </w:pPr>
            <w:r>
              <w:rPr>
                <w:rFonts w:ascii="Arial" w:cs="Arial" w:eastAsia="Arial" w:hAnsi="Arial"/>
                <w:sz w:val="14"/>
                <w:szCs w:val="14"/>
                <w:color w:val="auto"/>
              </w:rPr>
              <w:t>Carl Jacobsens Vej 30</w:t>
            </w:r>
          </w:p>
        </w:tc>
        <w:tc>
          <w:tcPr>
            <w:tcW w:w="442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Page 41/44</w:t>
            </w:r>
          </w:p>
        </w:tc>
        <w:tc>
          <w:tcPr>
            <w:tcW w:w="0" w:type="dxa"/>
            <w:vAlign w:val="bottom"/>
          </w:tcPr>
          <w:p>
            <w:pPr>
              <w:spacing w:after="0"/>
              <w:rPr>
                <w:sz w:val="1"/>
                <w:szCs w:val="1"/>
                <w:color w:val="auto"/>
              </w:rPr>
            </w:pPr>
          </w:p>
        </w:tc>
      </w:tr>
      <w:tr>
        <w:trPr>
          <w:trHeight w:val="68"/>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vMerge w:val="continue"/>
          </w:tcPr>
          <w:p>
            <w:pPr>
              <w:spacing w:after="0"/>
              <w:rPr>
                <w:sz w:val="5"/>
                <w:szCs w:val="5"/>
                <w:color w:val="auto"/>
              </w:rPr>
            </w:pPr>
          </w:p>
        </w:tc>
        <w:tc>
          <w:tcPr>
            <w:tcW w:w="4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600" w:type="dxa"/>
            <w:vAlign w:val="bottom"/>
            <w:vMerge w:val="continue"/>
          </w:tcPr>
          <w:p>
            <w:pPr>
              <w:spacing w:after="0"/>
              <w:rPr>
                <w:sz w:val="10"/>
                <w:szCs w:val="10"/>
                <w:color w:val="auto"/>
              </w:rPr>
            </w:pPr>
          </w:p>
        </w:tc>
        <w:tc>
          <w:tcPr>
            <w:tcW w:w="4420" w:type="dxa"/>
            <w:vAlign w:val="bottom"/>
          </w:tcPr>
          <w:p>
            <w:pPr>
              <w:spacing w:after="0"/>
              <w:rPr>
                <w:sz w:val="10"/>
                <w:szCs w:val="10"/>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4420" w:type="dxa"/>
            <w:vAlign w:val="bottom"/>
          </w:tcPr>
          <w:p>
            <w:pPr>
              <w:spacing w:after="0"/>
              <w:rPr>
                <w:sz w:val="5"/>
                <w:szCs w:val="5"/>
                <w:color w:val="auto"/>
              </w:rPr>
            </w:pPr>
          </w:p>
        </w:tc>
        <w:tc>
          <w:tcPr>
            <w:tcW w:w="4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the Condensed Consolidated Statements of Comprehensive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Condensed Consolidated Statements of Comprehensive Income show the following amounts relating to leases: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580" w:type="dxa"/>
            <w:vAlign w:val="bottom"/>
          </w:tcPr>
          <w:p>
            <w:pPr>
              <w:spacing w:after="0"/>
              <w:rPr>
                <w:sz w:val="21"/>
                <w:szCs w:val="21"/>
                <w:color w:val="auto"/>
              </w:rPr>
            </w:pPr>
          </w:p>
        </w:tc>
        <w:tc>
          <w:tcPr>
            <w:tcW w:w="298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1"/>
                <w:szCs w:val="21"/>
                <w:color w:val="auto"/>
              </w:rPr>
            </w:pPr>
          </w:p>
        </w:tc>
        <w:tc>
          <w:tcPr>
            <w:tcW w:w="25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9"/>
        </w:trPr>
        <w:tc>
          <w:tcPr>
            <w:tcW w:w="5580" w:type="dxa"/>
            <w:vAlign w:val="bottom"/>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shd w:val="clear" w:color="auto" w:fill="E6E6E6"/>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360" w:type="dxa"/>
            <w:vAlign w:val="bottom"/>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498"/>
        </w:trPr>
        <w:tc>
          <w:tcPr>
            <w:tcW w:w="5580" w:type="dxa"/>
            <w:vAlign w:val="bottom"/>
          </w:tcPr>
          <w:p>
            <w:pPr>
              <w:spacing w:after="0"/>
              <w:rPr>
                <w:sz w:val="20"/>
                <w:szCs w:val="20"/>
                <w:color w:val="auto"/>
              </w:rPr>
            </w:pPr>
            <w:r>
              <w:rPr>
                <w:rFonts w:ascii="Arial" w:cs="Arial" w:eastAsia="Arial" w:hAnsi="Arial"/>
                <w:sz w:val="18"/>
                <w:szCs w:val="18"/>
                <w:b w:val="1"/>
                <w:bCs w:val="1"/>
                <w:color w:val="auto"/>
              </w:rPr>
              <w:t>Depreciation charge of right-of-use assets</w:t>
            </w:r>
          </w:p>
        </w:tc>
        <w:tc>
          <w:tcPr>
            <w:tcW w:w="260" w:type="dxa"/>
            <w:vAlign w:val="bottom"/>
            <w:shd w:val="clear" w:color="auto" w:fill="E6E6E6"/>
          </w:tcPr>
          <w:p>
            <w:pPr>
              <w:spacing w:after="0"/>
              <w:rPr>
                <w:sz w:val="24"/>
                <w:szCs w:val="24"/>
                <w:color w:val="auto"/>
              </w:rPr>
            </w:pPr>
          </w:p>
        </w:tc>
        <w:tc>
          <w:tcPr>
            <w:tcW w:w="980" w:type="dxa"/>
            <w:vAlign w:val="bottom"/>
            <w:shd w:val="clear" w:color="auto" w:fill="E6E6E6"/>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580" w:type="dxa"/>
            <w:vAlign w:val="bottom"/>
          </w:tcPr>
          <w:p>
            <w:pPr>
              <w:spacing w:after="0"/>
              <w:rPr>
                <w:sz w:val="20"/>
                <w:szCs w:val="20"/>
                <w:color w:val="auto"/>
              </w:rPr>
            </w:pPr>
            <w:r>
              <w:rPr>
                <w:rFonts w:ascii="Arial" w:cs="Arial" w:eastAsia="Arial" w:hAnsi="Arial"/>
                <w:sz w:val="18"/>
                <w:szCs w:val="18"/>
                <w:color w:val="auto"/>
              </w:rPr>
              <w:t>Properties</w:t>
            </w:r>
          </w:p>
        </w:tc>
        <w:tc>
          <w:tcPr>
            <w:tcW w:w="26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3"/>
                <w:szCs w:val="23"/>
                <w:color w:val="auto"/>
              </w:rPr>
            </w:pP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2"/>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depreciation charge of right-of-use assets</w:t>
            </w:r>
          </w:p>
        </w:tc>
        <w:tc>
          <w:tcPr>
            <w:tcW w:w="260" w:type="dxa"/>
            <w:vAlign w:val="bottom"/>
            <w:tcBorders>
              <w:bottom w:val="single" w:sz="8" w:color="auto"/>
            </w:tcBorders>
            <w:shd w:val="clear" w:color="auto" w:fill="E7E6E6"/>
          </w:tcPr>
          <w:p>
            <w:pPr>
              <w:spacing w:after="0"/>
              <w:rPr>
                <w:sz w:val="14"/>
                <w:szCs w:val="14"/>
                <w:color w:val="auto"/>
              </w:rPr>
            </w:pPr>
          </w:p>
        </w:tc>
        <w:tc>
          <w:tcPr>
            <w:tcW w:w="980" w:type="dxa"/>
            <w:vAlign w:val="bottom"/>
            <w:tcBorders>
              <w:bottom w:val="single" w:sz="8" w:color="auto"/>
            </w:tcBorders>
            <w:shd w:val="clear" w:color="auto" w:fill="E7E6E6"/>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shd w:val="clear" w:color="auto" w:fill="E7E6E6"/>
          </w:tcPr>
          <w:p>
            <w:pPr>
              <w:spacing w:after="0"/>
              <w:rPr>
                <w:sz w:val="14"/>
                <w:szCs w:val="14"/>
                <w:color w:val="auto"/>
              </w:rPr>
            </w:pPr>
          </w:p>
        </w:tc>
        <w:tc>
          <w:tcPr>
            <w:tcW w:w="1120" w:type="dxa"/>
            <w:vAlign w:val="bottom"/>
            <w:tcBorders>
              <w:bottom w:val="single" w:sz="8" w:color="auto"/>
            </w:tcBorders>
            <w:shd w:val="clear" w:color="auto" w:fill="E7E6E6"/>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580" w:type="dxa"/>
            <w:vAlign w:val="bottom"/>
            <w:vMerge w:val="continue"/>
          </w:tcPr>
          <w:p>
            <w:pPr>
              <w:spacing w:after="0"/>
              <w:rPr>
                <w:sz w:val="22"/>
                <w:szCs w:val="22"/>
                <w:color w:val="auto"/>
              </w:rPr>
            </w:pPr>
          </w:p>
        </w:tc>
        <w:tc>
          <w:tcPr>
            <w:tcW w:w="260" w:type="dxa"/>
            <w:vAlign w:val="bottom"/>
            <w:shd w:val="clear" w:color="auto" w:fill="E7E6E6"/>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7E6E6"/>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22"/>
                <w:szCs w:val="22"/>
                <w:color w:val="auto"/>
              </w:rPr>
            </w:pPr>
          </w:p>
        </w:tc>
        <w:tc>
          <w:tcPr>
            <w:tcW w:w="140" w:type="dxa"/>
            <w:vAlign w:val="bottom"/>
            <w:shd w:val="clear" w:color="auto" w:fill="E7E6E6"/>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E7E6E6"/>
          </w:tcPr>
          <w:p>
            <w:pPr>
              <w:jc w:val="right"/>
              <w:spacing w:after="0"/>
              <w:rPr>
                <w:sz w:val="20"/>
                <w:szCs w:val="20"/>
                <w:color w:val="auto"/>
              </w:rPr>
            </w:pPr>
            <w:r>
              <w:rPr>
                <w:rFonts w:ascii="Arial" w:cs="Arial" w:eastAsia="Arial" w:hAnsi="Arial"/>
                <w:sz w:val="18"/>
                <w:szCs w:val="18"/>
                <w:b w:val="1"/>
                <w:bCs w:val="1"/>
                <w:color w:val="auto"/>
              </w:rPr>
              <w:t>8</w:t>
            </w:r>
          </w:p>
        </w:tc>
        <w:tc>
          <w:tcPr>
            <w:tcW w:w="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payments, short-term lease expense, lease interest expense and low-value leases are not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10 -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Chugai Patent Infringement Complaint</w:t>
      </w:r>
    </w:p>
    <w:p>
      <w:pPr>
        <w:spacing w:after="0" w:line="2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In 2024, Chugai filed a lawsuit in the Tokyo District Court, Japan against AbbVie’s and Genmab’s subsidiaries in Japan asserting that their activities with EPKINLY (epcoritamab) in Japan infringe two Japanese patents held by Chugai, JP6278598 and JP6773929. Chugai is claiming damages and injunctive relief.</w:t>
      </w:r>
    </w:p>
    <w:p>
      <w:pPr>
        <w:spacing w:after="0" w:line="13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Genmab and AbbVie believe that the two Japanese patents are invalid and not infringed and are vigorously defending against the lawsuit, and thus no provision has been recorded related to this matter.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Rina-S Trade Secret Complaint</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first quarter of 2025, AbbVie filed a complaint in the U.S. District Court for the Western District of Washington (Seattle) naming Genmab A/S; ProfoundBio US Co.; ProfoundBio (Suzhou) Co., Ltd.; and former AbbVie employees as defendants. AbbVie alleges that the defendants have misappropriated AbbVie’s alleged trade secrets relating to the use of disaccharides to improve the hydrophilicity of drug-linkers in ADCs in connection with Rina-S and other ADC pipeline products of ProfoundBio. AbbVie is seeking damages and broad injunctive reliefs. AbbVie is not asserting or enforcing any patent rights against the defendants, and to Genmab’s knowledge, AbbVie has not pursued any development of products incorporating their alleged trade secrets.</w:t>
      </w:r>
    </w:p>
    <w:p>
      <w:pPr>
        <w:spacing w:after="0" w:line="15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Genmab categorically refutes these allegations and will vigorously defend the company against AbbVie’s claims, and thus no provision has been recorded related to this matter.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29C93"/>
        </w:rPr>
        <w:t>Note 11 - Subsequent Events to the Balance Sheet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events have occurred subsequent to the balance sheet date that could significantly affect the financial statements as of June 30, 2025.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42/44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ABOUT GENMAB</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i w:val="1"/>
          <w:iCs w:val="1"/>
          <w:color w:val="auto"/>
        </w:rPr>
        <w:t>Genmab is an international biotechnology company with a core purpose of guiding its unstoppable team to strive toward improving the lives of patients with innovative and differentiated antibody therapeutics. For more than 25 years, its passionate, innovative and collaborative team has invented next-generation antibody technology platforms and leveraged translational, quantitative and data sciences, resulting in a proprietary pipeline including bispecific T-cell engagers, antibody-drug conjugates, next-generation immune checkpoint modulators and effector function-enhanced antibodies. By 2030, Genmab’s vision is to transform the lives of people with cancer and other serious diseases with knock-your-socks-off (KYSO) antibody medicines</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w:t>
      </w:r>
    </w:p>
    <w:p>
      <w:pPr>
        <w:spacing w:after="0" w:line="89" w:lineRule="exact"/>
        <w:rPr>
          <w:sz w:val="20"/>
          <w:szCs w:val="20"/>
          <w:color w:val="auto"/>
        </w:rPr>
      </w:pPr>
    </w:p>
    <w:p>
      <w:pPr>
        <w:ind w:right="260"/>
        <w:spacing w:after="0" w:line="302" w:lineRule="auto"/>
        <w:rPr>
          <w:sz w:val="20"/>
          <w:szCs w:val="20"/>
          <w:color w:val="auto"/>
        </w:rPr>
      </w:pPr>
      <w:r>
        <w:rPr>
          <w:rFonts w:ascii="Arial" w:cs="Arial" w:eastAsia="Arial" w:hAnsi="Arial"/>
          <w:sz w:val="14"/>
          <w:szCs w:val="14"/>
          <w:i w:val="1"/>
          <w:iCs w:val="1"/>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4"/>
          <w:szCs w:val="14"/>
          <w:i w:val="1"/>
          <w:iCs w:val="1"/>
          <w:color w:val="029C93"/>
        </w:rPr>
        <w:t>Genmab.com</w:t>
      </w:r>
      <w:r>
        <w:rPr>
          <w:rFonts w:ascii="Arial" w:cs="Arial" w:eastAsia="Arial" w:hAnsi="Arial"/>
          <w:sz w:val="14"/>
          <w:szCs w:val="14"/>
          <w:i w:val="1"/>
          <w:iCs w:val="1"/>
          <w:color w:val="auto"/>
        </w:rPr>
        <w:t xml:space="preserve"> and follow us on </w:t>
      </w:r>
      <w:r>
        <w:rPr>
          <w:rFonts w:ascii="Arial" w:cs="Arial" w:eastAsia="Arial" w:hAnsi="Arial"/>
          <w:sz w:val="14"/>
          <w:szCs w:val="14"/>
          <w:i w:val="1"/>
          <w:iCs w:val="1"/>
          <w:color w:val="029C93"/>
        </w:rPr>
        <w:t>LinkedIn</w:t>
      </w:r>
      <w:r>
        <w:rPr>
          <w:rFonts w:ascii="Arial" w:cs="Arial" w:eastAsia="Arial" w:hAnsi="Arial"/>
          <w:sz w:val="14"/>
          <w:szCs w:val="14"/>
          <w:i w:val="1"/>
          <w:iCs w:val="1"/>
          <w:color w:val="auto"/>
        </w:rPr>
        <w:t xml:space="preserve"> and </w:t>
      </w:r>
      <w:r>
        <w:rPr>
          <w:rFonts w:ascii="Arial" w:cs="Arial" w:eastAsia="Arial" w:hAnsi="Arial"/>
          <w:sz w:val="14"/>
          <w:szCs w:val="14"/>
          <w:i w:val="1"/>
          <w:iCs w:val="1"/>
          <w:color w:val="029C93"/>
        </w:rPr>
        <w:t>X</w:t>
      </w:r>
      <w:r>
        <w:rPr>
          <w:rFonts w:ascii="Arial" w:cs="Arial" w:eastAsia="Arial" w:hAnsi="Arial"/>
          <w:sz w:val="14"/>
          <w:szCs w:val="14"/>
          <w:i w:val="1"/>
          <w:iCs w:val="1"/>
          <w:color w:val="auto"/>
        </w:rPr>
        <w:t>.</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4"/>
          <w:szCs w:val="14"/>
          <w:i w:val="1"/>
          <w:iCs w:val="1"/>
          <w:color w:val="auto"/>
        </w:rPr>
        <w:t xml:space="preserve">This Interim Report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color w:val="029C93"/>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color w:val="029C93"/>
        </w:rPr>
        <w:t>www.sec.gov</w:t>
      </w:r>
      <w:r>
        <w:rPr>
          <w:rFonts w:ascii="Arial" w:cs="Arial" w:eastAsia="Arial" w:hAnsi="Arial"/>
          <w:sz w:val="14"/>
          <w:szCs w:val="14"/>
          <w:i w:val="1"/>
          <w:iCs w:val="1"/>
          <w:color w:val="auto"/>
        </w:rPr>
        <w:t>. Genmab does not undertake any obligation to update or revise forward looking statements in this Interim Report nor to confirm such statements to reflect subsequent events or circumstances after the date made or in relation to actual results, unless required by law.</w:t>
      </w:r>
    </w:p>
    <w:p>
      <w:pPr>
        <w:spacing w:after="0" w:line="153"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9"/>
          <w:szCs w:val="9"/>
          <w:i w:val="1"/>
          <w:iCs w:val="1"/>
          <w:color w:val="auto"/>
        </w:rPr>
        <w:t>®</w:t>
      </w:r>
      <w:r>
        <w:rPr>
          <w:rFonts w:ascii="Arial" w:cs="Arial" w:eastAsia="Arial" w:hAnsi="Arial"/>
          <w:sz w:val="14"/>
          <w:szCs w:val="14"/>
          <w:i w:val="1"/>
          <w:iCs w:val="1"/>
          <w:color w:val="auto"/>
        </w:rPr>
        <w:t>; the Y-shaped Genmab logo</w:t>
      </w:r>
      <w:r>
        <w:rPr>
          <w:rFonts w:ascii="Arial" w:cs="Arial" w:eastAsia="Arial" w:hAnsi="Arial"/>
          <w:sz w:val="9"/>
          <w:szCs w:val="9"/>
          <w:i w:val="1"/>
          <w:iCs w:val="1"/>
          <w:color w:val="auto"/>
        </w:rPr>
        <w:t>®</w:t>
      </w:r>
      <w:r>
        <w:rPr>
          <w:rFonts w:ascii="Arial" w:cs="Arial" w:eastAsia="Arial" w:hAnsi="Arial"/>
          <w:sz w:val="14"/>
          <w:szCs w:val="14"/>
          <w:i w:val="1"/>
          <w:iCs w:val="1"/>
          <w:color w:val="auto"/>
        </w:rPr>
        <w:t>; Genmab in combination with the Y-shaped Genmab logo</w:t>
      </w:r>
      <w:r>
        <w:rPr>
          <w:rFonts w:ascii="Arial" w:cs="Arial" w:eastAsia="Arial" w:hAnsi="Arial"/>
          <w:sz w:val="9"/>
          <w:szCs w:val="9"/>
          <w:i w:val="1"/>
          <w:iCs w:val="1"/>
          <w:color w:val="auto"/>
        </w:rPr>
        <w:t>®</w:t>
      </w:r>
      <w:r>
        <w:rPr>
          <w:rFonts w:ascii="Arial" w:cs="Arial" w:eastAsia="Arial" w:hAnsi="Arial"/>
          <w:sz w:val="14"/>
          <w:szCs w:val="14"/>
          <w:i w:val="1"/>
          <w:iCs w:val="1"/>
          <w:color w:val="auto"/>
        </w:rPr>
        <w:t>; HuMax</w:t>
      </w:r>
      <w:r>
        <w:rPr>
          <w:rFonts w:ascii="Arial" w:cs="Arial" w:eastAsia="Arial" w:hAnsi="Arial"/>
          <w:sz w:val="9"/>
          <w:szCs w:val="9"/>
          <w:i w:val="1"/>
          <w:iCs w:val="1"/>
          <w:color w:val="auto"/>
        </w:rPr>
        <w:t>®</w:t>
      </w:r>
      <w:r>
        <w:rPr>
          <w:rFonts w:ascii="Arial" w:cs="Arial" w:eastAsia="Arial" w:hAnsi="Arial"/>
          <w:sz w:val="14"/>
          <w:szCs w:val="14"/>
          <w:i w:val="1"/>
          <w:iCs w:val="1"/>
          <w:color w:val="auto"/>
        </w:rPr>
        <w:t>; DuoBody</w:t>
      </w:r>
      <w:r>
        <w:rPr>
          <w:rFonts w:ascii="Arial" w:cs="Arial" w:eastAsia="Arial" w:hAnsi="Arial"/>
          <w:sz w:val="9"/>
          <w:szCs w:val="9"/>
          <w:i w:val="1"/>
          <w:iCs w:val="1"/>
          <w:color w:val="auto"/>
        </w:rPr>
        <w:t>®</w:t>
      </w:r>
      <w:r>
        <w:rPr>
          <w:rFonts w:ascii="Arial" w:cs="Arial" w:eastAsia="Arial" w:hAnsi="Arial"/>
          <w:sz w:val="14"/>
          <w:szCs w:val="14"/>
          <w:i w:val="1"/>
          <w:iCs w:val="1"/>
          <w:color w:val="auto"/>
        </w:rPr>
        <w:t>; HexaBody</w:t>
      </w:r>
      <w:r>
        <w:rPr>
          <w:rFonts w:ascii="Arial" w:cs="Arial" w:eastAsia="Arial" w:hAnsi="Arial"/>
          <w:sz w:val="9"/>
          <w:szCs w:val="9"/>
          <w:i w:val="1"/>
          <w:iCs w:val="1"/>
          <w:color w:val="auto"/>
        </w:rPr>
        <w:t>®</w:t>
      </w:r>
      <w:r>
        <w:rPr>
          <w:rFonts w:ascii="Arial" w:cs="Arial" w:eastAsia="Arial" w:hAnsi="Arial"/>
          <w:sz w:val="14"/>
          <w:szCs w:val="14"/>
          <w:i w:val="1"/>
          <w:iCs w:val="1"/>
          <w:color w:val="auto"/>
        </w:rPr>
        <w:t>; DuoHexaBody</w:t>
      </w:r>
      <w:r>
        <w:rPr>
          <w:rFonts w:ascii="Arial" w:cs="Arial" w:eastAsia="Arial" w:hAnsi="Arial"/>
          <w:sz w:val="9"/>
          <w:szCs w:val="9"/>
          <w:i w:val="1"/>
          <w:iCs w:val="1"/>
          <w:color w:val="auto"/>
        </w:rPr>
        <w:t>®</w:t>
      </w:r>
      <w:r>
        <w:rPr>
          <w:rFonts w:ascii="Arial" w:cs="Arial" w:eastAsia="Arial" w:hAnsi="Arial"/>
          <w:sz w:val="14"/>
          <w:szCs w:val="14"/>
          <w:i w:val="1"/>
          <w:iCs w:val="1"/>
          <w:color w:val="auto"/>
        </w:rPr>
        <w:t>; HexElect</w:t>
      </w:r>
      <w:r>
        <w:rPr>
          <w:rFonts w:ascii="Arial" w:cs="Arial" w:eastAsia="Arial" w:hAnsi="Arial"/>
          <w:sz w:val="9"/>
          <w:szCs w:val="9"/>
          <w:i w:val="1"/>
          <w:iCs w:val="1"/>
          <w:color w:val="auto"/>
        </w:rPr>
        <w:t>®</w:t>
      </w:r>
      <w:r>
        <w:rPr>
          <w:rFonts w:ascii="Arial" w:cs="Arial" w:eastAsia="Arial" w:hAnsi="Arial"/>
          <w:sz w:val="14"/>
          <w:szCs w:val="14"/>
          <w:i w:val="1"/>
          <w:iCs w:val="1"/>
          <w:color w:val="auto"/>
        </w:rPr>
        <w:t>; KYSO</w:t>
      </w:r>
      <w:r>
        <w:rPr>
          <w:rFonts w:ascii="Arial" w:cs="Arial" w:eastAsia="Arial" w:hAnsi="Arial"/>
          <w:sz w:val="9"/>
          <w:szCs w:val="9"/>
          <w:i w:val="1"/>
          <w:iCs w:val="1"/>
          <w:color w:val="auto"/>
        </w:rPr>
        <w:t>®</w:t>
      </w:r>
      <w:r>
        <w:rPr>
          <w:rFonts w:ascii="Arial" w:cs="Arial" w:eastAsia="Arial" w:hAnsi="Arial"/>
          <w:sz w:val="14"/>
          <w:szCs w:val="14"/>
          <w:i w:val="1"/>
          <w:iCs w:val="1"/>
          <w:color w:val="auto"/>
        </w:rPr>
        <w:t>, ABBIL1TY™, RAINFOL™; ProfoundBio™ and Rina-S</w:t>
      </w:r>
      <w:r>
        <w:rPr>
          <w:rFonts w:ascii="Arial" w:cs="Arial" w:eastAsia="Arial" w:hAnsi="Arial"/>
          <w:sz w:val="9"/>
          <w:szCs w:val="9"/>
          <w:i w:val="1"/>
          <w:iCs w:val="1"/>
          <w:color w:val="auto"/>
        </w:rPr>
        <w:t>®</w:t>
      </w:r>
      <w:r>
        <w:rPr>
          <w:rFonts w:ascii="Arial" w:cs="Arial" w:eastAsia="Arial" w:hAnsi="Arial"/>
          <w:sz w:val="14"/>
          <w:szCs w:val="14"/>
          <w:i w:val="1"/>
          <w:iCs w:val="1"/>
          <w:color w:val="auto"/>
        </w:rPr>
        <w:t xml:space="preserve"> are trademarks of ProfoundBio, US, Co. and Genmab (Suzhou) Co., Ltd. Tivdak</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is a trademark of Seagen Inc.; EPCORE</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EPKINLY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TEPKINLY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their designs are trademarks of AbbVie Biotechnology Ltd.; Kesimpta</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Sensoready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are trademarks of Novartis AG or its affiliates; DARZALEX</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DARZALEX FASPRO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RYBREVANT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TECVAYLI</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TALVEY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are trademarks of Johnson &amp; Johnson; TEPEZZA</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is a trademark of Horizon Therapeutics Ireland DAC.</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color w:val="auto"/>
              </w:rPr>
              <w:t>Genmab A/S</w:t>
            </w:r>
          </w:p>
        </w:tc>
        <w:tc>
          <w:tcPr>
            <w:tcW w:w="442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Carl Jacobsens Vej 30</w:t>
            </w:r>
          </w:p>
        </w:tc>
        <w:tc>
          <w:tcPr>
            <w:tcW w:w="4420" w:type="dxa"/>
            <w:vAlign w:val="bottom"/>
          </w:tcPr>
          <w:p>
            <w:pPr>
              <w:ind w:left="1160"/>
              <w:spacing w:after="0"/>
              <w:rPr>
                <w:sz w:val="20"/>
                <w:szCs w:val="20"/>
                <w:color w:val="auto"/>
              </w:rPr>
            </w:pPr>
            <w:r>
              <w:rPr>
                <w:rFonts w:ascii="Arial" w:cs="Arial" w:eastAsia="Arial" w:hAnsi="Arial"/>
                <w:sz w:val="14"/>
                <w:szCs w:val="14"/>
                <w:color w:val="auto"/>
              </w:rPr>
              <w:t>www.genmab.com</w:t>
            </w:r>
          </w:p>
        </w:tc>
        <w:tc>
          <w:tcPr>
            <w:tcW w:w="4220" w:type="dxa"/>
            <w:vAlign w:val="bottom"/>
          </w:tcPr>
          <w:p>
            <w:pPr>
              <w:jc w:val="right"/>
              <w:ind w:right="28"/>
              <w:spacing w:after="0"/>
              <w:rPr>
                <w:sz w:val="20"/>
                <w:szCs w:val="20"/>
                <w:color w:val="auto"/>
              </w:rPr>
            </w:pPr>
            <w:r>
              <w:rPr>
                <w:rFonts w:ascii="Arial" w:cs="Arial" w:eastAsia="Arial" w:hAnsi="Arial"/>
                <w:sz w:val="14"/>
                <w:szCs w:val="14"/>
                <w:color w:val="auto"/>
              </w:rPr>
              <w:t>Page 43/44</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2500 Valby, Denmark</w:t>
            </w:r>
          </w:p>
        </w:tc>
        <w:tc>
          <w:tcPr>
            <w:tcW w:w="4420" w:type="dxa"/>
            <w:vAlign w:val="bottom"/>
          </w:tcPr>
          <w:p>
            <w:pPr>
              <w:spacing w:after="0"/>
              <w:rPr>
                <w:sz w:val="15"/>
                <w:szCs w:val="15"/>
                <w:color w:val="auto"/>
              </w:rPr>
            </w:pPr>
          </w:p>
        </w:tc>
        <w:tc>
          <w:tcPr>
            <w:tcW w:w="4220" w:type="dxa"/>
            <w:vAlign w:val="bottom"/>
            <w:vMerge w:val="restart"/>
          </w:tcPr>
          <w:p>
            <w:pPr>
              <w:jc w:val="right"/>
              <w:ind w:right="28"/>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46"/>
        </w:trPr>
        <w:tc>
          <w:tcPr>
            <w:tcW w:w="260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00" w:type="dxa"/>
            <w:vAlign w:val="bottom"/>
            <w:tcBorders>
              <w:bottom w:val="single" w:sz="8" w:color="9A9A9A"/>
            </w:tcBorders>
          </w:tcPr>
          <w:p>
            <w:pPr>
              <w:spacing w:after="0"/>
              <w:rPr>
                <w:sz w:val="18"/>
                <w:szCs w:val="18"/>
                <w:color w:val="auto"/>
              </w:rPr>
            </w:pPr>
          </w:p>
        </w:tc>
        <w:tc>
          <w:tcPr>
            <w:tcW w:w="4420" w:type="dxa"/>
            <w:vAlign w:val="bottom"/>
            <w:tcBorders>
              <w:bottom w:val="single" w:sz="8" w:color="9A9A9A"/>
            </w:tcBorders>
          </w:tcPr>
          <w:p>
            <w:pPr>
              <w:spacing w:after="0"/>
              <w:rPr>
                <w:sz w:val="18"/>
                <w:szCs w:val="18"/>
                <w:color w:val="auto"/>
              </w:rPr>
            </w:pPr>
          </w:p>
        </w:tc>
        <w:tc>
          <w:tcPr>
            <w:tcW w:w="4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5608955</wp:posOffset>
            </wp:positionH>
            <wp:positionV relativeFrom="page">
              <wp:posOffset>243205</wp:posOffset>
            </wp:positionV>
            <wp:extent cx="1731645" cy="514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5143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Interim Report for the First Half of 2025</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DIRECTORS’ AND MANAGEMENT’S STATEMENT ON THE INTERIM REPORT</w:t>
      </w:r>
    </w:p>
    <w:p>
      <w:pPr>
        <w:spacing w:after="0" w:line="19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Board of Directors and the registered members of Executive Management have today considered and adopted the unaudited interim report of the Genmab Group for the six months ended June 30, 2025.</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interim report is prepared in accordance with IAS 34, “Interim Financial Reporting,” as issued by the IASB and in accordance with IAS 34 as endorsed by the EU, and additional Danish disclosure requirements for interim reports of listed companies.</w:t>
      </w:r>
    </w:p>
    <w:p>
      <w:pPr>
        <w:spacing w:after="0" w:line="12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consider the applied accounting policies to be appropriate and, in our opinion, the interim report gives a true and fair view of the assets and liabilities, financial position, results of operation and cash flows of the Group.</w:t>
      </w:r>
    </w:p>
    <w:p>
      <w:pPr>
        <w:spacing w:after="0" w:line="1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Furthermore, we consider the Management’s Review to give a true and fair account of the development in the Group’s activities and financial affairs, results of operations and the Group’s financial position as a whole as well as a description of the significant risks and uncertainties which the Group faces, as further described in this report, our 2024 Annual Report and the Form 20-F filed with the U.S. Securities and Exchange Commission in February 2025.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Copenhagen, 7 August 2025</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29C93"/>
        </w:rPr>
        <w:t>Registered Members of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wp:posOffset>
            </wp:positionV>
            <wp:extent cx="942975" cy="411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942975" cy="41148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48895</wp:posOffset>
            </wp:positionV>
            <wp:extent cx="942975" cy="411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942975" cy="41148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 van de Winkel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Anthony Pagano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&amp; CFO)</w:t>
      </w:r>
    </w:p>
    <w:p>
      <w:pPr>
        <w:spacing w:after="0" w:line="211" w:lineRule="exact"/>
        <w:rPr>
          <w:sz w:val="20"/>
          <w:szCs w:val="20"/>
          <w:color w:val="auto"/>
        </w:rPr>
      </w:pPr>
    </w:p>
    <w:p>
      <w:pPr>
        <w:sectPr>
          <w:pgSz w:w="11900" w:h="16838" w:orient="portrait"/>
          <w:cols w:equalWidth="0" w:num="2">
            <w:col w:w="7740" w:space="720"/>
            <w:col w:w="2760"/>
          </w:cols>
          <w:pgMar w:left="320" w:top="1440" w:right="359" w:bottom="1440" w:gutter="0" w:footer="0" w:header="0"/>
          <w:type w:val="continuous"/>
        </w:sect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029C93"/>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411480" cy="411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90805</wp:posOffset>
            </wp:positionV>
            <wp:extent cx="822960" cy="3257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822960" cy="3257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90805</wp:posOffset>
            </wp:positionV>
            <wp:extent cx="1062990" cy="3257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1062990" cy="3257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right="560"/>
        <w:spacing w:after="0" w:line="287" w:lineRule="auto"/>
        <w:rPr>
          <w:sz w:val="20"/>
          <w:szCs w:val="20"/>
          <w:color w:val="auto"/>
        </w:rPr>
      </w:pPr>
      <w:r>
        <w:rPr>
          <w:rFonts w:ascii="Arial" w:cs="Arial" w:eastAsia="Arial" w:hAnsi="Arial"/>
          <w:sz w:val="18"/>
          <w:szCs w:val="18"/>
          <w:color w:val="auto"/>
        </w:rPr>
        <w:t>Deirdre P. Connelly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899795" cy="3683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899795"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Pernille Erenbjerg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(Deputy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143510</wp:posOffset>
            </wp:positionV>
            <wp:extent cx="651510" cy="3683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65151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Anders Gersel Pedersen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292100</wp:posOffset>
            </wp:positionV>
            <wp:extent cx="1028700" cy="3683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1028700" cy="368300"/>
                    </a:xfrm>
                    <a:prstGeom prst="rect">
                      <a:avLst/>
                    </a:prstGeom>
                    <a:noFill/>
                  </pic:spPr>
                </pic:pic>
              </a:graphicData>
            </a:graphic>
          </wp:anchor>
        </w:drawing>
      </w:r>
    </w:p>
    <w:p>
      <w:pPr>
        <w:spacing w:after="0" w:line="488" w:lineRule="exact"/>
        <w:rPr>
          <w:sz w:val="20"/>
          <w:szCs w:val="20"/>
          <w:color w:val="auto"/>
        </w:rPr>
      </w:pPr>
    </w:p>
    <w:p>
      <w:pPr>
        <w:sectPr>
          <w:pgSz w:w="11900" w:h="16838" w:orient="portrait"/>
          <w:cols w:equalWidth="0" w:num="3">
            <w:col w:w="2120" w:space="720"/>
            <w:col w:w="2080" w:space="720"/>
            <w:col w:w="558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2820" w:val="left"/>
          <w:tab w:leader="none" w:pos="5620" w:val="left"/>
        </w:tabs>
        <w:rPr>
          <w:sz w:val="20"/>
          <w:szCs w:val="20"/>
          <w:color w:val="auto"/>
        </w:rPr>
      </w:pPr>
      <w:r>
        <w:rPr>
          <w:rFonts w:ascii="Arial" w:cs="Arial" w:eastAsia="Arial" w:hAnsi="Arial"/>
          <w:sz w:val="18"/>
          <w:szCs w:val="18"/>
          <w:color w:val="auto"/>
        </w:rPr>
        <w:t>Rolf Hoffmann</w:t>
      </w:r>
      <w:r>
        <w:rPr>
          <w:sz w:val="20"/>
          <w:szCs w:val="20"/>
          <w:color w:val="auto"/>
        </w:rPr>
        <w:tab/>
      </w:r>
      <w:r>
        <w:rPr>
          <w:rFonts w:ascii="Arial" w:cs="Arial" w:eastAsia="Arial" w:hAnsi="Arial"/>
          <w:sz w:val="18"/>
          <w:szCs w:val="18"/>
          <w:color w:val="auto"/>
        </w:rPr>
        <w:t>Paolo Paoletti</w:t>
      </w:r>
      <w:r>
        <w:rPr>
          <w:sz w:val="20"/>
          <w:szCs w:val="20"/>
          <w:color w:val="auto"/>
        </w:rPr>
        <w:tab/>
      </w:r>
      <w:r>
        <w:rPr>
          <w:rFonts w:ascii="Arial" w:cs="Arial" w:eastAsia="Arial" w:hAnsi="Arial"/>
          <w:sz w:val="17"/>
          <w:szCs w:val="17"/>
          <w:color w:val="auto"/>
        </w:rPr>
        <w:t>Elizabeth O’Farrell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214630</wp:posOffset>
            </wp:positionV>
            <wp:extent cx="651510" cy="3683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51510" cy="36830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154940</wp:posOffset>
            </wp:positionV>
            <wp:extent cx="2194560" cy="4883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2194560" cy="48831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right="540"/>
        <w:spacing w:after="0" w:line="287" w:lineRule="auto"/>
        <w:rPr>
          <w:sz w:val="20"/>
          <w:szCs w:val="20"/>
          <w:color w:val="auto"/>
        </w:rPr>
      </w:pPr>
      <w:r>
        <w:rPr>
          <w:rFonts w:ascii="Arial" w:cs="Arial" w:eastAsia="Arial" w:hAnsi="Arial"/>
          <w:sz w:val="18"/>
          <w:szCs w:val="18"/>
          <w:color w:val="auto"/>
        </w:rPr>
        <w:t>Mijke Zachariasse (Employee elected)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Michael Kavanagh</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(Employee elected)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Martin Schultz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(Employee elected)</w:t>
      </w:r>
    </w:p>
    <w:p>
      <w:pPr>
        <w:spacing w:after="0" w:line="254" w:lineRule="exact"/>
        <w:rPr>
          <w:sz w:val="20"/>
          <w:szCs w:val="20"/>
          <w:color w:val="auto"/>
        </w:rPr>
      </w:pPr>
    </w:p>
    <w:p>
      <w:pPr>
        <w:sectPr>
          <w:pgSz w:w="11900" w:h="16838" w:orient="portrait"/>
          <w:cols w:equalWidth="0" w:num="3">
            <w:col w:w="2120" w:space="720"/>
            <w:col w:w="2080" w:space="720"/>
            <w:col w:w="558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Genmab A/S</w:t>
            </w:r>
          </w:p>
        </w:tc>
        <w:tc>
          <w:tcPr>
            <w:tcW w:w="4460" w:type="dxa"/>
            <w:vAlign w:val="bottom"/>
          </w:tcPr>
          <w:p>
            <w:pPr>
              <w:ind w:left="1160"/>
              <w:spacing w:after="0"/>
              <w:rPr>
                <w:sz w:val="20"/>
                <w:szCs w:val="20"/>
                <w:color w:val="auto"/>
              </w:rPr>
            </w:pPr>
            <w:r>
              <w:rPr>
                <w:rFonts w:ascii="Arial" w:cs="Arial" w:eastAsia="Arial" w:hAnsi="Arial"/>
                <w:sz w:val="14"/>
                <w:szCs w:val="14"/>
                <w:color w:val="auto"/>
              </w:rPr>
              <w:t>Tel: +45 7020 2728</w:t>
            </w:r>
          </w:p>
        </w:tc>
        <w:tc>
          <w:tcPr>
            <w:tcW w:w="4160" w:type="dxa"/>
            <w:vAlign w:val="bottom"/>
          </w:tcPr>
          <w:p>
            <w:pPr>
              <w:jc w:val="right"/>
              <w:spacing w:after="0"/>
              <w:rPr>
                <w:sz w:val="20"/>
                <w:szCs w:val="20"/>
                <w:color w:val="auto"/>
              </w:rPr>
            </w:pPr>
            <w:r>
              <w:rPr>
                <w:rFonts w:ascii="Arial" w:cs="Arial" w:eastAsia="Arial" w:hAnsi="Arial"/>
                <w:sz w:val="14"/>
                <w:szCs w:val="14"/>
                <w:color w:val="auto"/>
              </w:rPr>
              <w:t>Company Announcement no. 40</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460" w:type="dxa"/>
            <w:vAlign w:val="bottom"/>
          </w:tcPr>
          <w:p>
            <w:pPr>
              <w:spacing w:after="0"/>
              <w:rPr>
                <w:sz w:val="12"/>
                <w:szCs w:val="12"/>
                <w:color w:val="auto"/>
              </w:rPr>
            </w:pPr>
          </w:p>
        </w:tc>
        <w:tc>
          <w:tcPr>
            <w:tcW w:w="4160" w:type="dxa"/>
            <w:vAlign w:val="bottom"/>
          </w:tcPr>
          <w:p>
            <w:pPr>
              <w:jc w:val="right"/>
              <w:spacing w:after="0" w:line="149" w:lineRule="exact"/>
              <w:rPr>
                <w:sz w:val="20"/>
                <w:szCs w:val="20"/>
                <w:color w:val="auto"/>
              </w:rPr>
            </w:pPr>
            <w:r>
              <w:rPr>
                <w:rFonts w:ascii="Arial" w:cs="Arial" w:eastAsia="Arial" w:hAnsi="Arial"/>
                <w:sz w:val="14"/>
                <w:szCs w:val="14"/>
                <w:color w:val="auto"/>
              </w:rPr>
              <w:t>Page 44/44</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Arial" w:cs="Arial" w:eastAsia="Arial" w:hAnsi="Arial"/>
                <w:sz w:val="14"/>
                <w:szCs w:val="14"/>
                <w:color w:val="auto"/>
              </w:rPr>
              <w:t>2500 Valby, Denmark</w:t>
            </w:r>
          </w:p>
        </w:tc>
        <w:tc>
          <w:tcPr>
            <w:tcW w:w="4460" w:type="dxa"/>
            <w:vAlign w:val="bottom"/>
            <w:vMerge w:val="restart"/>
          </w:tcPr>
          <w:p>
            <w:pPr>
              <w:ind w:left="1160"/>
              <w:spacing w:after="0"/>
              <w:rPr>
                <w:sz w:val="20"/>
                <w:szCs w:val="20"/>
                <w:color w:val="auto"/>
              </w:rPr>
            </w:pPr>
            <w:r>
              <w:rPr>
                <w:rFonts w:ascii="Arial" w:cs="Arial" w:eastAsia="Arial" w:hAnsi="Arial"/>
                <w:sz w:val="14"/>
                <w:szCs w:val="14"/>
                <w:color w:val="auto"/>
              </w:rPr>
              <w:t>www.genmab.com</w:t>
            </w:r>
          </w:p>
        </w:tc>
        <w:tc>
          <w:tcPr>
            <w:tcW w:w="4160" w:type="dxa"/>
            <w:vAlign w:val="bottom"/>
          </w:tcPr>
          <w:p>
            <w:pPr>
              <w:jc w:val="right"/>
              <w:spacing w:after="0"/>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4460" w:type="dxa"/>
            <w:vAlign w:val="bottom"/>
            <w:vMerge w:val="continue"/>
          </w:tcPr>
          <w:p>
            <w:pPr>
              <w:spacing w:after="0"/>
              <w:rPr>
                <w:sz w:val="8"/>
                <w:szCs w:val="8"/>
                <w:color w:val="auto"/>
              </w:rPr>
            </w:pPr>
          </w:p>
        </w:tc>
        <w:tc>
          <w:tcPr>
            <w:tcW w:w="4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bullet"/>
      <w:start w:val="1"/>
    </w:lvl>
  </w:abstractNum>
  <w:abstractNum w:abstractNumId="21">
    <w:nsid w:val="B03E0C6"/>
    <w:multiLevelType w:val="hybridMultilevel"/>
    <w:lvl w:ilvl="0">
      <w:lvlJc w:val="left"/>
      <w:lvlText w:val="2"/>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jpe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jpe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jpe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jpe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jpe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jpe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jpe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jpe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jpe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jpe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jpe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jpe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jpe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jpe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jpe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jpe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jpe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jpe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jpe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jpe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jpe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jpe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jpe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jpe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jpe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jpe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jpe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jpeg"/><Relationship Id="rId166" Type="http://schemas.openxmlformats.org/officeDocument/2006/relationships/image" Target="media/image157.jpeg"/><Relationship Id="rId167" Type="http://schemas.openxmlformats.org/officeDocument/2006/relationships/image" Target="media/image158.jpeg"/><Relationship Id="rId168" Type="http://schemas.openxmlformats.org/officeDocument/2006/relationships/image" Target="media/image159.jpeg"/><Relationship Id="rId169" Type="http://schemas.openxmlformats.org/officeDocument/2006/relationships/image" Target="media/image160.jpeg"/><Relationship Id="rId170" Type="http://schemas.openxmlformats.org/officeDocument/2006/relationships/image" Target="media/image161.jpeg"/><Relationship Id="rId171" Type="http://schemas.openxmlformats.org/officeDocument/2006/relationships/image" Target="media/image162.jpeg"/><Relationship Id="rId172" Type="http://schemas.openxmlformats.org/officeDocument/2006/relationships/image" Target="media/image163.jpeg"/><Relationship Id="rId173" Type="http://schemas.openxmlformats.org/officeDocument/2006/relationships/image" Target="media/image164.jpeg"/><Relationship Id="rId174" Type="http://schemas.openxmlformats.org/officeDocument/2006/relationships/image" Target="media/image165.jpeg"/><Relationship Id="rId175" Type="http://schemas.openxmlformats.org/officeDocument/2006/relationships/image" Target="media/image166.png"/><Relationship Id="rId36" Type="http://schemas.openxmlformats.org/officeDocument/2006/relationships/hyperlink" Target="https://www.sec.gov/Archives/edgar/data/1434265/000143426525000014/genmabinterimreport.htm" TargetMode="External"/><Relationship Id="rId75" Type="http://schemas.openxmlformats.org/officeDocument/2006/relationships/hyperlink" Target="https://www.sec.gov/ix?doc=/Archives/edgar/data/1434265/000155837025000846/gmab-20241231x20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2025-08-07T10:41:58Z</dcterms:created>
  <dcterms:modified xsi:type="dcterms:W3CDTF">2025-08-07T10:41:58Z</dcterms:modified>
</cp:coreProperties>
</file>