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AUGUST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6"/>
        <w:gridCol w:w="234"/>
        <w:gridCol w:w="236"/>
        <w:gridCol w:w="2781"/>
        <w:gridCol w:w="2770"/>
        <w:gridCol w:w="391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Company Announcement Dated August 11, 2026: </w:t>
            </w:r>
            <w:hyperlink w:anchor="gmab_20260811xex99d1.htm">
              <w:r>
                <w:rPr>
                  <w:rStyle w:val="InternetLink"/>
                  <w:rFonts w:ascii="Times New Roman;serif" w:hAnsi="Times New Roman;serif"/>
                  <w:b w:val="false"/>
                  <w:color w:val="000000"/>
                  <w:sz w:val="20"/>
                  <w:u w:val="single"/>
                </w:rPr>
                <w:t>Capital Increase in Genmab as a Result of Employee Warrant Exercise</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AUGUST 11,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57325" cy="4191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6"/>
        </w:rPr>
      </w:pPr>
      <w:r>
        <w:rPr>
          <w:rFonts w:ascii="Arial;sans-serif" w:hAnsi="Arial;sans-serif"/>
          <w:b/>
          <w:color w:val="000000"/>
          <w:sz w:val="26"/>
        </w:rPr>
        <w:t>Capital Increase in Genmab as a Result of Employee Warrant Exercise</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Company Announcement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COPENHAGEN, Denmark; August 11, 2026 – Genmab A/S (Nasdaq: GMAB) will increase its share capital by 24,592 shares as a consequence of the exercise of employee warrants.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increase is effected without any preemption rights for the existing shareholders of the Company or others. The shares are subscribed in cash at the following price per share of nominally DKK 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4,702 shares at DKK 1,334.50,</w:t>
        <w:br/>
        <w:t>2,069 shares at DKK 1,362.50,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17,821 shares at DKK 1,615.00.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Proceeds to the Company are approximately DKK 37.9 million. The increase corresponds to approximately 0.04% of the Company's share capital.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new shares are ordinary shares without any special rights and are freely transferable negotiable instruments. The new shares give rights to dividends and other rights in relation to the company as of subscription. The new shares will be listed on Nasdaq Copenhagen after registration with the Danish Business Authority. The capital increase is expected to be finalized shortly.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section 32 of the Danish Capital Markets Act No. 464 of May 1, 2026, it is hereby announced, that the total nominal value of Genmab A/S' share capital after the capital increase is DKK 62,377,844 which is made up of 62,377,844 shares of a nominal value of DKK 1 each, corresponding to 62,377,844 votes.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About Genmab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Established in 1999, Genmab is headquartered in Copenhagen, Denmark, with international presence across North America, Europe and Asia Pacific. For more information, please visit Genmab.com and follow us on LinkedIn and X.</w:t>
      </w:r>
    </w:p>
    <w:p>
      <w:pPr>
        <w:pStyle w:val="TextBody"/>
        <w:bidi w:val="0"/>
        <w:spacing w:lineRule="auto" w:line="288" w:before="0" w:after="0"/>
        <w:jc w:val="left"/>
        <w:rPr/>
      </w:pPr>
      <w:r>
        <w:rPr>
          <w:rFonts w:ascii="Arial;sans-serif" w:hAnsi="Arial;sans-serif"/>
          <w:b/>
          <w:color w:val="000000"/>
          <w:sz w:val="20"/>
        </w:rPr>
        <w:t>Contact:    </w:t>
        <w:br/>
      </w:r>
      <w:r>
        <w:rPr>
          <w:rFonts w:ascii="Arial;sans-serif" w:hAnsi="Arial;sans-serif"/>
          <w:b w:val="false"/>
          <w:color w:val="000000"/>
          <w:sz w:val="20"/>
        </w:rPr>
        <w:t>Marisol Peron, Senior Vice President, Global Communications &amp; Corporate Affairs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 +1 609 524 0065; E: mmp@genmab.com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Andrew Carlsen, Vice President, Head of Investor Relations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 +45 3377 9558; E: acn@genmab.com </w:t>
      </w:r>
    </w:p>
    <w:p>
      <w:pPr>
        <w:pStyle w:val="TextBody"/>
        <w:bidi w:val="0"/>
        <w:spacing w:before="0" w:after="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56740"/>
                <wp:effectExtent l="0" t="0" r="0" b="0"/>
                <wp:wrapNone/>
                <wp:docPr id="5" name="Frame4"/>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35</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35</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457325" cy="4191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6"/>
        </w:rPr>
      </w:pPr>
      <w:r>
        <w:rPr>
          <w:rFonts w:ascii="Arial;sans-serif" w:hAnsi="Arial;sans-serif"/>
          <w:b/>
          <w:color w:val="000000"/>
          <w:sz w:val="26"/>
        </w:rPr>
        <w:t>Capital Increase in Genmab as a Result of Employee Warrant Exercise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br/>
      </w:r>
      <w:r>
        <w:rPr>
          <w:rFonts w:ascii="Arial;sans-serif" w:hAnsi="Arial;sans-serif"/>
          <w:b w:val="false"/>
          <w:i/>
          <w:color w:val="000000"/>
          <w:sz w:val="16"/>
        </w:rPr>
        <w:t xml:space="preserve">The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www.genmab.com and the risk factors included in Genmab’s most recent Annual Report on Form 20-F and other filings with the U.S. Securities and Exchange Commission (SEC), which are available at www.sec.gov. Genmab does not undertake any obligation to update or revise forward looking statements in the Company Announcement nor to confirm such statements to reflect subsequent events or circumstances after the date made or in relation to actual results, unless required by law. </w:t>
      </w:r>
    </w:p>
    <w:p>
      <w:pPr>
        <w:pStyle w:val="TextBody"/>
        <w:bidi w:val="0"/>
        <w:spacing w:lineRule="auto" w:line="288" w:before="0" w:after="0"/>
        <w:jc w:val="left"/>
        <w:rPr/>
      </w:pPr>
      <w:r>
        <w:rPr>
          <w:rFonts w:ascii="Arial;sans-serif" w:hAnsi="Arial;sans-serif"/>
          <w:b w:val="false"/>
          <w:color w:val="000000"/>
          <w:sz w:val="16"/>
        </w:rPr>
        <w:br/>
      </w:r>
      <w:r>
        <w:rPr>
          <w:rFonts w:ascii="Arial;sans-serif" w:hAnsi="Arial;sans-serif"/>
          <w:b w:val="false"/>
          <w:i/>
          <w:color w:val="000000"/>
          <w:sz w:val="16"/>
        </w:rPr>
        <w:t>Genmab A/S and/or its subsidiaries own the following trademarks: Genmab</w:t>
      </w:r>
      <w:r>
        <w:rPr>
          <w:rFonts w:ascii="Arial;sans-serif" w:hAnsi="Arial;sans-serif"/>
          <w:b w:val="false"/>
          <w:i/>
          <w:color w:val="000000"/>
          <w:sz w:val="10"/>
        </w:rPr>
        <w:t>®</w:t>
      </w:r>
      <w:r>
        <w:rPr>
          <w:rFonts w:ascii="Arial;sans-serif" w:hAnsi="Arial;sans-serif"/>
          <w:b w:val="false"/>
          <w:i/>
          <w:color w:val="000000"/>
          <w:sz w:val="16"/>
        </w:rPr>
        <w:t>; the Y-shaped Genmab logo</w:t>
      </w:r>
      <w:r>
        <w:rPr>
          <w:rFonts w:ascii="Arial;sans-serif" w:hAnsi="Arial;sans-serif"/>
          <w:b w:val="false"/>
          <w:i/>
          <w:color w:val="000000"/>
          <w:sz w:val="10"/>
        </w:rPr>
        <w:t>®</w:t>
      </w:r>
      <w:r>
        <w:rPr>
          <w:rFonts w:ascii="Arial;sans-serif" w:hAnsi="Arial;sans-serif"/>
          <w:b w:val="false"/>
          <w:i/>
          <w:color w:val="000000"/>
          <w:sz w:val="16"/>
        </w:rPr>
        <w:t>; Genmab in combination with the Y-shaped Genmab logo</w:t>
      </w:r>
      <w:r>
        <w:rPr>
          <w:rFonts w:ascii="Arial;sans-serif" w:hAnsi="Arial;sans-serif"/>
          <w:b w:val="false"/>
          <w:i/>
          <w:color w:val="000000"/>
          <w:sz w:val="10"/>
        </w:rPr>
        <w:t>®</w:t>
      </w:r>
      <w:r>
        <w:rPr>
          <w:rFonts w:ascii="Arial;sans-serif" w:hAnsi="Arial;sans-serif"/>
          <w:b w:val="false"/>
          <w:i/>
          <w:color w:val="000000"/>
          <w:sz w:val="16"/>
        </w:rPr>
        <w:t>; HuMax</w:t>
      </w:r>
      <w:r>
        <w:rPr>
          <w:rFonts w:ascii="Arial;sans-serif" w:hAnsi="Arial;sans-serif"/>
          <w:b w:val="false"/>
          <w:i/>
          <w:color w:val="000000"/>
          <w:sz w:val="10"/>
        </w:rPr>
        <w:t>®</w:t>
      </w:r>
      <w:r>
        <w:rPr>
          <w:rFonts w:ascii="Arial;sans-serif" w:hAnsi="Arial;sans-serif"/>
          <w:b w:val="false"/>
          <w:i/>
          <w:color w:val="000000"/>
          <w:sz w:val="16"/>
        </w:rPr>
        <w:t>; DuoBody</w:t>
      </w:r>
      <w:r>
        <w:rPr>
          <w:rFonts w:ascii="Arial;sans-serif" w:hAnsi="Arial;sans-serif"/>
          <w:b w:val="false"/>
          <w:i/>
          <w:color w:val="000000"/>
          <w:sz w:val="10"/>
        </w:rPr>
        <w:t>®</w:t>
      </w:r>
      <w:r>
        <w:rPr>
          <w:rFonts w:ascii="Arial;sans-serif" w:hAnsi="Arial;sans-serif"/>
          <w:b w:val="false"/>
          <w:i/>
          <w:color w:val="000000"/>
          <w:sz w:val="16"/>
        </w:rPr>
        <w:t>; HexaBody</w:t>
      </w:r>
      <w:r>
        <w:rPr>
          <w:rFonts w:ascii="Arial;sans-serif" w:hAnsi="Arial;sans-serif"/>
          <w:b w:val="false"/>
          <w:i/>
          <w:color w:val="000000"/>
          <w:sz w:val="10"/>
        </w:rPr>
        <w:t>®</w:t>
      </w:r>
      <w:r>
        <w:rPr>
          <w:rFonts w:ascii="Arial;sans-serif" w:hAnsi="Arial;sans-serif"/>
          <w:b w:val="false"/>
          <w:i/>
          <w:color w:val="000000"/>
          <w:sz w:val="16"/>
        </w:rPr>
        <w:t>; DuoHexaBody</w:t>
      </w:r>
      <w:r>
        <w:rPr>
          <w:rFonts w:ascii="Arial;sans-serif" w:hAnsi="Arial;sans-serif"/>
          <w:b w:val="false"/>
          <w:i/>
          <w:color w:val="000000"/>
          <w:sz w:val="10"/>
        </w:rPr>
        <w:t>®</w:t>
      </w:r>
      <w:r>
        <w:rPr>
          <w:rFonts w:ascii="Arial;sans-serif" w:hAnsi="Arial;sans-serif"/>
          <w:b w:val="false"/>
          <w:i/>
          <w:color w:val="000000"/>
          <w:sz w:val="16"/>
        </w:rPr>
        <w:t>, HexElect</w:t>
      </w:r>
      <w:r>
        <w:rPr>
          <w:rFonts w:ascii="Arial;sans-serif" w:hAnsi="Arial;sans-serif"/>
          <w:b w:val="false"/>
          <w:i/>
          <w:color w:val="000000"/>
          <w:sz w:val="10"/>
        </w:rPr>
        <w:t xml:space="preserve">® </w:t>
      </w:r>
      <w:r>
        <w:rPr>
          <w:rFonts w:ascii="Arial;sans-serif" w:hAnsi="Arial;sans-serif"/>
          <w:b w:val="false"/>
          <w:i/>
          <w:color w:val="000000"/>
          <w:sz w:val="16"/>
        </w:rPr>
        <w:t>and KYSO</w:t>
      </w:r>
      <w:r>
        <w:rPr>
          <w:rFonts w:ascii="Arial;sans-serif" w:hAnsi="Arial;sans-serif"/>
          <w:b w:val="false"/>
          <w:color w:val="000000"/>
          <w:sz w:val="13"/>
        </w:rPr>
        <w:t>®</w:t>
      </w:r>
      <w:r>
        <w:rPr>
          <w:rFonts w:ascii="Arial;sans-serif" w:hAnsi="Arial;sans-serif"/>
          <w:b w:val="false"/>
          <w:i/>
          <w:color w:val="000000"/>
          <w:sz w:val="16"/>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56740"/>
                <wp:effectExtent l="0" t="0" r="0" b="0"/>
                <wp:wrapNone/>
                <wp:docPr id="7" name="Frame5"/>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35</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35</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944</Words>
  <Characters>5367</Characters>
  <CharactersWithSpaces>6265</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