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and 333-284876)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960" w:type="dxa"/>
            <w:vAlign w:val="bottom"/>
            <w:gridSpan w:val="2"/>
          </w:tcPr>
          <w:p>
            <w:pPr>
              <w:ind w:left="1740"/>
              <w:spacing w:after="0"/>
              <w:rPr>
                <w:sz w:val="20"/>
                <w:szCs w:val="20"/>
                <w:color w:val="auto"/>
              </w:rPr>
            </w:pPr>
            <w:r>
              <w:rPr>
                <w:rFonts w:ascii="Arial" w:cs="Arial" w:eastAsia="Arial" w:hAnsi="Arial"/>
                <w:sz w:val="18"/>
                <w:szCs w:val="18"/>
                <w:b w:val="1"/>
                <w:bCs w:val="1"/>
                <w:color w:val="auto"/>
              </w:rPr>
              <w:t>EXHIBIT INDEX</w:t>
            </w:r>
          </w:p>
        </w:tc>
      </w:tr>
      <w:tr>
        <w:trPr>
          <w:trHeight w:val="69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4"/>
                <w:szCs w:val="24"/>
                <w:color w:val="auto"/>
              </w:rPr>
            </w:pPr>
          </w:p>
        </w:tc>
        <w:tc>
          <w:tcPr>
            <w:tcW w:w="7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Company Announcement Dated June 2, 2025: Transactions in Connection with Share Buy-back Program</w:t>
            </w:r>
          </w:p>
        </w:tc>
      </w:tr>
      <w:tr>
        <w:trPr>
          <w:trHeight w:val="209"/>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99.1a</w:t>
            </w: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Appendix Share buyback program – Specification for May 26-28, 2025</w:t>
            </w: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40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Anthony Pagano</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Executive Vice President &amp; 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June 2, 2025</w:t>
      </w:r>
    </w:p>
    <w:p>
      <w:pPr>
        <w:sectPr>
          <w:pgSz w:w="11900" w:h="16838" w:orient="portrait"/>
          <w:cols w:equalWidth="0" w:num="1">
            <w:col w:w="10980"/>
          </w:cols>
          <w:pgMar w:left="320" w:top="1255" w:right="599" w:bottom="1440" w:gutter="0" w:footer="0" w:header="0"/>
        </w:sectPr>
      </w:pPr>
    </w:p>
    <w:bookmarkStart w:id="3" w:name="page4"/>
    <w:bookmarkEnd w:id="3"/>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170180</wp:posOffset>
            </wp:positionV>
            <wp:extent cx="131127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Transactions in Connection with Share Buy-back Program</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Announcement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COPENHAGEN, Denmark; June 2, 2025 – Genmab A/S (Nasdaq: GMAB). </w:t>
      </w:r>
      <w:r>
        <w:rPr>
          <w:rFonts w:ascii="Arial" w:cs="Arial" w:eastAsia="Arial" w:hAnsi="Arial"/>
          <w:sz w:val="18"/>
          <w:szCs w:val="18"/>
          <w:color w:val="auto"/>
        </w:rPr>
        <w:t>On March 25, 2025, Genmab announced the initiation of a</w:t>
      </w:r>
    </w:p>
    <w:p>
      <w:pPr>
        <w:spacing w:after="0" w:line="40"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share buy-back program to repurchase up to 2.2 million shares to reduce capital and to honor our commitments under the Restricted Stock Unit program. The share buy-back program is expected to be completed no later than July 10,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transactions were executed under the program from May 26 to May 30,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60" w:type="dxa"/>
            <w:vAlign w:val="bottom"/>
            <w:tcBorders>
              <w:top w:val="single" w:sz="8" w:color="auto"/>
              <w:bottom w:val="single" w:sz="8" w:color="auto"/>
            </w:tcBorders>
          </w:tcPr>
          <w:p>
            <w:pPr>
              <w:spacing w:after="0"/>
              <w:rPr>
                <w:sz w:val="22"/>
                <w:szCs w:val="22"/>
                <w:color w:val="auto"/>
              </w:rPr>
            </w:pPr>
          </w:p>
        </w:tc>
        <w:tc>
          <w:tcPr>
            <w:tcW w:w="21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Trading Platform</w:t>
            </w:r>
          </w:p>
        </w:tc>
        <w:tc>
          <w:tcPr>
            <w:tcW w:w="1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No. of shares</w:t>
            </w:r>
          </w:p>
        </w:tc>
        <w:tc>
          <w:tcPr>
            <w:tcW w:w="24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Average price (DKK)</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Total value (DKK)</w:t>
            </w:r>
          </w:p>
        </w:tc>
      </w:tr>
      <w:tr>
        <w:trPr>
          <w:trHeight w:val="197"/>
        </w:trPr>
        <w:tc>
          <w:tcPr>
            <w:tcW w:w="2960" w:type="dxa"/>
            <w:vAlign w:val="bottom"/>
          </w:tcPr>
          <w:p>
            <w:pPr>
              <w:ind w:left="20"/>
              <w:spacing w:after="0" w:line="197" w:lineRule="exact"/>
              <w:rPr>
                <w:sz w:val="20"/>
                <w:szCs w:val="20"/>
                <w:color w:val="auto"/>
              </w:rPr>
            </w:pPr>
            <w:r>
              <w:rPr>
                <w:rFonts w:ascii="Arial" w:cs="Arial" w:eastAsia="Arial" w:hAnsi="Arial"/>
                <w:sz w:val="18"/>
                <w:szCs w:val="18"/>
                <w:b w:val="1"/>
                <w:bCs w:val="1"/>
                <w:color w:val="auto"/>
              </w:rPr>
              <w:t>Accumulated through last</w:t>
            </w:r>
          </w:p>
        </w:tc>
        <w:tc>
          <w:tcPr>
            <w:tcW w:w="2160" w:type="dxa"/>
            <w:vAlign w:val="bottom"/>
          </w:tcPr>
          <w:p>
            <w:pPr>
              <w:spacing w:after="0"/>
              <w:rPr>
                <w:sz w:val="17"/>
                <w:szCs w:val="17"/>
                <w:color w:val="auto"/>
              </w:rPr>
            </w:pPr>
          </w:p>
        </w:tc>
        <w:tc>
          <w:tcPr>
            <w:tcW w:w="1880" w:type="dxa"/>
            <w:vAlign w:val="bottom"/>
          </w:tcPr>
          <w:p>
            <w:pPr>
              <w:jc w:val="right"/>
              <w:ind w:right="250"/>
              <w:spacing w:after="0" w:line="197" w:lineRule="exact"/>
              <w:rPr>
                <w:sz w:val="20"/>
                <w:szCs w:val="20"/>
                <w:color w:val="auto"/>
              </w:rPr>
            </w:pPr>
            <w:r>
              <w:rPr>
                <w:rFonts w:ascii="Arial" w:cs="Arial" w:eastAsia="Arial" w:hAnsi="Arial"/>
                <w:sz w:val="18"/>
                <w:szCs w:val="18"/>
                <w:b w:val="1"/>
                <w:bCs w:val="1"/>
                <w:color w:val="auto"/>
              </w:rPr>
              <w:t>2,079,611</w:t>
            </w:r>
          </w:p>
        </w:tc>
        <w:tc>
          <w:tcPr>
            <w:tcW w:w="2400" w:type="dxa"/>
            <w:vAlign w:val="bottom"/>
          </w:tcPr>
          <w:p>
            <w:pPr>
              <w:spacing w:after="0"/>
              <w:rPr>
                <w:sz w:val="17"/>
                <w:szCs w:val="17"/>
                <w:color w:val="auto"/>
              </w:rPr>
            </w:pPr>
          </w:p>
        </w:tc>
        <w:tc>
          <w:tcPr>
            <w:tcW w:w="184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2,704,840,110.19</w:t>
            </w:r>
          </w:p>
        </w:tc>
      </w:tr>
      <w:tr>
        <w:trPr>
          <w:trHeight w:val="25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announcement</w:t>
            </w:r>
          </w:p>
        </w:tc>
        <w:tc>
          <w:tcPr>
            <w:tcW w:w="21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r>
      <w:tr>
        <w:trPr>
          <w:trHeight w:val="24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May 26, 2025</w:t>
            </w: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XCSE</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100</w:t>
            </w:r>
          </w:p>
        </w:tc>
        <w:tc>
          <w:tcPr>
            <w:tcW w:w="2400" w:type="dxa"/>
            <w:vAlign w:val="bottom"/>
          </w:tcPr>
          <w:p>
            <w:pPr>
              <w:jc w:val="right"/>
              <w:ind w:right="1110"/>
              <w:spacing w:after="0"/>
              <w:rPr>
                <w:sz w:val="20"/>
                <w:szCs w:val="20"/>
                <w:color w:val="auto"/>
              </w:rPr>
            </w:pPr>
            <w:r>
              <w:rPr>
                <w:rFonts w:ascii="Arial" w:cs="Arial" w:eastAsia="Arial" w:hAnsi="Arial"/>
                <w:sz w:val="18"/>
                <w:szCs w:val="18"/>
                <w:color w:val="auto"/>
              </w:rPr>
              <w:t>1,376.94</w:t>
            </w:r>
          </w:p>
        </w:tc>
        <w:tc>
          <w:tcPr>
            <w:tcW w:w="1840" w:type="dxa"/>
            <w:vAlign w:val="bottom"/>
          </w:tcPr>
          <w:p>
            <w:pPr>
              <w:jc w:val="right"/>
              <w:spacing w:after="0"/>
              <w:rPr>
                <w:sz w:val="20"/>
                <w:szCs w:val="20"/>
                <w:color w:val="auto"/>
              </w:rPr>
            </w:pPr>
            <w:r>
              <w:rPr>
                <w:rFonts w:ascii="Arial" w:cs="Arial" w:eastAsia="Arial" w:hAnsi="Arial"/>
                <w:sz w:val="18"/>
                <w:szCs w:val="18"/>
                <w:color w:val="auto"/>
              </w:rPr>
              <w:t>137,693.50</w:t>
            </w:r>
          </w:p>
        </w:tc>
      </w:tr>
      <w:tr>
        <w:trPr>
          <w:trHeight w:val="243"/>
        </w:trPr>
        <w:tc>
          <w:tcPr>
            <w:tcW w:w="2960" w:type="dxa"/>
            <w:vAlign w:val="bottom"/>
          </w:tcPr>
          <w:p>
            <w:pPr>
              <w:spacing w:after="0"/>
              <w:rPr>
                <w:sz w:val="21"/>
                <w:szCs w:val="21"/>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BCXE</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7"/>
        </w:trPr>
        <w:tc>
          <w:tcPr>
            <w:tcW w:w="296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AQEU</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56"/>
        </w:trPr>
        <w:tc>
          <w:tcPr>
            <w:tcW w:w="296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TQEX</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3"/>
        </w:trPr>
        <w:tc>
          <w:tcPr>
            <w:tcW w:w="296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100</w:t>
            </w:r>
          </w:p>
        </w:tc>
        <w:tc>
          <w:tcPr>
            <w:tcW w:w="24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137,693.50</w:t>
            </w:r>
          </w:p>
        </w:tc>
      </w:tr>
      <w:tr>
        <w:trPr>
          <w:trHeight w:val="24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May 27, 2025</w:t>
            </w: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XCSE</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100</w:t>
            </w:r>
          </w:p>
        </w:tc>
        <w:tc>
          <w:tcPr>
            <w:tcW w:w="2400" w:type="dxa"/>
            <w:vAlign w:val="bottom"/>
          </w:tcPr>
          <w:p>
            <w:pPr>
              <w:jc w:val="right"/>
              <w:ind w:right="1110"/>
              <w:spacing w:after="0"/>
              <w:rPr>
                <w:sz w:val="20"/>
                <w:szCs w:val="20"/>
                <w:color w:val="auto"/>
              </w:rPr>
            </w:pPr>
            <w:r>
              <w:rPr>
                <w:rFonts w:ascii="Arial" w:cs="Arial" w:eastAsia="Arial" w:hAnsi="Arial"/>
                <w:sz w:val="18"/>
                <w:szCs w:val="18"/>
                <w:color w:val="auto"/>
              </w:rPr>
              <w:t>1,397.56</w:t>
            </w:r>
          </w:p>
        </w:tc>
        <w:tc>
          <w:tcPr>
            <w:tcW w:w="1840" w:type="dxa"/>
            <w:vAlign w:val="bottom"/>
          </w:tcPr>
          <w:p>
            <w:pPr>
              <w:jc w:val="right"/>
              <w:spacing w:after="0"/>
              <w:rPr>
                <w:sz w:val="20"/>
                <w:szCs w:val="20"/>
                <w:color w:val="auto"/>
              </w:rPr>
            </w:pPr>
            <w:r>
              <w:rPr>
                <w:rFonts w:ascii="Arial" w:cs="Arial" w:eastAsia="Arial" w:hAnsi="Arial"/>
                <w:sz w:val="18"/>
                <w:szCs w:val="18"/>
                <w:color w:val="auto"/>
              </w:rPr>
              <w:t>139,756.00</w:t>
            </w:r>
          </w:p>
        </w:tc>
      </w:tr>
      <w:tr>
        <w:trPr>
          <w:trHeight w:val="243"/>
        </w:trPr>
        <w:tc>
          <w:tcPr>
            <w:tcW w:w="2960" w:type="dxa"/>
            <w:vAlign w:val="bottom"/>
          </w:tcPr>
          <w:p>
            <w:pPr>
              <w:spacing w:after="0"/>
              <w:rPr>
                <w:sz w:val="21"/>
                <w:szCs w:val="21"/>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BCXE</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6"/>
        </w:trPr>
        <w:tc>
          <w:tcPr>
            <w:tcW w:w="296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AQEU</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56"/>
        </w:trPr>
        <w:tc>
          <w:tcPr>
            <w:tcW w:w="296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TQEX</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3"/>
        </w:trPr>
        <w:tc>
          <w:tcPr>
            <w:tcW w:w="296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100</w:t>
            </w:r>
          </w:p>
        </w:tc>
        <w:tc>
          <w:tcPr>
            <w:tcW w:w="24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139,756.00</w:t>
            </w:r>
          </w:p>
        </w:tc>
      </w:tr>
      <w:tr>
        <w:trPr>
          <w:trHeight w:val="24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May 28, 2025</w:t>
            </w: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XCSE</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100</w:t>
            </w:r>
          </w:p>
        </w:tc>
        <w:tc>
          <w:tcPr>
            <w:tcW w:w="2400" w:type="dxa"/>
            <w:vAlign w:val="bottom"/>
          </w:tcPr>
          <w:p>
            <w:pPr>
              <w:jc w:val="right"/>
              <w:ind w:right="1110"/>
              <w:spacing w:after="0"/>
              <w:rPr>
                <w:sz w:val="20"/>
                <w:szCs w:val="20"/>
                <w:color w:val="auto"/>
              </w:rPr>
            </w:pPr>
            <w:r>
              <w:rPr>
                <w:rFonts w:ascii="Arial" w:cs="Arial" w:eastAsia="Arial" w:hAnsi="Arial"/>
                <w:sz w:val="18"/>
                <w:szCs w:val="18"/>
                <w:color w:val="auto"/>
              </w:rPr>
              <w:t>1,381.67</w:t>
            </w:r>
          </w:p>
        </w:tc>
        <w:tc>
          <w:tcPr>
            <w:tcW w:w="1840" w:type="dxa"/>
            <w:vAlign w:val="bottom"/>
          </w:tcPr>
          <w:p>
            <w:pPr>
              <w:jc w:val="right"/>
              <w:spacing w:after="0"/>
              <w:rPr>
                <w:sz w:val="20"/>
                <w:szCs w:val="20"/>
                <w:color w:val="auto"/>
              </w:rPr>
            </w:pPr>
            <w:r>
              <w:rPr>
                <w:rFonts w:ascii="Arial" w:cs="Arial" w:eastAsia="Arial" w:hAnsi="Arial"/>
                <w:sz w:val="18"/>
                <w:szCs w:val="18"/>
                <w:color w:val="auto"/>
              </w:rPr>
              <w:t>138,166.50</w:t>
            </w:r>
          </w:p>
        </w:tc>
      </w:tr>
      <w:tr>
        <w:trPr>
          <w:trHeight w:val="243"/>
        </w:trPr>
        <w:tc>
          <w:tcPr>
            <w:tcW w:w="2960" w:type="dxa"/>
            <w:vAlign w:val="bottom"/>
          </w:tcPr>
          <w:p>
            <w:pPr>
              <w:spacing w:after="0"/>
              <w:rPr>
                <w:sz w:val="21"/>
                <w:szCs w:val="21"/>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BCXE</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7"/>
        </w:trPr>
        <w:tc>
          <w:tcPr>
            <w:tcW w:w="296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AQEU</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56"/>
        </w:trPr>
        <w:tc>
          <w:tcPr>
            <w:tcW w:w="296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TQEX</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3"/>
        </w:trPr>
        <w:tc>
          <w:tcPr>
            <w:tcW w:w="296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100</w:t>
            </w:r>
          </w:p>
        </w:tc>
        <w:tc>
          <w:tcPr>
            <w:tcW w:w="24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138,166.50</w:t>
            </w:r>
          </w:p>
        </w:tc>
      </w:tr>
      <w:tr>
        <w:trPr>
          <w:trHeight w:val="24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May 29, 2025</w:t>
            </w: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XCSE</w:t>
            </w:r>
          </w:p>
        </w:tc>
        <w:tc>
          <w:tcPr>
            <w:tcW w:w="18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43"/>
        </w:trPr>
        <w:tc>
          <w:tcPr>
            <w:tcW w:w="2960" w:type="dxa"/>
            <w:vAlign w:val="bottom"/>
          </w:tcPr>
          <w:p>
            <w:pPr>
              <w:spacing w:after="0"/>
              <w:rPr>
                <w:sz w:val="21"/>
                <w:szCs w:val="21"/>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BCXE</w:t>
            </w:r>
          </w:p>
        </w:tc>
        <w:tc>
          <w:tcPr>
            <w:tcW w:w="18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7"/>
        </w:trPr>
        <w:tc>
          <w:tcPr>
            <w:tcW w:w="296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AQEU</w:t>
            </w:r>
          </w:p>
        </w:tc>
        <w:tc>
          <w:tcPr>
            <w:tcW w:w="1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56"/>
        </w:trPr>
        <w:tc>
          <w:tcPr>
            <w:tcW w:w="296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TQEX</w:t>
            </w:r>
          </w:p>
        </w:tc>
        <w:tc>
          <w:tcPr>
            <w:tcW w:w="1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3"/>
        </w:trPr>
        <w:tc>
          <w:tcPr>
            <w:tcW w:w="296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r>
      <w:tr>
        <w:trPr>
          <w:trHeight w:val="24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May 30, 2025</w:t>
            </w: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XCSE</w:t>
            </w:r>
          </w:p>
        </w:tc>
        <w:tc>
          <w:tcPr>
            <w:tcW w:w="18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43"/>
        </w:trPr>
        <w:tc>
          <w:tcPr>
            <w:tcW w:w="2960" w:type="dxa"/>
            <w:vAlign w:val="bottom"/>
          </w:tcPr>
          <w:p>
            <w:pPr>
              <w:spacing w:after="0"/>
              <w:rPr>
                <w:sz w:val="21"/>
                <w:szCs w:val="21"/>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BCXE</w:t>
            </w:r>
          </w:p>
        </w:tc>
        <w:tc>
          <w:tcPr>
            <w:tcW w:w="18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6"/>
        </w:trPr>
        <w:tc>
          <w:tcPr>
            <w:tcW w:w="296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AQEU</w:t>
            </w:r>
          </w:p>
        </w:tc>
        <w:tc>
          <w:tcPr>
            <w:tcW w:w="1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57"/>
        </w:trPr>
        <w:tc>
          <w:tcPr>
            <w:tcW w:w="296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color w:val="auto"/>
              </w:rPr>
              <w:t>TQEX</w:t>
            </w:r>
          </w:p>
        </w:tc>
        <w:tc>
          <w:tcPr>
            <w:tcW w:w="1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3"/>
        </w:trPr>
        <w:tc>
          <w:tcPr>
            <w:tcW w:w="296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r>
      <w:tr>
        <w:trPr>
          <w:trHeight w:val="25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1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300</w:t>
            </w:r>
          </w:p>
        </w:tc>
        <w:tc>
          <w:tcPr>
            <w:tcW w:w="24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415,616.00</w:t>
            </w:r>
          </w:p>
        </w:tc>
      </w:tr>
      <w:tr>
        <w:trPr>
          <w:trHeight w:val="25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under the program</w:t>
            </w:r>
          </w:p>
        </w:tc>
        <w:tc>
          <w:tcPr>
            <w:tcW w:w="21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2,079,911</w:t>
            </w:r>
          </w:p>
        </w:tc>
        <w:tc>
          <w:tcPr>
            <w:tcW w:w="24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2,705,255,726.19</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Details of each transaction are included as an appendix to this announcement.</w:t>
      </w:r>
    </w:p>
    <w:p>
      <w:pPr>
        <w:spacing w:after="0" w:line="239"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Following these transactions, Genmab holds 2,531,638 shares as treasury shares, corresponding to 3.95% of the total share capital and voting rights.</w:t>
      </w: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30</w:t>
            </w:r>
          </w:p>
        </w:tc>
        <w:tc>
          <w:tcPr>
            <w:tcW w:w="0" w:type="dxa"/>
            <w:vAlign w:val="bottom"/>
          </w:tcPr>
          <w:p>
            <w:pPr>
              <w:spacing w:after="0"/>
              <w:rPr>
                <w:sz w:val="1"/>
                <w:szCs w:val="1"/>
                <w:color w:val="auto"/>
              </w:rPr>
            </w:pPr>
          </w:p>
        </w:tc>
      </w:tr>
      <w:tr>
        <w:trPr>
          <w:trHeight w:val="148"/>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Page 1/2</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4734560</wp:posOffset>
            </wp:positionH>
            <wp:positionV relativeFrom="page">
              <wp:posOffset>397510</wp:posOffset>
            </wp:positionV>
            <wp:extent cx="131127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t>Transactions in Connection with Share Buy-back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share buy-back program is undertaken in accordance with Regulation (EU) No. 596/2014 (‘MAR’) and the Commission Delegated Regulation (EU) 2016/1052, also referred to as the “Safe Harbour Regulation.” Further details on the terms of the share buy-back program can be found in our company announcement no. 14 dated March 25, 2025.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Genmab</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Genmab is an international biotechnology company with a core purpose of guiding its unstoppable team to strive toward improving the lives of patients with innovative and differentiated antibody therapeutics. For more than 25 years, its passionate, innovative and collaborative team has invented next-generation antibody technology platforms and leveraged translational, quantitative and data sciences, resulting in a proprietary pipeline including bispecific T-cell engagers, antibody-drug conjugates, next-generation immune checkpoint modulators and effector function-enhanced antibodies. By 2030, Genmab’s vision is to transform the lives of people with cancer and other serious diseases with knock-your-socks-off (KYSO) antibody medicines</w:t>
      </w:r>
      <w:r>
        <w:rPr>
          <w:rFonts w:ascii="Arial" w:cs="Arial" w:eastAsia="Arial" w:hAnsi="Arial"/>
          <w:sz w:val="23"/>
          <w:szCs w:val="23"/>
          <w:color w:val="auto"/>
          <w:vertAlign w:val="superscript"/>
        </w:rPr>
        <w:t>®</w:t>
      </w:r>
      <w:r>
        <w:rPr>
          <w:rFonts w:ascii="Arial" w:cs="Arial" w:eastAsia="Arial" w:hAnsi="Arial"/>
          <w:sz w:val="18"/>
          <w:szCs w:val="18"/>
          <w:color w:val="auto"/>
        </w:rPr>
        <w:t>. </w:t>
      </w:r>
    </w:p>
    <w:p>
      <w:pPr>
        <w:spacing w:after="0" w:line="14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Established in 1999, Genmab is headquartered in Copenhagen, Denmark, with international presence across North America, Europe and Asia Pacific. For more information, please visit Genmab.com and follow us on LinkedIn and 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4" w:lineRule="exact"/>
        <w:rPr>
          <w:sz w:val="20"/>
          <w:szCs w:val="20"/>
          <w:color w:val="auto"/>
        </w:rPr>
      </w:pPr>
    </w:p>
    <w:p>
      <w:pPr>
        <w:ind w:right="4680"/>
        <w:spacing w:after="0" w:line="250" w:lineRule="auto"/>
        <w:rPr>
          <w:sz w:val="20"/>
          <w:szCs w:val="20"/>
          <w:color w:val="auto"/>
        </w:rPr>
      </w:pPr>
      <w:r>
        <w:rPr>
          <w:rFonts w:ascii="Arial" w:cs="Arial" w:eastAsia="Arial" w:hAnsi="Arial"/>
          <w:sz w:val="18"/>
          <w:szCs w:val="18"/>
          <w:color w:val="auto"/>
        </w:rPr>
        <w:t>Marisol Peron, Senior Vice President, Global Communications &amp; Corporate Affairs T: +1 609 524 0065; E: mmp@genmab.com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 +45 3377 9558; E: acn@genmab.com</w:t>
      </w:r>
    </w:p>
    <w:p>
      <w:pPr>
        <w:spacing w:after="0" w:line="232" w:lineRule="exact"/>
        <w:rPr>
          <w:sz w:val="20"/>
          <w:szCs w:val="20"/>
          <w:color w:val="auto"/>
        </w:rPr>
      </w:pPr>
    </w:p>
    <w:p>
      <w:pPr>
        <w:spacing w:after="0" w:line="243" w:lineRule="auto"/>
        <w:rPr>
          <w:sz w:val="20"/>
          <w:szCs w:val="20"/>
          <w:color w:val="auto"/>
        </w:rPr>
      </w:pPr>
      <w:r>
        <w:rPr>
          <w:rFonts w:ascii="Arial" w:cs="Arial" w:eastAsia="Arial" w:hAnsi="Arial"/>
          <w:sz w:val="14"/>
          <w:szCs w:val="14"/>
          <w:i w:val="1"/>
          <w:iCs w:val="1"/>
          <w:color w:val="auto"/>
        </w:rPr>
        <w:t>This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www.genmab.com and the risk factors included in Genmab’s most recent Annual Report on Form 20-F and other filings with the U.S. Securities and Exchange Commission (SEC), which are available at www.sec.gov. Genmab does not undertake any obligation to update or revise forward looking statements in</w:t>
      </w:r>
    </w:p>
    <w:p>
      <w:pPr>
        <w:spacing w:after="0" w:line="3"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i w:val="1"/>
          <w:iCs w:val="1"/>
          <w:color w:val="auto"/>
        </w:rPr>
        <w:t>this Company Announcement nor to confirm such statements to reflect subsequent events or circumstances after the date made or in relation to actual results, unless required by law.</w:t>
      </w:r>
    </w:p>
    <w:p>
      <w:pPr>
        <w:spacing w:after="0" w:line="228"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9"/>
          <w:szCs w:val="9"/>
          <w:i w:val="1"/>
          <w:iCs w:val="1"/>
          <w:color w:val="auto"/>
        </w:rPr>
        <w:t>®</w:t>
      </w:r>
      <w:r>
        <w:rPr>
          <w:rFonts w:ascii="Arial" w:cs="Arial" w:eastAsia="Arial" w:hAnsi="Arial"/>
          <w:sz w:val="14"/>
          <w:szCs w:val="14"/>
          <w:i w:val="1"/>
          <w:iCs w:val="1"/>
          <w:color w:val="auto"/>
        </w:rPr>
        <w:t>; the Y-shaped Genmab logo</w:t>
      </w:r>
      <w:r>
        <w:rPr>
          <w:rFonts w:ascii="Arial" w:cs="Arial" w:eastAsia="Arial" w:hAnsi="Arial"/>
          <w:sz w:val="9"/>
          <w:szCs w:val="9"/>
          <w:i w:val="1"/>
          <w:iCs w:val="1"/>
          <w:color w:val="auto"/>
        </w:rPr>
        <w:t>®</w:t>
      </w:r>
      <w:r>
        <w:rPr>
          <w:rFonts w:ascii="Arial" w:cs="Arial" w:eastAsia="Arial" w:hAnsi="Arial"/>
          <w:sz w:val="14"/>
          <w:szCs w:val="14"/>
          <w:i w:val="1"/>
          <w:iCs w:val="1"/>
          <w:color w:val="auto"/>
        </w:rPr>
        <w:t>; Genmab in combination with the Y-shaped Genmab logo</w:t>
      </w:r>
      <w:r>
        <w:rPr>
          <w:rFonts w:ascii="Arial" w:cs="Arial" w:eastAsia="Arial" w:hAnsi="Arial"/>
          <w:sz w:val="9"/>
          <w:szCs w:val="9"/>
          <w:i w:val="1"/>
          <w:iCs w:val="1"/>
          <w:color w:val="auto"/>
        </w:rPr>
        <w:t>®</w:t>
      </w:r>
      <w:r>
        <w:rPr>
          <w:rFonts w:ascii="Arial" w:cs="Arial" w:eastAsia="Arial" w:hAnsi="Arial"/>
          <w:sz w:val="14"/>
          <w:szCs w:val="14"/>
          <w:i w:val="1"/>
          <w:iCs w:val="1"/>
          <w:color w:val="auto"/>
        </w:rPr>
        <w:t>; HuMax</w:t>
      </w:r>
      <w:r>
        <w:rPr>
          <w:rFonts w:ascii="Arial" w:cs="Arial" w:eastAsia="Arial" w:hAnsi="Arial"/>
          <w:sz w:val="9"/>
          <w:szCs w:val="9"/>
          <w:i w:val="1"/>
          <w:iCs w:val="1"/>
          <w:color w:val="auto"/>
        </w:rPr>
        <w:t>®</w:t>
      </w:r>
      <w:r>
        <w:rPr>
          <w:rFonts w:ascii="Arial" w:cs="Arial" w:eastAsia="Arial" w:hAnsi="Arial"/>
          <w:sz w:val="14"/>
          <w:szCs w:val="14"/>
          <w:i w:val="1"/>
          <w:iCs w:val="1"/>
          <w:color w:val="auto"/>
        </w:rPr>
        <w:t>; DuoBody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HexElect</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KYSO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30</w:t>
            </w:r>
          </w:p>
        </w:tc>
        <w:tc>
          <w:tcPr>
            <w:tcW w:w="0" w:type="dxa"/>
            <w:vAlign w:val="bottom"/>
          </w:tcPr>
          <w:p>
            <w:pPr>
              <w:spacing w:after="0"/>
              <w:rPr>
                <w:sz w:val="1"/>
                <w:szCs w:val="1"/>
                <w:color w:val="auto"/>
              </w:rPr>
            </w:pPr>
          </w:p>
        </w:tc>
      </w:tr>
      <w:tr>
        <w:trPr>
          <w:trHeight w:val="148"/>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Page 2/2</w:t>
            </w:r>
          </w:p>
        </w:tc>
        <w:tc>
          <w:tcPr>
            <w:tcW w:w="0" w:type="dxa"/>
            <w:vAlign w:val="bottom"/>
          </w:tcPr>
          <w:p>
            <w:pPr>
              <w:spacing w:after="0"/>
              <w:rPr>
                <w:sz w:val="1"/>
                <w:szCs w:val="1"/>
                <w:color w:val="auto"/>
              </w:rPr>
            </w:pPr>
          </w:p>
        </w:tc>
      </w:tr>
      <w:tr>
        <w:trPr>
          <w:trHeight w:val="144"/>
        </w:trPr>
        <w:tc>
          <w:tcPr>
            <w:tcW w:w="3200" w:type="dxa"/>
            <w:vAlign w:val="bottom"/>
          </w:tcPr>
          <w:p>
            <w:pPr>
              <w:spacing w:after="0" w:line="145"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20"/>
          </w:cols>
          <w:pgMar w:left="320" w:top="1281"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163195</wp:posOffset>
            </wp:positionV>
            <wp:extent cx="131127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APPENDIX Share buy-back programme - Specification for May 26 –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640" w:type="dxa"/>
            <w:vAlign w:val="bottom"/>
            <w:tcBorders>
              <w:top w:val="single" w:sz="8" w:color="auto"/>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8"/>
                <w:szCs w:val="18"/>
                <w:color w:val="auto"/>
              </w:rPr>
              <w:t>Issuer</w:t>
            </w:r>
          </w:p>
        </w:tc>
        <w:tc>
          <w:tcPr>
            <w:tcW w:w="1880" w:type="dxa"/>
            <w:vAlign w:val="bottom"/>
            <w:tcBorders>
              <w:top w:val="single" w:sz="8" w:color="auto"/>
              <w:bottom w:val="single" w:sz="8" w:color="auto"/>
              <w:right w:val="single" w:sz="8" w:color="auto"/>
            </w:tcBorders>
            <w:shd w:val="clear" w:color="auto" w:fill="E7E6E6"/>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1520" w:type="dxa"/>
            <w:vAlign w:val="bottom"/>
            <w:tcBorders>
              <w:top w:val="single" w:sz="8" w:color="auto"/>
              <w:bottom w:val="single" w:sz="8" w:color="auto"/>
              <w:right w:val="single" w:sz="8" w:color="auto"/>
            </w:tcBorders>
            <w:shd w:val="clear" w:color="auto" w:fill="E7E6E6"/>
          </w:tcPr>
          <w:p>
            <w:pPr>
              <w:spacing w:after="0"/>
              <w:rPr>
                <w:sz w:val="20"/>
                <w:szCs w:val="20"/>
                <w:color w:val="auto"/>
              </w:rPr>
            </w:pPr>
            <w:r>
              <w:rPr>
                <w:rFonts w:ascii="Times New Roman" w:cs="Times New Roman" w:eastAsia="Times New Roman" w:hAnsi="Times New Roman"/>
                <w:sz w:val="18"/>
                <w:szCs w:val="18"/>
                <w:color w:val="auto"/>
              </w:rPr>
              <w:t>Time CET</w:t>
            </w:r>
          </w:p>
        </w:tc>
        <w:tc>
          <w:tcPr>
            <w:tcW w:w="1540" w:type="dxa"/>
            <w:vAlign w:val="bottom"/>
            <w:tcBorders>
              <w:top w:val="single" w:sz="8" w:color="auto"/>
              <w:bottom w:val="single" w:sz="8" w:color="auto"/>
              <w:right w:val="single" w:sz="8" w:color="auto"/>
            </w:tcBorders>
            <w:shd w:val="clear" w:color="auto" w:fill="E7E6E6"/>
          </w:tcPr>
          <w:p>
            <w:pPr>
              <w:spacing w:after="0"/>
              <w:rPr>
                <w:sz w:val="20"/>
                <w:szCs w:val="20"/>
                <w:color w:val="auto"/>
              </w:rPr>
            </w:pPr>
            <w:r>
              <w:rPr>
                <w:rFonts w:ascii="Times New Roman" w:cs="Times New Roman" w:eastAsia="Times New Roman" w:hAnsi="Times New Roman"/>
                <w:sz w:val="18"/>
                <w:szCs w:val="18"/>
                <w:color w:val="auto"/>
              </w:rPr>
              <w:t>Quantity</w:t>
            </w:r>
          </w:p>
        </w:tc>
        <w:tc>
          <w:tcPr>
            <w:tcW w:w="1540" w:type="dxa"/>
            <w:vAlign w:val="bottom"/>
            <w:tcBorders>
              <w:top w:val="single" w:sz="8" w:color="auto"/>
              <w:bottom w:val="single" w:sz="8" w:color="auto"/>
              <w:right w:val="single" w:sz="8" w:color="auto"/>
            </w:tcBorders>
            <w:shd w:val="clear" w:color="auto" w:fill="E7E6E6"/>
          </w:tcPr>
          <w:p>
            <w:pPr>
              <w:spacing w:after="0"/>
              <w:rPr>
                <w:sz w:val="20"/>
                <w:szCs w:val="20"/>
                <w:color w:val="auto"/>
              </w:rPr>
            </w:pPr>
            <w:r>
              <w:rPr>
                <w:rFonts w:ascii="Times New Roman" w:cs="Times New Roman" w:eastAsia="Times New Roman" w:hAnsi="Times New Roman"/>
                <w:sz w:val="18"/>
                <w:szCs w:val="18"/>
                <w:color w:val="auto"/>
              </w:rPr>
              <w:t>Price (DKK)</w:t>
            </w:r>
          </w:p>
        </w:tc>
        <w:tc>
          <w:tcPr>
            <w:tcW w:w="1540" w:type="dxa"/>
            <w:vAlign w:val="bottom"/>
            <w:tcBorders>
              <w:top w:val="single" w:sz="8" w:color="auto"/>
              <w:bottom w:val="single" w:sz="8" w:color="auto"/>
              <w:right w:val="single" w:sz="8" w:color="auto"/>
            </w:tcBorders>
            <w:shd w:val="clear" w:color="auto" w:fill="E7E6E6"/>
          </w:tcPr>
          <w:p>
            <w:pPr>
              <w:spacing w:after="0"/>
              <w:rPr>
                <w:sz w:val="20"/>
                <w:szCs w:val="20"/>
                <w:color w:val="auto"/>
              </w:rPr>
            </w:pPr>
            <w:r>
              <w:rPr>
                <w:rFonts w:ascii="Times New Roman" w:cs="Times New Roman" w:eastAsia="Times New Roman" w:hAnsi="Times New Roman"/>
                <w:sz w:val="18"/>
                <w:szCs w:val="18"/>
                <w:color w:val="auto"/>
              </w:rPr>
              <w:t>Venue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09:41:37 AM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1375.50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09:42:03 AM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1374.00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10:08:10 AM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1381.00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10:50:37 AM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1379.50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11:37:40 AM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1377.00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12:00:34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1379.50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12:53:58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1379.00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13:57:22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1381.00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14:20:10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1381.50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14:33:53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1380.50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14:47:23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1376.50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15:04:31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1379.00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15:24:35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1377.50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15:50:41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1374.50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16:12:14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1372.00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16:33:04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1371.00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16:50:58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1370.00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10:14:29 AM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1379.50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10:14:53 AM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1378.00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10:49:45 AM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1392.00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11:34:07 AM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1400.00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11:57:22 AM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1394.50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12:48:00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1400.50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13:49:58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1399.50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14:22:31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1405.00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15:04:32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1406.00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15:16:11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1403.50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15:30:00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1403.00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15:30:00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1403.00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15:36:21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1403.00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15:41:54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1404.50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15:53:30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1404.50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16:01:13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1398.50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16:12:55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1397.00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16:22:02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1395.00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16:36:13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1394.00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16:46:25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1393.50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16:52:18 PM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1395.00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09:33:33 AM</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1380.00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4734560</wp:posOffset>
            </wp:positionH>
            <wp:positionV relativeFrom="page">
              <wp:posOffset>551815</wp:posOffset>
            </wp:positionV>
            <wp:extent cx="131127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APPENDIX Share buy-back programme - Specification for May 31 – June 4, 2021</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09:38:21 AM</w:t>
            </w:r>
          </w:p>
        </w:tc>
        <w:tc>
          <w:tcPr>
            <w:tcW w:w="154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top w:val="single" w:sz="8" w:color="auto"/>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1386.00</w:t>
            </w:r>
          </w:p>
        </w:tc>
        <w:tc>
          <w:tcPr>
            <w:tcW w:w="15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10:27:31 AM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1386.50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10:27:31 AM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1386.50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11:24:44 AM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1376.50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12:39:26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1378.50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13:34:36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1380.50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14:16:05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1377.50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14:51:06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1375.50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15:19:53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1377.00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15:33:11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1370.50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15:44:37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1380.50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15:55:17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1380.00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16:08:00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1388.50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16:19:50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1388.50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16:32:55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1387.00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16:45:16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1388.00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r>
        <w:trPr>
          <w:trHeight w:val="223"/>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GENMAB A/S</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28-May-2025</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16:50:22 PM</w:t>
            </w:r>
          </w:p>
        </w:tc>
        <w:tc>
          <w:tcPr>
            <w:tcW w:w="154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1387.00</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XCSE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2025-06-02T07:51:15Z</dcterms:created>
  <dcterms:modified xsi:type="dcterms:W3CDTF">2025-06-02T07:51:15Z</dcterms:modified>
</cp:coreProperties>
</file>