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OCTOBER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7096" w:type="dxa"/>
        <w:jc w:val="left"/>
        <w:tblInd w:w="0" w:type="dxa"/>
        <w:tblLayout w:type="fixed"/>
        <w:tblCellMar>
          <w:top w:w="28" w:type="dxa"/>
          <w:left w:w="28" w:type="dxa"/>
          <w:bottom w:w="28" w:type="dxa"/>
          <w:right w:w="28" w:type="dxa"/>
        </w:tblCellMar>
      </w:tblPr>
      <w:tblGrid>
        <w:gridCol w:w="266"/>
        <w:gridCol w:w="234"/>
        <w:gridCol w:w="236"/>
        <w:gridCol w:w="1862"/>
        <w:gridCol w:w="1862"/>
        <w:gridCol w:w="263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3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Company Announcement Dated October 2, 2026: </w:t>
            </w:r>
            <w:hyperlink w:anchor="gmab_20261002xex99d1.htm">
              <w:r>
                <w:rPr>
                  <w:rStyle w:val="InternetLink"/>
                  <w:rFonts w:ascii="Times New Roman;serif" w:hAnsi="Times New Roman;serif"/>
                  <w:b w:val="false"/>
                  <w:color w:val="000000"/>
                  <w:sz w:val="20"/>
                  <w:u w:val="single"/>
                </w:rPr>
                <w:t>Major Shareholder Update</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OCTOBER 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419100"/>
                    </a:xfrm>
                    <a:prstGeom prst="rect">
                      <a:avLst/>
                    </a:prstGeom>
                  </pic:spPr>
                </pic:pic>
              </a:graphicData>
            </a:graphic>
          </wp:inline>
        </w:drawing>
      </w:r>
    </w:p>
    <w:p>
      <w:pPr>
        <w:pStyle w:val="TextBody"/>
        <w:bidi w:val="0"/>
        <w:spacing w:lineRule="auto" w:line="268" w:before="0" w:after="0"/>
        <w:jc w:val="both"/>
        <w:rPr>
          <w:rFonts w:ascii="Arial;sans-serif" w:hAnsi="Arial;sans-serif"/>
          <w:b/>
          <w:color w:val="000000"/>
          <w:sz w:val="26"/>
        </w:rPr>
      </w:pPr>
      <w:r>
        <w:rPr>
          <w:rFonts w:ascii="Arial;sans-serif" w:hAnsi="Arial;sans-serif"/>
          <w:b/>
          <w:color w:val="000000"/>
          <w:sz w:val="26"/>
        </w:rPr>
        <w:t>Major Shareholder Announcement</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COPENHAGEN, Denmark; October 2, 2026 – </w:t>
      </w:r>
      <w:r>
        <w:rPr>
          <w:rFonts w:ascii="Arial;sans-serif" w:hAnsi="Arial;sans-serif"/>
          <w:b/>
          <w:color w:val="0000FF"/>
          <w:sz w:val="20"/>
        </w:rPr>
        <w:t>Genmab A/S</w:t>
      </w:r>
      <w:r>
        <w:rPr>
          <w:color w:val="000000"/>
        </w:rPr>
        <w:t xml:space="preserve"> </w:t>
      </w:r>
      <w:r>
        <w:rPr>
          <w:rFonts w:ascii="Arial;sans-serif" w:hAnsi="Arial;sans-serif"/>
          <w:b/>
          <w:color w:val="000000"/>
          <w:sz w:val="20"/>
        </w:rPr>
        <w:t>(Nasdaq: GMAB) announces under reference to Section 30 of the Danish Capital Markets Act that Darwin Global Management Limited (“Darwin”) has informed us that, as of September 28, 2026, Darwin through shares and ADRs</w:t>
      </w:r>
      <w:r>
        <w:rPr>
          <w:color w:val="000000"/>
        </w:rPr>
        <w:t xml:space="preserve"> </w:t>
      </w:r>
      <w:r>
        <w:rPr>
          <w:rFonts w:ascii="Arial;sans-serif" w:hAnsi="Arial;sans-serif"/>
          <w:b/>
          <w:color w:val="000000"/>
          <w:sz w:val="20"/>
        </w:rPr>
        <w:t xml:space="preserve">held by certain investment funds and portfolios for which Darwin acts as investment manager, controls the voting rights attached to 3,188,361 shares in Genmab A/S, corresponding to 5.11% of the voting rights in Genmab A/S.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About Genmab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Established in 1999, Genmab is headquartered in Copenhagen, Denmark, with international presence across North America, Europe and Asia Pacific. For more information, please visit Genmab.com or follow us on LinkedIn, X, Facebook and Instagram.</w:t>
      </w:r>
    </w:p>
    <w:p>
      <w:pPr>
        <w:pStyle w:val="TextBody"/>
        <w:bidi w:val="0"/>
        <w:spacing w:lineRule="auto" w:line="288" w:before="0" w:after="0"/>
        <w:jc w:val="left"/>
        <w:rPr/>
      </w:pPr>
      <w:r>
        <w:rPr>
          <w:rFonts w:ascii="Arial;sans-serif" w:hAnsi="Arial;sans-serif"/>
          <w:b/>
          <w:color w:val="000000"/>
          <w:sz w:val="20"/>
        </w:rPr>
        <w:t>Contact:    </w:t>
        <w:br/>
      </w:r>
      <w:r>
        <w:rPr>
          <w:rFonts w:ascii="Arial;sans-serif" w:hAnsi="Arial;sans-serif"/>
          <w:b w:val="false"/>
          <w:color w:val="000000"/>
          <w:sz w:val="20"/>
        </w:rPr>
        <w:t>Marisol Peron, Senior Vice President, Global Communications &amp; Corporate Affairs</w:t>
      </w:r>
    </w:p>
    <w:p>
      <w:pPr>
        <w:pStyle w:val="TextBody"/>
        <w:bidi w:val="0"/>
        <w:spacing w:lineRule="auto" w:line="288" w:before="0" w:after="0"/>
        <w:jc w:val="left"/>
        <w:rPr/>
      </w:pPr>
      <w:r>
        <w:rPr>
          <w:rFonts w:ascii="Arial;sans-serif" w:hAnsi="Arial;sans-serif"/>
          <w:b w:val="false"/>
          <w:color w:val="000000"/>
          <w:sz w:val="20"/>
        </w:rPr>
        <w:t xml:space="preserve">T: +1 609 524 0065; E: </w:t>
      </w:r>
      <w:r>
        <w:rPr>
          <w:rFonts w:ascii="Arial;sans-serif" w:hAnsi="Arial;sans-serif"/>
          <w:b w:val="false"/>
          <w:color w:val="0000FF"/>
          <w:sz w:val="20"/>
          <w:u w:val="single"/>
        </w:rPr>
        <w:t>mmp@genmab.com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Andrew Carlsen, Vice President, Head of Investor Relations</w:t>
      </w:r>
    </w:p>
    <w:p>
      <w:pPr>
        <w:pStyle w:val="TextBody"/>
        <w:bidi w:val="0"/>
        <w:spacing w:lineRule="auto" w:line="288" w:before="0" w:after="0"/>
        <w:jc w:val="left"/>
        <w:rPr/>
      </w:pPr>
      <w:r>
        <w:rPr>
          <w:rFonts w:ascii="Arial;sans-serif" w:hAnsi="Arial;sans-serif"/>
          <w:b w:val="false"/>
          <w:color w:val="000000"/>
          <w:sz w:val="20"/>
        </w:rPr>
        <w:t xml:space="preserve">T: +45 3377 9558; E: </w:t>
      </w:r>
      <w:r>
        <w:rPr>
          <w:rFonts w:ascii="Arial;sans-serif" w:hAnsi="Arial;sans-serif"/>
          <w:b w:val="false"/>
          <w:color w:val="0000FF"/>
          <w:sz w:val="20"/>
          <w:u w:val="single"/>
        </w:rPr>
        <w:t>acn@genmab.com</w:t>
      </w:r>
      <w:r>
        <w:rPr>
          <w:color w:val="000000"/>
        </w:rPr>
        <w:t xml:space="preserve"> </w:t>
      </w:r>
    </w:p>
    <w:p>
      <w:pPr>
        <w:pStyle w:val="TextBody"/>
        <w:bidi w:val="0"/>
        <w:spacing w:lineRule="auto" w:line="276" w:before="0" w:after="0"/>
        <w:jc w:val="left"/>
        <w:rPr/>
      </w:pPr>
      <w:r>
        <w:rPr>
          <w:rFonts w:ascii="Arial;sans-serif" w:hAnsi="Arial;sans-serif"/>
          <w:b w:val="false"/>
          <w:color w:val="000000"/>
          <w:sz w:val="20"/>
        </w:rPr>
        <w:br/>
      </w:r>
      <w:r>
        <w:rPr>
          <w:rFonts w:ascii="Arial;sans-serif" w:hAnsi="Arial;sans-serif"/>
          <w:b w:val="false"/>
          <w:i/>
          <w:color w:val="000000"/>
          <w:sz w:val="16"/>
        </w:rPr>
        <w:t>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www.genmab.com</w:t>
      </w:r>
    </w:p>
    <w:p>
      <w:pPr>
        <w:pStyle w:val="TextBody"/>
        <w:bidi w:val="0"/>
        <w:spacing w:lineRule="auto" w:line="268" w:before="0" w:after="0"/>
        <w:jc w:val="left"/>
        <w:rPr>
          <w:rFonts w:ascii="Arial;sans-serif" w:hAnsi="Arial;sans-serif"/>
          <w:b w:val="false"/>
          <w:i/>
          <w:color w:val="000000"/>
          <w:sz w:val="16"/>
        </w:rPr>
      </w:pPr>
      <w:r>
        <w:rPr>
          <w:rFonts w:ascii="Arial;sans-serif" w:hAnsi="Arial;sans-serif"/>
          <w:b w:val="false"/>
          <w:i/>
          <w:color w:val="000000"/>
          <w:sz w:val="16"/>
        </w:rPr>
        <w:t xml:space="preserve">and the risk factors included in Genmab’s most recent Annual Report on Form 20-F and other filings with the U.S. Securities and Exchange Commission (SEC), which are available at www.sec.gov . Genmab does not undertake any obligation to update or revise forward looking statements in this Company Announcement nor to confirm such statements to reflect subsequent events or circumstances after the date made or in relation to actual results, unless required by law. </w:t>
      </w:r>
    </w:p>
    <w:p>
      <w:pPr>
        <w:pStyle w:val="TextBody"/>
        <w:bidi w:val="0"/>
        <w:spacing w:lineRule="auto" w:line="288" w:before="0" w:after="0"/>
        <w:jc w:val="left"/>
        <w:rPr/>
      </w:pPr>
      <w:r>
        <w:rPr>
          <w:rFonts w:ascii="Arial;sans-serif" w:hAnsi="Arial;sans-serif"/>
          <w:b w:val="false"/>
          <w:color w:val="000000"/>
          <w:sz w:val="16"/>
        </w:rPr>
        <w:br/>
      </w: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0"/>
        </w:rPr>
        <w:t>®</w:t>
      </w:r>
      <w:r>
        <w:rPr>
          <w:rFonts w:ascii="Arial;sans-serif" w:hAnsi="Arial;sans-serif"/>
          <w:b w:val="false"/>
          <w:i/>
          <w:color w:val="000000"/>
          <w:sz w:val="16"/>
        </w:rPr>
        <w:t>; the Y-shaped Genmab logo</w:t>
      </w:r>
      <w:r>
        <w:rPr>
          <w:rFonts w:ascii="Arial;sans-serif" w:hAnsi="Arial;sans-serif"/>
          <w:b w:val="false"/>
          <w:i/>
          <w:color w:val="000000"/>
          <w:sz w:val="10"/>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0"/>
        </w:rPr>
        <w:t>®</w:t>
      </w:r>
      <w:r>
        <w:rPr>
          <w:rFonts w:ascii="Arial;sans-serif" w:hAnsi="Arial;sans-serif"/>
          <w:b w:val="false"/>
          <w:i/>
          <w:color w:val="000000"/>
          <w:sz w:val="16"/>
        </w:rPr>
        <w:t>; HuMax</w:t>
      </w:r>
      <w:r>
        <w:rPr>
          <w:rFonts w:ascii="Arial;sans-serif" w:hAnsi="Arial;sans-serif"/>
          <w:b w:val="false"/>
          <w:i/>
          <w:color w:val="000000"/>
          <w:sz w:val="10"/>
        </w:rPr>
        <w:t>®</w:t>
      </w:r>
      <w:r>
        <w:rPr>
          <w:rFonts w:ascii="Arial;sans-serif" w:hAnsi="Arial;sans-serif"/>
          <w:b w:val="false"/>
          <w:i/>
          <w:color w:val="000000"/>
          <w:sz w:val="16"/>
        </w:rPr>
        <w:t>; DuoBody</w:t>
      </w:r>
      <w:r>
        <w:rPr>
          <w:rFonts w:ascii="Arial;sans-serif" w:hAnsi="Arial;sans-serif"/>
          <w:b w:val="false"/>
          <w:i/>
          <w:color w:val="000000"/>
          <w:sz w:val="10"/>
        </w:rPr>
        <w:t>®</w:t>
      </w:r>
      <w:r>
        <w:rPr>
          <w:rFonts w:ascii="Arial;sans-serif" w:hAnsi="Arial;sans-serif"/>
          <w:b w:val="false"/>
          <w:i/>
          <w:color w:val="000000"/>
          <w:sz w:val="16"/>
        </w:rPr>
        <w:t>; HexaBody</w:t>
      </w:r>
      <w:r>
        <w:rPr>
          <w:rFonts w:ascii="Arial;sans-serif" w:hAnsi="Arial;sans-serif"/>
          <w:b w:val="false"/>
          <w:i/>
          <w:color w:val="000000"/>
          <w:sz w:val="10"/>
        </w:rPr>
        <w:t>®</w:t>
      </w:r>
      <w:r>
        <w:rPr>
          <w:rFonts w:ascii="Arial;sans-serif" w:hAnsi="Arial;sans-serif"/>
          <w:b w:val="false"/>
          <w:i/>
          <w:color w:val="000000"/>
          <w:sz w:val="16"/>
        </w:rPr>
        <w:t>; DuoHexaBody</w:t>
      </w:r>
      <w:r>
        <w:rPr>
          <w:rFonts w:ascii="Arial;sans-serif" w:hAnsi="Arial;sans-serif"/>
          <w:b w:val="false"/>
          <w:i/>
          <w:color w:val="000000"/>
          <w:sz w:val="10"/>
        </w:rPr>
        <w:t>®</w:t>
      </w:r>
      <w:r>
        <w:rPr>
          <w:rFonts w:ascii="Arial;sans-serif" w:hAnsi="Arial;sans-serif"/>
          <w:b w:val="false"/>
          <w:i/>
          <w:color w:val="000000"/>
          <w:sz w:val="16"/>
        </w:rPr>
        <w:t>, HexElect</w:t>
      </w:r>
      <w:r>
        <w:rPr>
          <w:rFonts w:ascii="Arial;sans-serif" w:hAnsi="Arial;sans-serif"/>
          <w:b w:val="false"/>
          <w:i/>
          <w:color w:val="000000"/>
          <w:sz w:val="10"/>
        </w:rPr>
        <w:t xml:space="preserve">® </w:t>
      </w:r>
      <w:r>
        <w:rPr>
          <w:rFonts w:ascii="Arial;sans-serif" w:hAnsi="Arial;sans-serif"/>
          <w:b w:val="false"/>
          <w:i/>
          <w:color w:val="000000"/>
          <w:sz w:val="16"/>
        </w:rPr>
        <w:t>and KYSO</w:t>
      </w:r>
      <w:r>
        <w:rPr>
          <w:rFonts w:ascii="Arial;sans-serif" w:hAnsi="Arial;sans-serif"/>
          <w:b w:val="false"/>
          <w:color w:val="000000"/>
          <w:sz w:val="13"/>
        </w:rPr>
        <w:t>®</w:t>
      </w:r>
      <w:r>
        <w:rPr>
          <w:rFonts w:ascii="Arial;sans-serif" w:hAnsi="Arial;sans-serif"/>
          <w:b w:val="false"/>
          <w:i/>
          <w:color w:val="000000"/>
          <w:sz w:val="16"/>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56740"/>
                <wp:effectExtent l="0" t="0" r="0" b="0"/>
                <wp:wrapNone/>
                <wp:docPr id="5" name="Frame4"/>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39</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39</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759</Words>
  <Characters>4446</Characters>
  <CharactersWithSpaces>5171</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