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OCTOBER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4845" w:type="dxa"/>
        <w:jc w:val="left"/>
        <w:tblInd w:w="0" w:type="dxa"/>
        <w:tblLayout w:type="fixed"/>
        <w:tblCellMar>
          <w:top w:w="28" w:type="dxa"/>
          <w:left w:w="28" w:type="dxa"/>
          <w:bottom w:w="28" w:type="dxa"/>
          <w:right w:w="28" w:type="dxa"/>
        </w:tblCellMar>
      </w:tblPr>
      <w:tblGrid>
        <w:gridCol w:w="266"/>
        <w:gridCol w:w="234"/>
        <w:gridCol w:w="236"/>
        <w:gridCol w:w="1203"/>
        <w:gridCol w:w="1203"/>
        <w:gridCol w:w="170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1007xex99d1.htm">
              <w:r>
                <w:rPr>
                  <w:rStyle w:val="InternetLink"/>
                  <w:rFonts w:ascii="Times New Roman;serif" w:hAnsi="Times New Roman;serif"/>
                  <w:b w:val="false"/>
                  <w:color w:val="000000"/>
                  <w:sz w:val="20"/>
                  <w:u w:val="single"/>
                </w:rPr>
                <w:t>Company Announcement Dated October 7, 2026</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October 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lineRule="auto" w:line="276" w:before="0" w:after="0"/>
        <w:jc w:val="left"/>
        <w:rPr>
          <w:rFonts w:ascii="Arial;sans-serif" w:hAnsi="Arial;sans-serif"/>
          <w:b/>
          <w:color w:val="000000"/>
          <w:sz w:val="26"/>
        </w:rPr>
      </w:pPr>
      <w:r>
        <w:rPr>
          <w:rFonts w:ascii="Arial;sans-serif" w:hAnsi="Arial;sans-serif"/>
          <w:b/>
          <w:color w:val="000000"/>
          <w:sz w:val="26"/>
        </w:rPr>
        <w:t>Resolution Adopted at the Extraordinary General Meeting of Genmab A/S Including Grant of Restricted Stock Units to Board Members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COPENHAGEN, Denmark; October 7, 2026 – Genmab A/S (Nasdaq: GMAB)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Today, Genmab A/S held an Extraordinary General Meeting.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At the Extraordinary General Meeting the proposal from the Board of Directors on remuneration of the Board of Directors for 2026, including share-based remuneration in the form of restricted stock units, was approved.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As a result of the adoption of the proposal, a total of 5,300</w:t>
      </w:r>
      <w:r>
        <w:rPr>
          <w:color w:val="000000"/>
        </w:rPr>
        <w:t xml:space="preserve"> </w:t>
      </w:r>
      <w:r>
        <w:rPr>
          <w:rFonts w:ascii="Arial;sans-serif" w:hAnsi="Arial;sans-serif"/>
          <w:b w:val="false"/>
          <w:color w:val="000000"/>
          <w:sz w:val="20"/>
        </w:rPr>
        <w:t xml:space="preserve">restricted stock units were granted to the members of the Board of Directors in accordance with Genmab A/S’ Remuneration Policy.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Each restricted stock unit is awarded cost-free and provides the owner with a conditional right to receive one share in Genmab A/S of nominally DKK 1. The fair value of each restricted stock unit is equal to the closing market price of one Genmab A/S share on the date of grant, DKK 2,487.00.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restricted stock units will vest on the first banking day of the month following a period of three years from the date of grant and are otherwise subject to the terms and conditions set out in Genmab A/S’ Remuneration Policy and the applicable restricted stock unit program.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Information concerning Genmab’s restricted stock unit program can be found on www.genmab.com under Investors &gt; Governance &gt; Compensation &gt; Restricted Stock Units. Genmab's Remuneration Policy is accessible via this link Compensation | Genmab.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About Genmab</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Established in 1999, Genmab is headquartered in Copenhagen, Denmark, with international presence across North America, Europe and Asia Pacific. For more information, please visit </w:t>
      </w:r>
      <w:r>
        <w:rPr>
          <w:rFonts w:ascii="Arial;sans-serif" w:hAnsi="Arial;sans-serif"/>
          <w:b w:val="false"/>
          <w:color w:val="0000FF"/>
          <w:sz w:val="20"/>
        </w:rPr>
        <w:t>Genmab.com</w:t>
      </w:r>
      <w:r>
        <w:rPr>
          <w:color w:val="000000"/>
        </w:rPr>
        <w:t> </w:t>
      </w:r>
      <w:r>
        <w:rPr>
          <w:rFonts w:ascii="Arial;sans-serif" w:hAnsi="Arial;sans-serif"/>
          <w:b w:val="false"/>
          <w:color w:val="000000"/>
          <w:sz w:val="20"/>
        </w:rPr>
        <w:t xml:space="preserve">and follow us on </w:t>
      </w:r>
      <w:r>
        <w:rPr>
          <w:rFonts w:ascii="Arial;sans-serif" w:hAnsi="Arial;sans-serif"/>
          <w:b w:val="false"/>
          <w:color w:val="0000FF"/>
          <w:sz w:val="20"/>
        </w:rPr>
        <w:t>LinkedIn</w:t>
      </w:r>
      <w:r>
        <w:rPr>
          <w:rFonts w:ascii="Arial;sans-serif" w:hAnsi="Arial;sans-serif"/>
          <w:b w:val="false"/>
          <w:color w:val="000000"/>
          <w:sz w:val="20"/>
        </w:rPr>
        <w:t xml:space="preserve">, </w:t>
      </w:r>
      <w:r>
        <w:rPr>
          <w:rFonts w:ascii="Arial;sans-serif" w:hAnsi="Arial;sans-serif"/>
          <w:b w:val="false"/>
          <w:color w:val="0000FF"/>
          <w:sz w:val="20"/>
        </w:rPr>
        <w:t>X</w:t>
      </w:r>
      <w:r>
        <w:rPr>
          <w:rFonts w:ascii="Arial;sans-serif" w:hAnsi="Arial;sans-serif"/>
          <w:b w:val="false"/>
          <w:color w:val="000000"/>
          <w:sz w:val="20"/>
        </w:rPr>
        <w:t>,</w:t>
      </w:r>
      <w:r>
        <w:rPr>
          <w:color w:val="467886"/>
        </w:rPr>
        <w:t xml:space="preserve"> </w:t>
      </w:r>
      <w:r>
        <w:rPr>
          <w:rFonts w:ascii="Arial;sans-serif" w:hAnsi="Arial;sans-serif"/>
          <w:b w:val="false"/>
          <w:color w:val="0000FF"/>
          <w:sz w:val="20"/>
        </w:rPr>
        <w:t>Facebook</w:t>
      </w:r>
      <w:r>
        <w:rPr>
          <w:color w:val="0000FF"/>
        </w:rPr>
        <w:t xml:space="preserve"> </w:t>
      </w:r>
      <w:r>
        <w:rPr>
          <w:rFonts w:ascii="Arial;sans-serif" w:hAnsi="Arial;sans-serif"/>
          <w:b w:val="false"/>
          <w:color w:val="000000"/>
          <w:sz w:val="20"/>
        </w:rPr>
        <w:t xml:space="preserve">and </w:t>
      </w:r>
      <w:r>
        <w:rPr>
          <w:rFonts w:ascii="Arial;sans-serif" w:hAnsi="Arial;sans-serif"/>
          <w:b w:val="false"/>
          <w:color w:val="0000FF"/>
          <w:sz w:val="20"/>
        </w:rPr>
        <w:t>Instagram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Contact:</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Marisol Peron, Senior Vice President, Global Communications &amp; Corporate Affairs</w:t>
      </w:r>
    </w:p>
    <w:p>
      <w:pPr>
        <w:pStyle w:val="TextBody"/>
        <w:bidi w:val="0"/>
        <w:spacing w:lineRule="auto" w:line="268" w:before="0" w:after="0"/>
        <w:jc w:val="left"/>
        <w:rPr/>
      </w:pPr>
      <w:r>
        <w:rPr>
          <w:rFonts w:ascii="Arial;sans-serif" w:hAnsi="Arial;sans-serif"/>
          <w:b w:val="false"/>
          <w:color w:val="000000"/>
          <w:sz w:val="20"/>
        </w:rPr>
        <w:t xml:space="preserve">T: +1 609 524 0065; E: </w:t>
      </w:r>
      <w:r>
        <w:rPr>
          <w:rFonts w:ascii="Arial;sans-serif" w:hAnsi="Arial;sans-serif"/>
          <w:b w:val="false"/>
          <w:color w:val="0000FF"/>
          <w:sz w:val="20"/>
        </w:rPr>
        <w:t>mmp@genmab.com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68" w:before="0" w:after="0"/>
        <w:jc w:val="left"/>
        <w:rPr/>
      </w:pPr>
      <w:r>
        <w:rPr>
          <w:rFonts w:ascii="Arial;sans-serif" w:hAnsi="Arial;sans-serif"/>
          <w:b w:val="false"/>
          <w:color w:val="000000"/>
          <w:sz w:val="20"/>
        </w:rPr>
        <w:t xml:space="preserve">T: +45 3377 9558; E: </w:t>
      </w:r>
      <w:r>
        <w:rPr>
          <w:rFonts w:ascii="Arial;sans-serif" w:hAnsi="Arial;sans-serif"/>
          <w:b w:val="false"/>
          <w:color w:val="0000FF"/>
          <w:sz w:val="20"/>
        </w:rPr>
        <w:t xml:space="preserve">acn@genmab.com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57325" cy="419100"/>
                    </a:xfrm>
                    <a:prstGeom prst="rect">
                      <a:avLst/>
                    </a:prstGeom>
                  </pic:spPr>
                </pic:pic>
              </a:graphicData>
            </a:graphic>
          </wp:inline>
        </w:drawing>
      </w:r>
    </w:p>
    <w:p>
      <w:pPr>
        <w:pStyle w:val="TextBody"/>
        <w:bidi w:val="0"/>
        <w:spacing w:lineRule="auto" w:line="276" w:before="0" w:after="0"/>
        <w:jc w:val="left"/>
        <w:rPr>
          <w:rFonts w:ascii="Arial;sans-serif" w:hAnsi="Arial;sans-serif"/>
          <w:b/>
          <w:color w:val="000000"/>
          <w:sz w:val="26"/>
        </w:rPr>
      </w:pPr>
      <w:r>
        <w:rPr>
          <w:rFonts w:ascii="Arial;sans-serif" w:hAnsi="Arial;sans-serif"/>
          <w:b/>
          <w:color w:val="000000"/>
          <w:sz w:val="26"/>
        </w:rPr>
        <w:t>Resolution Adopted at the Extraordinary General Meeting of Genmab A/S Including Grant of Restricted Stock Units to Board Members</w:t>
      </w:r>
    </w:p>
    <w:p>
      <w:pPr>
        <w:pStyle w:val="TextBody"/>
        <w:bidi w:val="0"/>
        <w:spacing w:lineRule="auto" w:line="288" w:before="0" w:after="0"/>
        <w:jc w:val="left"/>
        <w:rPr/>
      </w:pPr>
      <w:r>
        <w:rPr>
          <w:rFonts w:ascii="Arial;sans-serif" w:hAnsi="Arial;sans-serif"/>
          <w:b w:val="false"/>
          <w:i/>
          <w:color w:val="000000"/>
          <w:sz w:val="16"/>
        </w:rPr>
        <w:t xml:space="preserve">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sans-serif" w:hAnsi="Arial;sans-serif"/>
          <w:b w:val="false"/>
          <w:i/>
          <w:color w:val="000000"/>
          <w:sz w:val="16"/>
          <w:u w:val="single"/>
        </w:rPr>
        <w:t xml:space="preserve">www.genmab.com </w:t>
      </w:r>
      <w:r>
        <w:rPr>
          <w:rFonts w:ascii="Arial;sans-serif" w:hAnsi="Arial;sans-serif"/>
          <w:b w:val="false"/>
          <w:i/>
          <w:color w:val="000000"/>
          <w:sz w:val="16"/>
        </w:rPr>
        <w:t xml:space="preserve">and the risk factors included in Genmab’s most recent Annual Report on Form 20-F and other filings with the U.S. Securities and Exchange Commission (SEC), which are available at </w:t>
      </w:r>
      <w:r>
        <w:rPr>
          <w:rFonts w:ascii="Arial;sans-serif" w:hAnsi="Arial;sans-serif"/>
          <w:b w:val="false"/>
          <w:i/>
          <w:color w:val="000000"/>
          <w:sz w:val="16"/>
          <w:u w:val="single"/>
        </w:rPr>
        <w:t>www.sec.gov</w:t>
      </w:r>
      <w:r>
        <w:rPr>
          <w:rFonts w:ascii="Arial;sans-serif" w:hAnsi="Arial;sans-serif"/>
          <w:b w:val="false"/>
          <w:i/>
          <w:color w:val="000000"/>
          <w:sz w:val="16"/>
        </w:rPr>
        <w:t xml:space="preserve">. Genmab does not undertake any obligation to update or revise forward looking statements in the Company Announcement nor to confirm such statements to reflect subsequent events or circumstances after the date made or in relation to actual results, unless required by law. </w:t>
      </w:r>
    </w:p>
    <w:p>
      <w:pPr>
        <w:pStyle w:val="TextBody"/>
        <w:bidi w:val="0"/>
        <w:spacing w:lineRule="auto" w:line="288" w:before="0" w:after="0"/>
        <w:jc w:val="left"/>
        <w:rPr/>
      </w:pPr>
      <w:r>
        <w:rPr>
          <w:rFonts w:ascii="Arial;sans-serif" w:hAnsi="Arial;sans-serif"/>
          <w:b w:val="false"/>
          <w:color w:val="000000"/>
          <w:sz w:val="16"/>
        </w:rPr>
        <w:br/>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3"/>
        </w:rPr>
        <w:t>®</w:t>
      </w:r>
      <w:r>
        <w:rPr>
          <w:rFonts w:ascii="Arial;sans-serif" w:hAnsi="Arial;sans-serif"/>
          <w:b w:val="false"/>
          <w:i/>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56740"/>
                <wp:effectExtent l="0" t="0" r="0" b="0"/>
                <wp:wrapNone/>
                <wp:docPr id="7" name="Frame5"/>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958</Words>
  <Characters>5475</Characters>
  <CharactersWithSpaces>6385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