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dk0010272202_012921.txt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GENMAB AS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B01JBT1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(SEDOL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B01JBT1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4375210</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4789616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4789616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GENMAB 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Kalvebod Brygge 43, Copenhagen V</w:t>
      </w:r>
    </w:p>
    <w:p>
      <w:pPr>
        <w:spacing w:after="0" w:line="238" w:lineRule="auto"/>
        <w:rPr>
          <w:sz w:val="20"/>
          <w:szCs w:val="20"/>
          <w:color w:val="auto"/>
        </w:rPr>
      </w:pPr>
      <w:r>
        <w:rPr>
          <w:rFonts w:ascii="Courier New" w:cs="Courier New" w:eastAsia="Courier New" w:hAnsi="Courier New"/>
          <w:sz w:val="18"/>
          <w:szCs w:val="18"/>
          <w:color w:val="auto"/>
        </w:rPr>
        <w:t>Copenhagen Denmark 1560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4789616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4375210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4789616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GENMAB AS.</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GENMAB AS</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Asset Management Schweiz AG</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5"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BlackRock Institutional Trust Company, National Association BlackRock International Limited</w:t>
      </w:r>
    </w:p>
    <w:p>
      <w:pPr>
        <w:spacing w:after="0" w:line="6"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 BlackRock Investment Management (UK) Limited BlackRock Investment Management, LLC 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rPr>
          <w:sz w:val="20"/>
          <w:szCs w:val="20"/>
          <w:color w:val="auto"/>
        </w:rPr>
      </w:pPr>
      <w:r>
        <w:rPr>
          <w:rFonts w:ascii="Courier New" w:cs="Courier New" w:eastAsia="Courier New" w:hAnsi="Courier New"/>
          <w:sz w:val="18"/>
          <w:szCs w:val="18"/>
          <w:color w:val="auto"/>
        </w:rPr>
        <w:t>iShares (DE) I Investmentaktiengesellschaft mit Teilgesellsc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41"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2021-01-29T08:56:58Z</dcterms:created>
  <dcterms:modified xsi:type="dcterms:W3CDTF">2021-01-29T08:56:58Z</dcterms:modified>
</cp:coreProperties>
</file>