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Announcement Dated June 29, 2026</w:t>
            </w: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June 29,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60"/>
        <w:spacing w:after="0" w:line="264" w:lineRule="auto"/>
        <w:rPr>
          <w:sz w:val="20"/>
          <w:szCs w:val="20"/>
          <w:color w:val="auto"/>
        </w:rPr>
      </w:pPr>
      <w:r>
        <w:rPr>
          <w:rFonts w:ascii="Arial" w:cs="Arial" w:eastAsia="Arial" w:hAnsi="Arial"/>
          <w:sz w:val="23"/>
          <w:szCs w:val="23"/>
          <w:b w:val="1"/>
          <w:bCs w:val="1"/>
          <w:color w:val="auto"/>
        </w:rPr>
        <w:t>Genmab Announces Positive Phase 3 Results for Epcoritamab Plus Lenalidomide in Patients with Relapsed/Refractory Diffuse Large B-Cell Lymphoma, Demonstrating Statistically Significant Improvement in Progression-Free Survival</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Announcement</w:t>
      </w:r>
    </w:p>
    <w:p>
      <w:pPr>
        <w:spacing w:after="0" w:line="234" w:lineRule="exact"/>
        <w:rPr>
          <w:sz w:val="20"/>
          <w:szCs w:val="20"/>
          <w:color w:val="auto"/>
        </w:rPr>
      </w:pPr>
    </w:p>
    <w:p>
      <w:pPr>
        <w:ind w:left="660" w:right="240" w:hanging="328"/>
        <w:spacing w:after="0" w:line="22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Topline results from Phase 3 EPCORE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DLBCL-4 evaluating epcoritamab in combination with lenalidomide demonstrated statistically significant and clinically meaningful improvement in progression-free survival (PFS) in patients with relapsed/refractory (R/R) diffuse large B-cell lymphoma (DLBCL)</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EPCORE DLBCL-4 demonstrated improved PFS with a chemotherapy-free combination treatment regimen in patients with</w:t>
      </w: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R/R DLBCL</w:t>
      </w:r>
    </w:p>
    <w:p>
      <w:pPr>
        <w:spacing w:after="0" w:line="221"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color w:val="auto"/>
        </w:rPr>
        <w:t xml:space="preserve">COPENHAGEN, Denmark; June 29, 2026 – </w:t>
      </w:r>
      <w:r>
        <w:rPr>
          <w:rFonts w:ascii="Arial" w:cs="Arial" w:eastAsia="Arial" w:hAnsi="Arial"/>
          <w:sz w:val="17"/>
          <w:szCs w:val="17"/>
          <w:b w:val="1"/>
          <w:bCs w:val="1"/>
          <w:color w:val="0000FF"/>
        </w:rPr>
        <w:t>Genmab A/S</w:t>
      </w:r>
      <w:r>
        <w:rPr>
          <w:rFonts w:ascii="Arial" w:cs="Arial" w:eastAsia="Arial" w:hAnsi="Arial"/>
          <w:sz w:val="17"/>
          <w:szCs w:val="17"/>
          <w:b w:val="1"/>
          <w:bCs w:val="1"/>
          <w:color w:val="auto"/>
        </w:rPr>
        <w:t xml:space="preserve"> (Nasdaq: GMAB) today announced topline results from the Phase 3 EPCORE DLBCL-4 trial evaluating the combination of fixed duration epcoritamab, </w:t>
      </w:r>
      <w:r>
        <w:rPr>
          <w:rFonts w:ascii="Arial" w:cs="Arial" w:eastAsia="Arial" w:hAnsi="Arial"/>
          <w:sz w:val="17"/>
          <w:szCs w:val="17"/>
          <w:color w:val="auto"/>
        </w:rPr>
        <w:t>a T-cell engaging bispecific antibody administered</w:t>
      </w:r>
      <w:r>
        <w:rPr>
          <w:rFonts w:ascii="Arial" w:cs="Arial" w:eastAsia="Arial" w:hAnsi="Arial"/>
          <w:sz w:val="17"/>
          <w:szCs w:val="17"/>
          <w:b w:val="1"/>
          <w:bCs w:val="1"/>
          <w:color w:val="auto"/>
        </w:rPr>
        <w:t xml:space="preserve"> </w:t>
      </w:r>
      <w:r>
        <w:rPr>
          <w:rFonts w:ascii="Arial" w:cs="Arial" w:eastAsia="Arial" w:hAnsi="Arial"/>
          <w:sz w:val="17"/>
          <w:szCs w:val="17"/>
          <w:color w:val="auto"/>
        </w:rPr>
        <w:t>subcutaneously, and lenalidomide, compared to standard-of-care, rituximab plus gemcitabine plus oxaliplatin (R-GemOx), in adult patients</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with relapsed or refractory (R/R) diffuse large B-cell lymphoma (DLBCL) who received at least one prior line of treatment. Based on topline results, the trial met its primary objective, demonstrating statistically significant and clinically meaningful improvement in progression-free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survival (PFS). The risk of disease progression and death was reduced by 60% (HR 0.40 [95% CI 0.30, 0.55]; p value &lt; 0.0001) and 56% (HR 0.44 [95% CI 0.33, 0.60]; p value &lt; 0.0001), based on different censoring rules in the U.S. and outside the U.S., respectively. The safety profile of epcoritamab when administered in combination with lenalidomide was consistent with the previously reported safety profiles of the individual agents (epcoritamab or lenalidomide).</w:t>
      </w:r>
    </w:p>
    <w:p>
      <w:pPr>
        <w:spacing w:after="0" w:line="20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“These topline results add to the growing evidence supporting the versatility of epcoritamab-based combinations, including fixed-duration epcoritamab, across lines of therapy for patients with relapsed or refractory large B-cell lymphoma who received at least one prior treatment,” said Jan van de Winkel, Ph.D., Chief Executive Officer of Genmab. “With each new combination and treatment setting, we are building on our vision for epcoritamab as a core therapy across B-cell malignancies. We look forward to engaging with regulatory authorities as we continue to advance this program.”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Genmab and AbbVie will engage global regulatory authorities. Data will be submitted for presentation at a future medical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EPCORE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DLBCL-4 Trial</w:t>
      </w:r>
    </w:p>
    <w:p>
      <w:pPr>
        <w:ind w:right="120"/>
        <w:spacing w:after="0" w:line="230" w:lineRule="auto"/>
        <w:rPr>
          <w:sz w:val="20"/>
          <w:szCs w:val="20"/>
          <w:color w:val="auto"/>
        </w:rPr>
      </w:pPr>
      <w:r>
        <w:rPr>
          <w:rFonts w:ascii="Arial" w:cs="Arial" w:eastAsia="Arial" w:hAnsi="Arial"/>
          <w:sz w:val="18"/>
          <w:szCs w:val="18"/>
          <w:color w:val="auto"/>
        </w:rPr>
        <w:t>EPCORE DLBCL-4 (</w:t>
      </w:r>
      <w:r>
        <w:rPr>
          <w:rFonts w:ascii="Arial" w:cs="Arial" w:eastAsia="Arial" w:hAnsi="Arial"/>
          <w:sz w:val="18"/>
          <w:szCs w:val="18"/>
          <w:color w:val="0000FF"/>
        </w:rPr>
        <w:t>NCT06508658</w:t>
      </w:r>
      <w:r>
        <w:rPr>
          <w:rFonts w:ascii="Arial" w:cs="Arial" w:eastAsia="Arial" w:hAnsi="Arial"/>
          <w:sz w:val="18"/>
          <w:szCs w:val="18"/>
          <w:color w:val="auto"/>
        </w:rPr>
        <w:t>) is a global Phase 3 open label, multi-center, randomized trial to evaluate the efficacy of epcoritamab (GEN3013, DuoBody</w:t>
      </w:r>
      <w:r>
        <w:rPr>
          <w:rFonts w:ascii="Arial" w:cs="Arial" w:eastAsia="Arial" w:hAnsi="Arial"/>
          <w:sz w:val="23"/>
          <w:szCs w:val="23"/>
          <w:color w:val="auto"/>
          <w:vertAlign w:val="superscript"/>
        </w:rPr>
        <w:t>®</w:t>
      </w:r>
      <w:r>
        <w:rPr>
          <w:rFonts w:ascii="Arial" w:cs="Arial" w:eastAsia="Arial" w:hAnsi="Arial"/>
          <w:sz w:val="18"/>
          <w:szCs w:val="18"/>
          <w:color w:val="auto"/>
        </w:rPr>
        <w:t>-CD3xCD20) in combination with lenalidomide compared to chemoimmunotherapy, rituximab plus gemcitabine plus oxaliplatin (</w:t>
      </w:r>
      <w:r>
        <w:rPr>
          <w:rFonts w:ascii="Arial" w:cs="Arial" w:eastAsia="Arial" w:hAnsi="Arial"/>
          <w:sz w:val="18"/>
          <w:szCs w:val="18"/>
          <w:color w:val="171716"/>
        </w:rPr>
        <w:t>R-GemOx</w:t>
      </w:r>
      <w:r>
        <w:rPr>
          <w:rFonts w:ascii="Arial" w:cs="Arial" w:eastAsia="Arial" w:hAnsi="Arial"/>
          <w:sz w:val="18"/>
          <w:szCs w:val="18"/>
          <w:color w:val="auto"/>
        </w:rPr>
        <w:t>), in adult patients with relapsed or refractory large B-cell lymphoma (LBCL), including patients with diffuse large B-cell lymphoma, not otherwise specified (DLBCL, NOS), high-grade B-Cell lymphoma (HGBL) with MYC and B-cell /lymphoma 2 (BCL2) and/or BCL6 rearrangements, follicular lymphoma grade 3B (FL3B), T-cell/histiocyte-rich large B-Cell lymphoma (TCHR LBLC), and Epstein-Barr Virus-positive diffuse large B-cell lymphoma (EBV+ DLBCL). Patients in the trial were previously treated with at least one line of systemic antineoplastic therapy including anti-CD20 mAb-containing combination chemotherapy, and failed or relapsed after, or were not a candidate for autologous stem cell transplantation (ASCT) and ineligible for or unable to receive CAR-T since DLBCL diagnosis. The trial started on August 13, 2024, and is ongoing.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on this trial can be found at </w:t>
      </w:r>
      <w:r>
        <w:rPr>
          <w:rFonts w:ascii="Arial" w:cs="Arial" w:eastAsia="Arial" w:hAnsi="Arial"/>
          <w:sz w:val="18"/>
          <w:szCs w:val="18"/>
          <w:color w:val="0000FF"/>
        </w:rPr>
        <w:t>https://clinicaltrials.gov/study/NCT06508658</w:t>
      </w:r>
      <w:r>
        <w:rPr>
          <w:rFonts w:ascii="Arial" w:cs="Arial" w:eastAsia="Arial" w:hAnsi="Arial"/>
          <w:sz w:val="18"/>
          <w:szCs w:val="18"/>
          <w:color w:val="auto"/>
        </w:rPr>
        <w:t xml:space="preserve"> (NCT: NCT06508658).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Diffuse Large B-Cell Lymphoma</w:t>
      </w:r>
    </w:p>
    <w:p>
      <w:pPr>
        <w:spacing w:after="0" w:line="14"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Diffuse large B-cell lymphoma (DLBCL) DLBCL is the most common type of non-Hodgkin lymphoma (NHL) worldwide, accounting for approximately 25-30 percent of all NHL cases.</w:t>
      </w:r>
      <w:r>
        <w:rPr>
          <w:rFonts w:ascii="Arial" w:cs="Arial" w:eastAsia="Arial" w:hAnsi="Arial"/>
          <w:sz w:val="18"/>
          <w:szCs w:val="18"/>
          <w:color w:val="0000FF"/>
        </w:rPr>
        <w:t>[i]</w:t>
      </w:r>
      <w:r>
        <w:rPr>
          <w:rFonts w:ascii="Arial" w:cs="Arial" w:eastAsia="Arial" w:hAnsi="Arial"/>
          <w:sz w:val="23"/>
          <w:szCs w:val="23"/>
          <w:color w:val="auto"/>
          <w:vertAlign w:val="superscript"/>
        </w:rPr>
        <w:t>,</w:t>
      </w:r>
      <w:r>
        <w:rPr>
          <w:rFonts w:ascii="Arial" w:cs="Arial" w:eastAsia="Arial" w:hAnsi="Arial"/>
          <w:sz w:val="23"/>
          <w:szCs w:val="23"/>
          <w:color w:val="0000FF"/>
          <w:vertAlign w:val="superscript"/>
        </w:rPr>
        <w:t>[ii]</w:t>
      </w:r>
      <w:r>
        <w:rPr>
          <w:rFonts w:ascii="Arial" w:cs="Arial" w:eastAsia="Arial" w:hAnsi="Arial"/>
          <w:sz w:val="18"/>
          <w:szCs w:val="18"/>
          <w:color w:val="auto"/>
        </w:rPr>
        <w:t xml:space="preserve"> In the U.S., there are</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32</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1/3</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ind w:right="340"/>
        <w:spacing w:after="0" w:line="25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Genmab Announces Positive Phase 3 Results for Epcoritamab Plus Lenalidomide in Patients with Relapsed/Refractory Diffuse Large B-Cell Lymphoma, Demonstrating Statistically Significant Improvement in Progression-Free Survival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approximately 25,000 new cases of DLBCL diagnosed each year.</w:t>
      </w:r>
      <w:r>
        <w:rPr>
          <w:rFonts w:ascii="Arial" w:cs="Arial" w:eastAsia="Arial" w:hAnsi="Arial"/>
          <w:sz w:val="18"/>
          <w:szCs w:val="18"/>
          <w:color w:val="0000FF"/>
        </w:rPr>
        <w:t>[iii]</w:t>
      </w:r>
      <w:r>
        <w:rPr>
          <w:rFonts w:ascii="Arial" w:cs="Arial" w:eastAsia="Arial" w:hAnsi="Arial"/>
          <w:sz w:val="18"/>
          <w:szCs w:val="18"/>
          <w:color w:val="auto"/>
        </w:rPr>
        <w:t xml:space="preserve"> DLBCL can arise in lymph nodes as well as in organs outside of the lymphatic system, occurs more commonly in the elderly and is slightly more prevalent in men.</w:t>
      </w:r>
      <w:r>
        <w:rPr>
          <w:rFonts w:ascii="Arial" w:cs="Arial" w:eastAsia="Arial" w:hAnsi="Arial"/>
          <w:sz w:val="18"/>
          <w:szCs w:val="18"/>
          <w:color w:val="0000FF"/>
        </w:rPr>
        <w:t>[iv]</w:t>
      </w:r>
      <w:r>
        <w:rPr>
          <w:rFonts w:ascii="Arial" w:cs="Arial" w:eastAsia="Arial" w:hAnsi="Arial"/>
          <w:sz w:val="23"/>
          <w:szCs w:val="23"/>
          <w:color w:val="auto"/>
          <w:vertAlign w:val="superscript"/>
        </w:rPr>
        <w:t>,</w:t>
      </w:r>
      <w:r>
        <w:rPr>
          <w:rFonts w:ascii="Arial" w:cs="Arial" w:eastAsia="Arial" w:hAnsi="Arial"/>
          <w:sz w:val="23"/>
          <w:szCs w:val="23"/>
          <w:color w:val="0000FF"/>
          <w:vertAlign w:val="superscript"/>
        </w:rPr>
        <w:t>[v]</w:t>
      </w:r>
      <w:r>
        <w:rPr>
          <w:rFonts w:ascii="Arial" w:cs="Arial" w:eastAsia="Arial" w:hAnsi="Arial"/>
          <w:sz w:val="18"/>
          <w:szCs w:val="18"/>
          <w:color w:val="auto"/>
        </w:rPr>
        <w:t xml:space="preserve"> DLBCL is a fast-growing type of NHL, a cancer that develops in the lymphatic system and affects B-cell lymphocytes, a type of white blood cell. For many people living with DLBCL, their cancer either relapses, which means it may return after treatment, or becomes refractory, meaning it does not respond to treatment. Although new therapies have become available, treatment management can remain a challenge.</w:t>
      </w:r>
      <w:r>
        <w:rPr>
          <w:rFonts w:ascii="Arial" w:cs="Arial" w:eastAsia="Arial" w:hAnsi="Arial"/>
          <w:sz w:val="23"/>
          <w:szCs w:val="23"/>
          <w:color w:val="auto"/>
          <w:vertAlign w:val="superscript"/>
        </w:rPr>
        <w:t>iv,</w:t>
      </w:r>
      <w:r>
        <w:rPr>
          <w:rFonts w:ascii="Arial" w:cs="Arial" w:eastAsia="Arial" w:hAnsi="Arial"/>
          <w:sz w:val="23"/>
          <w:szCs w:val="23"/>
          <w:color w:val="0000FF"/>
          <w:vertAlign w:val="superscript"/>
        </w:rPr>
        <w:t>[vi]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Epcoritamab</w:t>
      </w:r>
    </w:p>
    <w:p>
      <w:pPr>
        <w:spacing w:after="0" w:line="14"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Epcoritamab is an IgG1-bispecific antibody created using Genmab's proprietary DuoBody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administered subcutaneously. Genmab's DuoBody-CD3 technology is designed to direct cytotoxic T cells selectively to elicit an immune response toward target cell types. Epcoritamab is designed to simultaneously bind to CD3 on T cells and CD20 on B cells and induces T-cell-mediated killing of CD20+ cells. [vii]</w:t>
      </w:r>
    </w:p>
    <w:p>
      <w:pPr>
        <w:spacing w:after="0" w:line="206"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color w:val="auto"/>
        </w:rPr>
        <w:t>Epcoritamab (approved under the brand name EPKINLY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and Japan, and TEPKINLY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EU) has received regulatory approval in certain lymphoma indications in more than 65 territories. Where approved, epcoritamab is a readily accessible therapy. Epcoritamab is being co-developed by Genmab and AbbVie as part of the companies' oncology collaboration. The companies will share commercial responsibilities in the U.S. and Japan, with AbbVie responsible for further global commercialization. Both companies will pursue additional international regulatory approvals for R/R FL indication and additional approvals for the R/R DLBCL indication.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Genmab and AbbVie continue to evaluate epcoritamab as a monotherapy, and in combination, across lines of therapy in a range of hematologic malignancies. This includes several ongoing Phase 3, open-label, randomized trials, among them a trial evaluating epcoritamab</w:t>
      </w:r>
    </w:p>
    <w:p>
      <w:pPr>
        <w:spacing w:after="0" w:line="1" w:lineRule="exact"/>
        <w:rPr>
          <w:sz w:val="20"/>
          <w:szCs w:val="20"/>
          <w:color w:val="auto"/>
        </w:rPr>
      </w:pPr>
    </w:p>
    <w:p>
      <w:pPr>
        <w:ind w:right="940"/>
        <w:spacing w:after="0" w:line="199" w:lineRule="auto"/>
        <w:rPr>
          <w:sz w:val="20"/>
          <w:szCs w:val="20"/>
          <w:color w:val="auto"/>
        </w:rPr>
      </w:pPr>
      <w:r>
        <w:rPr>
          <w:rFonts w:ascii="Arial" w:cs="Arial" w:eastAsia="Arial" w:hAnsi="Arial"/>
          <w:sz w:val="18"/>
          <w:szCs w:val="18"/>
          <w:color w:val="auto"/>
        </w:rPr>
        <w:t>in combination with R-CHOP in adult patients with newly diagnosed DLBCL (</w:t>
      </w:r>
      <w:r>
        <w:rPr>
          <w:rFonts w:ascii="Arial" w:cs="Arial" w:eastAsia="Arial" w:hAnsi="Arial"/>
          <w:sz w:val="18"/>
          <w:szCs w:val="18"/>
          <w:color w:val="0000FF"/>
        </w:rPr>
        <w:t>NCT05578976</w:t>
      </w:r>
      <w:r>
        <w:rPr>
          <w:rFonts w:ascii="Arial" w:cs="Arial" w:eastAsia="Arial" w:hAnsi="Arial"/>
          <w:sz w:val="18"/>
          <w:szCs w:val="18"/>
          <w:color w:val="auto"/>
        </w:rPr>
        <w:t>) and a trial evaluating epcoritamab in combination with lenalidomide and rituximab (R</w:t>
      </w:r>
      <w:r>
        <w:rPr>
          <w:rFonts w:ascii="Arial" w:cs="Arial" w:eastAsia="Arial" w:hAnsi="Arial"/>
          <w:sz w:val="23"/>
          <w:szCs w:val="23"/>
          <w:color w:val="auto"/>
          <w:vertAlign w:val="superscript"/>
        </w:rPr>
        <w:t>2</w:t>
      </w:r>
      <w:r>
        <w:rPr>
          <w:rFonts w:ascii="Arial" w:cs="Arial" w:eastAsia="Arial" w:hAnsi="Arial"/>
          <w:sz w:val="18"/>
          <w:szCs w:val="18"/>
          <w:color w:val="auto"/>
        </w:rPr>
        <w:t>) compared to chemoimmunotherapy in patients with previously untreated FL</w:t>
      </w:r>
    </w:p>
    <w:p>
      <w:pPr>
        <w:spacing w:after="0" w:line="1" w:lineRule="exact"/>
        <w:rPr>
          <w:sz w:val="20"/>
          <w:szCs w:val="20"/>
          <w:color w:val="auto"/>
        </w:rPr>
      </w:pPr>
    </w:p>
    <w:p>
      <w:pPr>
        <w:ind w:right="120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NCT06191744</w:t>
      </w:r>
      <w:r>
        <w:rPr>
          <w:rFonts w:ascii="Arial" w:cs="Arial" w:eastAsia="Arial" w:hAnsi="Arial"/>
          <w:sz w:val="18"/>
          <w:szCs w:val="18"/>
          <w:color w:val="auto"/>
        </w:rPr>
        <w:t xml:space="preserve">). The safety and efficacy of epcoritamab have not been established for these investigational uses. Please visit </w:t>
      </w:r>
      <w:r>
        <w:rPr>
          <w:rFonts w:ascii="Arial" w:cs="Arial" w:eastAsia="Arial" w:hAnsi="Arial"/>
          <w:sz w:val="18"/>
          <w:szCs w:val="18"/>
          <w:color w:val="0000FF"/>
        </w:rPr>
        <w:t xml:space="preserve">www.clinicaltrials.gov </w:t>
      </w:r>
      <w:r>
        <w:rPr>
          <w:rFonts w:ascii="Arial" w:cs="Arial" w:eastAsia="Arial" w:hAnsi="Arial"/>
          <w:sz w:val="18"/>
          <w:szCs w:val="18"/>
          <w:color w:val="000000"/>
        </w:rPr>
        <w:t>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Please see local country prescribing information for all labeled indication and safety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1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8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68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32</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2/3</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20"/>
          </w:cols>
          <w:pgMar w:left="320" w:top="1281" w:right="359" w:bottom="1440" w:gutter="0" w:footer="0" w:header="0"/>
        </w:sectPr>
      </w:pPr>
    </w:p>
    <w:bookmarkStart w:id="5" w:name="page6"/>
    <w:bookmarkEnd w:id="5"/>
    <w:p>
      <w:pPr>
        <w:ind w:right="360"/>
        <w:spacing w:after="0" w:line="25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Genmab Announces Positive Phase 3 Results for Epcoritamab Plus Lenalidomide in Patients with Relapsed/Refractory Diffuse Large B-Cell Lymphoma, Demonstrating Statistically Significant Improvement in Progression-Free 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i w:val="1"/>
          <w:iCs w:val="1"/>
          <w:color w:val="auto"/>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310"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9"/>
          <w:szCs w:val="9"/>
          <w:i w:val="1"/>
          <w:iCs w:val="1"/>
          <w:color w:val="auto"/>
        </w:rPr>
        <w:t>®</w:t>
      </w:r>
      <w:r>
        <w:rPr>
          <w:rFonts w:ascii="Arial" w:cs="Arial" w:eastAsia="Arial" w:hAnsi="Arial"/>
          <w:sz w:val="14"/>
          <w:szCs w:val="14"/>
          <w:i w:val="1"/>
          <w:iCs w:val="1"/>
          <w:color w:val="auto"/>
        </w:rPr>
        <w:t>; HexaBody</w:t>
      </w:r>
      <w:r>
        <w:rPr>
          <w:rFonts w:ascii="Arial" w:cs="Arial" w:eastAsia="Arial" w:hAnsi="Arial"/>
          <w:sz w:val="9"/>
          <w:szCs w:val="9"/>
          <w:i w:val="1"/>
          <w:iCs w:val="1"/>
          <w:color w:val="auto"/>
        </w:rPr>
        <w:t>®</w:t>
      </w:r>
      <w:r>
        <w:rPr>
          <w:rFonts w:ascii="Arial" w:cs="Arial" w:eastAsia="Arial" w:hAnsi="Arial"/>
          <w:sz w:val="14"/>
          <w:szCs w:val="14"/>
          <w:i w:val="1"/>
          <w:iCs w:val="1"/>
          <w:color w:val="auto"/>
        </w:rPr>
        <w:t>; DuoHexaBody</w:t>
      </w:r>
      <w:r>
        <w:rPr>
          <w:rFonts w:ascii="Arial" w:cs="Arial" w:eastAsia="Arial" w:hAnsi="Arial"/>
          <w:sz w:val="9"/>
          <w:szCs w:val="9"/>
          <w:i w:val="1"/>
          <w:iCs w:val="1"/>
          <w:color w:val="auto"/>
        </w:rPr>
        <w:t>®</w:t>
      </w:r>
      <w:r>
        <w:rPr>
          <w:rFonts w:ascii="Arial" w:cs="Arial" w:eastAsia="Arial" w:hAnsi="Arial"/>
          <w:sz w:val="14"/>
          <w:szCs w:val="14"/>
          <w:i w:val="1"/>
          <w:iCs w:val="1"/>
          <w:color w:val="auto"/>
        </w:rPr>
        <w:t>, HexElect</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122"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4"/>
          <w:szCs w:val="14"/>
          <w:color w:val="0000FF"/>
        </w:rPr>
      </w:pPr>
      <w:r>
        <w:rPr>
          <w:rFonts w:ascii="Arial" w:cs="Arial" w:eastAsia="Arial" w:hAnsi="Arial"/>
          <w:sz w:val="14"/>
          <w:szCs w:val="14"/>
          <w:color w:val="auto"/>
        </w:rPr>
        <w:t xml:space="preserve">Lymphoma Research Foundation. Diffuse Large B-Cell Lymphoma. Accessed February 2026. </w:t>
      </w:r>
      <w:r>
        <w:rPr>
          <w:rFonts w:ascii="Arial" w:cs="Arial" w:eastAsia="Arial" w:hAnsi="Arial"/>
          <w:sz w:val="14"/>
          <w:szCs w:val="14"/>
          <w:color w:val="0000FF"/>
        </w:rPr>
        <w:t>https://lymphoma.org/understanding-lymphoma/aboutlymphoma/nhl/dlbcl/</w:t>
      </w:r>
    </w:p>
    <w:p>
      <w:pPr>
        <w:spacing w:after="0" w:line="15" w:lineRule="exact"/>
        <w:rPr>
          <w:rFonts w:ascii="Arial" w:cs="Arial" w:eastAsia="Arial" w:hAnsi="Arial"/>
          <w:sz w:val="14"/>
          <w:szCs w:val="14"/>
          <w:color w:val="0000FF"/>
        </w:rPr>
      </w:pPr>
    </w:p>
    <w:p>
      <w:pPr>
        <w:ind w:left="200" w:hanging="192"/>
        <w:spacing w:after="0"/>
        <w:tabs>
          <w:tab w:leader="none" w:pos="200" w:val="left"/>
        </w:tabs>
        <w:numPr>
          <w:ilvl w:val="0"/>
          <w:numId w:val="2"/>
        </w:numPr>
        <w:rPr>
          <w:rFonts w:ascii="Arial" w:cs="Arial" w:eastAsia="Arial" w:hAnsi="Arial"/>
          <w:sz w:val="14"/>
          <w:szCs w:val="14"/>
          <w:color w:val="0000FF"/>
        </w:rPr>
      </w:pPr>
      <w:r>
        <w:rPr>
          <w:rFonts w:ascii="Arial" w:cs="Arial" w:eastAsia="Arial" w:hAnsi="Arial"/>
          <w:sz w:val="14"/>
          <w:szCs w:val="14"/>
          <w:color w:val="auto"/>
        </w:rPr>
        <w:t>Padala, et al. Diffuse Large B-Cell Lymphoma. StatPearls [Internet]. Treasure Island (FL): StatPearls Publishing; 2024 Jan. 2023 Apr 24.</w:t>
      </w:r>
    </w:p>
    <w:p>
      <w:pPr>
        <w:spacing w:after="0" w:line="1" w:lineRule="exact"/>
        <w:rPr>
          <w:rFonts w:ascii="Arial" w:cs="Arial" w:eastAsia="Arial" w:hAnsi="Arial"/>
          <w:sz w:val="14"/>
          <w:szCs w:val="14"/>
          <w:color w:val="0000FF"/>
        </w:rPr>
      </w:pPr>
    </w:p>
    <w:p>
      <w:pPr>
        <w:ind w:left="220" w:hanging="212"/>
        <w:spacing w:after="0"/>
        <w:tabs>
          <w:tab w:leader="none" w:pos="220" w:val="left"/>
        </w:tabs>
        <w:numPr>
          <w:ilvl w:val="0"/>
          <w:numId w:val="2"/>
        </w:numPr>
        <w:rPr>
          <w:rFonts w:ascii="Arial" w:cs="Arial" w:eastAsia="Arial" w:hAnsi="Arial"/>
          <w:sz w:val="14"/>
          <w:szCs w:val="14"/>
          <w:color w:val="0000FF"/>
        </w:rPr>
      </w:pPr>
      <w:r>
        <w:rPr>
          <w:rFonts w:ascii="Arial" w:cs="Arial" w:eastAsia="Arial" w:hAnsi="Arial"/>
          <w:sz w:val="14"/>
          <w:szCs w:val="14"/>
          <w:color w:val="auto"/>
        </w:rPr>
        <w:t xml:space="preserve">Leukemia and Lymphoma Society. Diffuse Large B-Cell Lymphoma (DLBCL). Accessed February 2026. </w:t>
      </w:r>
      <w:r>
        <w:rPr>
          <w:rFonts w:ascii="Arial" w:cs="Arial" w:eastAsia="Arial" w:hAnsi="Arial"/>
          <w:sz w:val="14"/>
          <w:szCs w:val="14"/>
          <w:color w:val="0000FF"/>
        </w:rPr>
        <w:t>https://www.lls.org/research/diffuse-large-b-cell-lymphoma-dlbcl</w:t>
      </w:r>
    </w:p>
    <w:p>
      <w:pPr>
        <w:spacing w:after="0" w:line="1" w:lineRule="exact"/>
        <w:rPr>
          <w:rFonts w:ascii="Arial" w:cs="Arial" w:eastAsia="Arial" w:hAnsi="Arial"/>
          <w:sz w:val="14"/>
          <w:szCs w:val="14"/>
          <w:color w:val="0000FF"/>
        </w:rPr>
      </w:pPr>
    </w:p>
    <w:p>
      <w:pPr>
        <w:ind w:left="240" w:hanging="232"/>
        <w:spacing w:after="0"/>
        <w:tabs>
          <w:tab w:leader="none" w:pos="240" w:val="left"/>
        </w:tabs>
        <w:numPr>
          <w:ilvl w:val="0"/>
          <w:numId w:val="2"/>
        </w:numPr>
        <w:rPr>
          <w:rFonts w:ascii="Arial" w:cs="Arial" w:eastAsia="Arial" w:hAnsi="Arial"/>
          <w:sz w:val="14"/>
          <w:szCs w:val="14"/>
          <w:color w:val="0000FF"/>
        </w:rPr>
      </w:pPr>
      <w:r>
        <w:rPr>
          <w:rFonts w:ascii="Arial" w:cs="Arial" w:eastAsia="Arial" w:hAnsi="Arial"/>
          <w:sz w:val="14"/>
          <w:szCs w:val="14"/>
          <w:color w:val="auto"/>
        </w:rPr>
        <w:t xml:space="preserve">Sehn, et al. Diffuse Large B-Cell Lymphoma. </w:t>
      </w:r>
      <w:r>
        <w:rPr>
          <w:rFonts w:ascii="Arial" w:cs="Arial" w:eastAsia="Arial" w:hAnsi="Arial"/>
          <w:sz w:val="14"/>
          <w:szCs w:val="14"/>
          <w:i w:val="1"/>
          <w:iCs w:val="1"/>
          <w:color w:val="auto"/>
        </w:rPr>
        <w:t>N Engl J Med</w:t>
      </w:r>
      <w:r>
        <w:rPr>
          <w:rFonts w:ascii="Arial" w:cs="Arial" w:eastAsia="Arial" w:hAnsi="Arial"/>
          <w:sz w:val="14"/>
          <w:szCs w:val="14"/>
          <w:color w:val="auto"/>
        </w:rPr>
        <w:t>. 2021;384:842-858. doi: 10.1056/NEJMra2027612.</w:t>
      </w:r>
    </w:p>
    <w:p>
      <w:pPr>
        <w:spacing w:after="0" w:line="1" w:lineRule="exact"/>
        <w:rPr>
          <w:rFonts w:ascii="Arial" w:cs="Arial" w:eastAsia="Arial" w:hAnsi="Arial"/>
          <w:sz w:val="14"/>
          <w:szCs w:val="14"/>
          <w:color w:val="0000FF"/>
        </w:rPr>
      </w:pPr>
    </w:p>
    <w:p>
      <w:pPr>
        <w:ind w:firstLine="8"/>
        <w:spacing w:after="0" w:line="241" w:lineRule="auto"/>
        <w:tabs>
          <w:tab w:leader="none" w:pos="192" w:val="left"/>
        </w:tabs>
        <w:numPr>
          <w:ilvl w:val="0"/>
          <w:numId w:val="2"/>
        </w:numPr>
        <w:rPr>
          <w:rFonts w:ascii="Arial" w:cs="Arial" w:eastAsia="Arial" w:hAnsi="Arial"/>
          <w:sz w:val="14"/>
          <w:szCs w:val="14"/>
          <w:color w:val="0000FF"/>
        </w:rPr>
      </w:pPr>
      <w:r>
        <w:rPr>
          <w:rFonts w:ascii="Arial" w:cs="Arial" w:eastAsia="Arial" w:hAnsi="Arial"/>
          <w:sz w:val="14"/>
          <w:szCs w:val="14"/>
          <w:color w:val="auto"/>
        </w:rPr>
        <w:t xml:space="preserve">Kanas, et al. Epidemiology of Diffuse Large B-Cell Lymphoma (DLBCL) and Follicular Lymphoma (FL) in the United States and Western Europe: Population-Level Projections for 2020-2025. </w:t>
      </w:r>
      <w:r>
        <w:rPr>
          <w:rFonts w:ascii="Arial" w:cs="Arial" w:eastAsia="Arial" w:hAnsi="Arial"/>
          <w:sz w:val="14"/>
          <w:szCs w:val="14"/>
          <w:i w:val="1"/>
          <w:iCs w:val="1"/>
          <w:color w:val="auto"/>
        </w:rPr>
        <w:t>Leuk Lymphoma</w:t>
      </w:r>
      <w:r>
        <w:rPr>
          <w:rFonts w:ascii="Arial" w:cs="Arial" w:eastAsia="Arial" w:hAnsi="Arial"/>
          <w:sz w:val="14"/>
          <w:szCs w:val="14"/>
          <w:color w:val="auto"/>
        </w:rPr>
        <w:t>. 2022;63(1):54-63. doi: 10.1080/10428194.2021.1975188.</w:t>
      </w:r>
    </w:p>
    <w:p>
      <w:pPr>
        <w:ind w:left="240" w:hanging="232"/>
        <w:spacing w:after="0"/>
        <w:tabs>
          <w:tab w:leader="none" w:pos="240" w:val="left"/>
        </w:tabs>
        <w:numPr>
          <w:ilvl w:val="0"/>
          <w:numId w:val="2"/>
        </w:numPr>
        <w:rPr>
          <w:rFonts w:ascii="Arial" w:cs="Arial" w:eastAsia="Arial" w:hAnsi="Arial"/>
          <w:sz w:val="14"/>
          <w:szCs w:val="14"/>
          <w:color w:val="0000FF"/>
        </w:rPr>
      </w:pPr>
      <w:r>
        <w:rPr>
          <w:rFonts w:ascii="Arial" w:cs="Arial" w:eastAsia="Arial" w:hAnsi="Arial"/>
          <w:sz w:val="14"/>
          <w:szCs w:val="14"/>
          <w:color w:val="auto"/>
        </w:rPr>
        <w:t xml:space="preserve">Crump, et al. Outcomes in Refractory Diffuse Large B-Cell Lymphoma: Results From the International SCHOLAR-1 Study. </w:t>
      </w:r>
      <w:r>
        <w:rPr>
          <w:rFonts w:ascii="Arial" w:cs="Arial" w:eastAsia="Arial" w:hAnsi="Arial"/>
          <w:sz w:val="14"/>
          <w:szCs w:val="14"/>
          <w:i w:val="1"/>
          <w:iCs w:val="1"/>
          <w:color w:val="auto"/>
        </w:rPr>
        <w:t>Blood</w:t>
      </w:r>
      <w:r>
        <w:rPr>
          <w:rFonts w:ascii="Arial" w:cs="Arial" w:eastAsia="Arial" w:hAnsi="Arial"/>
          <w:sz w:val="14"/>
          <w:szCs w:val="14"/>
          <w:color w:val="auto"/>
        </w:rPr>
        <w:t>. 2017;130(16):1800-1808. doi:</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10.1182/blood-2017-03-769620.</w:t>
      </w:r>
    </w:p>
    <w:p>
      <w:pPr>
        <w:spacing w:after="0" w:line="1" w:lineRule="exact"/>
        <w:rPr>
          <w:sz w:val="20"/>
          <w:szCs w:val="20"/>
          <w:color w:val="auto"/>
        </w:rPr>
      </w:pPr>
    </w:p>
    <w:p>
      <w:pPr>
        <w:ind w:right="820" w:firstLine="8"/>
        <w:spacing w:after="0" w:line="264" w:lineRule="auto"/>
        <w:tabs>
          <w:tab w:leader="none" w:pos="256" w:val="left"/>
        </w:tabs>
        <w:numPr>
          <w:ilvl w:val="0"/>
          <w:numId w:val="3"/>
        </w:numPr>
        <w:rPr>
          <w:rFonts w:ascii="Arial" w:cs="Arial" w:eastAsia="Arial" w:hAnsi="Arial"/>
          <w:sz w:val="14"/>
          <w:szCs w:val="14"/>
          <w:color w:val="0000FF"/>
        </w:rPr>
      </w:pPr>
      <w:r>
        <w:rPr>
          <w:rFonts w:ascii="Arial" w:cs="Arial" w:eastAsia="Arial" w:hAnsi="Arial"/>
          <w:sz w:val="14"/>
          <w:szCs w:val="14"/>
          <w:color w:val="auto"/>
        </w:rPr>
        <w:t>Engelberts PJ, Hiemstra IH, de Jong B, et al. DuoBody-CD3xCD20 induces potent T-cell-mediated killing of malignant B cells in preclinical models and provides opportunities for subcutaneous dosing. EBioMedicine. 2020;52:102625. DOI: 10.1016/j.ebiom.2019.102625.</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32</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3/3</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2026-06-29T15:46:33Z</dcterms:created>
  <dcterms:modified xsi:type="dcterms:W3CDTF">2026-06-29T15:46:33Z</dcterms:modified>
</cp:coreProperties>
</file>