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firstLine="720"/>
        <w:jc w:val="center"/>
        <w:rPr>
          <w:rFonts w:ascii="Arial;sans-serif" w:hAnsi="Arial;sans-serif"/>
          <w:b/>
          <w:color w:val="000000"/>
          <w:sz w:val="36"/>
        </w:rPr>
      </w:pPr>
      <w:r>
        <w:rPr>
          <w:rFonts w:ascii="Arial;sans-serif" w:hAnsi="Arial;sans-serif"/>
          <w:b/>
          <w:color w:val="000000"/>
          <w:sz w:val="36"/>
        </w:rPr>
        <w:br/>
        <w:t>FORM 6-K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FOREIGN PRIVATE ISSUER PURSUANT TO RULE 13a-16 OR 15d-16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MONTH OF SEPTEMBER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COMMISSION FILE NUMBER 001-38976 </w:t>
      </w:r>
    </w:p>
    <w:p>
      <w:pPr>
        <w:pStyle w:val="TextBody"/>
        <w:bidi w:val="0"/>
        <w:spacing w:lineRule="auto" w:line="288" w:before="0" w:after="240"/>
        <w:jc w:val="center"/>
        <w:rPr/>
      </w:pPr>
      <w:r>
        <w:rPr>
          <w:rFonts w:ascii="Arial;sans-serif" w:hAnsi="Arial;sans-serif"/>
          <w:b/>
          <w:color w:val="000000"/>
          <w:sz w:val="36"/>
        </w:rPr>
        <w:t>Genmab A/S</w:t>
        <w:br/>
      </w:r>
      <w:r>
        <w:rPr>
          <w:rFonts w:ascii="Arial;sans-serif" w:hAnsi="Arial;sans-serif"/>
          <w:b w:val="false"/>
          <w:color w:val="333333"/>
          <w:sz w:val="19"/>
          <w:shd w:fill="FFFFFF" w:val="clear"/>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Carl Jacobsens Vej 30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2500 Valby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Denmark</w:t>
      </w:r>
    </w:p>
    <w:p>
      <w:pPr>
        <w:pStyle w:val="TextBody"/>
        <w:bidi w:val="0"/>
        <w:spacing w:lineRule="auto" w:line="288" w:before="0" w:after="240"/>
        <w:jc w:val="center"/>
        <w:rPr/>
      </w:pPr>
      <w:r>
        <w:rPr>
          <w:rFonts w:ascii="Arial;sans-serif" w:hAnsi="Arial;sans-serif"/>
          <w:b/>
          <w:color w:val="000000"/>
          <w:sz w:val="20"/>
        </w:rPr>
        <w:t>+45 70 20 27 28</w:t>
        <w:br/>
      </w:r>
      <w:r>
        <w:rPr>
          <w:rFonts w:ascii="Arial;sans-serif" w:hAnsi="Arial;sans-serif"/>
          <w:b w:val="false"/>
          <w:color w:val="333333"/>
          <w:sz w:val="19"/>
          <w:shd w:fill="FFFFFF" w:val="clear"/>
        </w:rPr>
        <w:t>(Address of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Indicate by check mark whether the registrant files or will file annual reports under cover Form 20-F or Form 40-F.</w:t>
      </w:r>
    </w:p>
    <w:p>
      <w:pPr>
        <w:pStyle w:val="TextBody"/>
        <w:bidi w:val="0"/>
        <w:spacing w:lineRule="auto" w:line="288" w:before="0" w:after="240"/>
        <w:jc w:val="center"/>
        <w:rPr/>
      </w:pPr>
      <w:r>
        <w:rPr>
          <w:rFonts w:ascii="Arial;sans-serif" w:hAnsi="Arial;sans-serif"/>
          <w:b w:val="false"/>
          <w:color w:val="000000"/>
          <w:sz w:val="20"/>
        </w:rPr>
        <w:t>Form 20-F </w:t>
      </w:r>
      <w:r>
        <w:rPr>
          <w:color w:val="000000"/>
        </w:rPr>
        <w:t xml:space="preserve"> </w:t>
      </w:r>
      <w:r>
        <w:rPr>
          <w:rFonts w:ascii="Arial;sans-serif" w:hAnsi="Arial;sans-serif"/>
          <w:b w:val="false"/>
          <w:color w:val="000000"/>
          <w:sz w:val="20"/>
        </w:rPr>
        <w:t>Form 40-F </w:t>
      </w:r>
    </w:p>
    <w:p>
      <w:pPr>
        <w:pStyle w:val="TextBody"/>
        <w:bidi w:val="0"/>
        <w:spacing w:lineRule="auto" w:line="288" w:before="0" w:after="0"/>
        <w:jc w:val="left"/>
        <w:rPr/>
      </w:pPr>
      <w:r>
        <w:rPr>
          <w:rFonts w:ascii="Times New Roman;serif" w:hAnsi="Times New Roman;serif"/>
          <w:b w:val="false"/>
          <w:color w:val="000000"/>
          <w:sz w:val="20"/>
          <w:shd w:fill="FFFFFF" w:val="clear"/>
        </w:rPr>
        <w:t>This report on Form 6-K shall be deemed to be </w:t>
      </w:r>
      <w:r>
        <w:rPr>
          <w:rFonts w:ascii="Times New Roman;serif" w:hAnsi="Times New Roman;serif"/>
          <w:b w:val="false"/>
          <w:color w:val="000000"/>
          <w:sz w:val="20"/>
        </w:rPr>
        <w:t>incorporated by reference</w:t>
      </w:r>
      <w:r>
        <w:rPr>
          <w:color w:val="000000"/>
          <w:shd w:fill="FFFFFF" w:val="clear"/>
        </w:rPr>
        <w:t> </w:t>
      </w:r>
      <w:r>
        <w:rPr>
          <w:rFonts w:ascii="Times New Roman;serif" w:hAnsi="Times New Roman;serif"/>
          <w:b w:val="false"/>
          <w:color w:val="000000"/>
          <w:sz w:val="20"/>
          <w:shd w:fill="FFFFFF" w:val="clear"/>
        </w:rPr>
        <w:t xml:space="preserve">in Genmab A/S’s registration statements on Form S-8 (File No. 333-232693, </w:t>
      </w:r>
      <w:r>
        <w:rPr>
          <w:rFonts w:ascii="Times New Roman;serif" w:hAnsi="Times New Roman;serif"/>
          <w:b w:val="false"/>
          <w:color w:val="000000"/>
          <w:sz w:val="20"/>
        </w:rPr>
        <w:t>333-253519, 333-262970, 333-277273, 333-284876 and 333-293505</w:t>
      </w:r>
      <w:r>
        <w:rPr>
          <w:rFonts w:ascii="Times New Roman;serif" w:hAnsi="Times New Roman;serif"/>
          <w:b w:val="false"/>
          <w:color w:val="000000"/>
          <w:sz w:val="20"/>
          <w:shd w:fill="FFFFFF" w:val="clear"/>
        </w:rPr>
        <w:t>) and to be a part thereof from the date on which this report is filed, to the extent not superseded by documents or reports subsequently filed or furnished.</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EXHIBIT INDEX</w:t>
      </w:r>
    </w:p>
    <w:tbl>
      <w:tblPr>
        <w:tblW w:w="5160" w:type="dxa"/>
        <w:jc w:val="left"/>
        <w:tblInd w:w="0" w:type="dxa"/>
        <w:tblLayout w:type="fixed"/>
        <w:tblCellMar>
          <w:top w:w="28" w:type="dxa"/>
          <w:left w:w="28" w:type="dxa"/>
          <w:bottom w:w="28" w:type="dxa"/>
          <w:right w:w="28" w:type="dxa"/>
        </w:tblCellMar>
      </w:tblPr>
      <w:tblGrid>
        <w:gridCol w:w="266"/>
        <w:gridCol w:w="234"/>
        <w:gridCol w:w="236"/>
        <w:gridCol w:w="1295"/>
        <w:gridCol w:w="1295"/>
        <w:gridCol w:w="183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Exhibit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4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mab_20260924xex99d1.htm">
              <w:r>
                <w:rPr>
                  <w:rStyle w:val="InternetLink"/>
                  <w:rFonts w:ascii="Times New Roman;serif" w:hAnsi="Times New Roman;serif"/>
                  <w:b w:val="false"/>
                  <w:color w:val="000000"/>
                  <w:sz w:val="20"/>
                  <w:u w:val="single"/>
                </w:rPr>
                <w:t>Company Announcement Dated September 24, 2026</w:t>
              </w:r>
            </w:hyperlink>
          </w:p>
        </w:tc>
      </w:tr>
    </w:tbl>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029" w:type="dxa"/>
        <w:jc w:val="left"/>
        <w:tblInd w:w="0" w:type="dxa"/>
        <w:tblLayout w:type="fixed"/>
        <w:tblCellMar>
          <w:top w:w="28" w:type="dxa"/>
          <w:left w:w="28" w:type="dxa"/>
          <w:bottom w:w="28" w:type="dxa"/>
          <w:right w:w="28" w:type="dxa"/>
        </w:tblCellMar>
      </w:tblPr>
      <w:tblGrid>
        <w:gridCol w:w="124"/>
        <w:gridCol w:w="109"/>
        <w:gridCol w:w="109"/>
        <w:gridCol w:w="216"/>
        <w:gridCol w:w="216"/>
        <w:gridCol w:w="216"/>
        <w:gridCol w:w="1460"/>
        <w:gridCol w:w="1460"/>
        <w:gridCol w:w="21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GENMAB 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Executive Vice President &amp; 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DATE: September 24,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1457325"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57325" cy="4191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6"/>
        </w:rPr>
      </w:pPr>
      <w:r>
        <w:rPr>
          <w:rFonts w:ascii="Arial;sans-serif" w:hAnsi="Arial;sans-serif"/>
          <w:b/>
          <w:color w:val="000000"/>
          <w:sz w:val="26"/>
        </w:rPr>
        <w:t>Grant of Restricted Stock Units and Warrants to Employees in Genmab</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Company Announcement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COPENHAGEN, Denmark; September 24, 2026 – Genmab A/S (Nasdaq: GMAB) announced today that the Board of Directors decided to grant 13,794 restricted stock units and 13,331 warrants to employees of the Company and the Company's subsidiaries.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Each restricted stock unit is awarded cost-free and provides the owner with a conditional right to receive one share in Genmab A/S of nominally DKK 1. The fair value of each restricted stock unit is equal to the closing market price on the date of grant of one Genmab A/S share, DKK 2,268.</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The restricted stock units will vest on the first banking day of the month following a period of three years from the date of grant. Furthermore, the restricted stock units are subject to vesting conditions set out in the restricted stock unit program adopted by the Board of Directors.</w:t>
      </w:r>
      <w:r>
        <w:rPr>
          <w:color w:val="000000"/>
          <w:shd w:fill="FFFFFF" w:val="clear"/>
        </w:rPr>
        <w:t xml:space="preserve"> </w:t>
      </w:r>
      <w:r>
        <w:rPr>
          <w:rFonts w:ascii="Arial;sans-serif" w:hAnsi="Arial;sans-serif"/>
          <w:b w:val="false"/>
          <w:color w:val="000000"/>
          <w:sz w:val="20"/>
          <w:shd w:fill="FFFFFF" w:val="clear"/>
        </w:rPr>
        <w:t>Information con</w:t>
      </w:r>
      <w:r>
        <w:rPr>
          <w:rFonts w:ascii="Arial;sans-serif" w:hAnsi="Arial;sans-serif"/>
          <w:b w:val="false"/>
          <w:color w:val="000000"/>
          <w:sz w:val="20"/>
        </w:rPr>
        <w:t xml:space="preserve">cerning Genmab’s restricted stock unit program can be found on </w:t>
      </w:r>
      <w:r>
        <w:rPr>
          <w:rFonts w:ascii="Arial;sans-serif" w:hAnsi="Arial;sans-serif"/>
          <w:b w:val="false"/>
          <w:color w:val="000000"/>
          <w:sz w:val="20"/>
          <w:u w:val="single"/>
          <w:shd w:fill="FFFFFF" w:val="clear"/>
        </w:rPr>
        <w:t>www.genmab.com</w:t>
      </w:r>
      <w:r>
        <w:rPr>
          <w:color w:val="000000"/>
          <w:shd w:fill="FFFFFF" w:val="clear"/>
        </w:rPr>
        <w:t xml:space="preserve"> </w:t>
      </w:r>
      <w:r>
        <w:rPr>
          <w:rFonts w:ascii="Arial;sans-serif" w:hAnsi="Arial;sans-serif"/>
          <w:b w:val="false"/>
          <w:color w:val="000000"/>
          <w:sz w:val="20"/>
          <w:shd w:fill="FFFFFF" w:val="clear"/>
        </w:rPr>
        <w:t xml:space="preserve">under Investors &gt; Governance &gt; Compensation &gt; Restricted Stock Units.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The exercise price for each warrant is DKK 2,268. Each warrant is awarded cost-free and entitles the owner to subscribe one share of nominally DKK 1 subject to payment of the exercise price. By application of the Black-Scholes formula, the fair value of each warrant can be calculated as DKK 781.96.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The warrants vest three years after the grant date, and all warrants expire at the seventh anniversary of the grant date. The new warrants have been granted on the terms and conditions set out in the warrant program adopted by the Board of Directors on February 23, 2021. Information concerning Genmab’s warrant schemes can be found on www.genmab.com under Investors &gt; Governance &gt; Compensation &gt; Warrants.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About Genmab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Established in 1999, Genmab is headquartered in Copenhagen, Denmark, with international presence across North America, Europe and Asia Pacific. For more information, please visit Genmab.com or follow us on LinkedIn, X, Facebook and Instagram.</w:t>
      </w:r>
    </w:p>
    <w:p>
      <w:pPr>
        <w:pStyle w:val="TextBody"/>
        <w:bidi w:val="0"/>
        <w:spacing w:lineRule="auto" w:line="288" w:before="0" w:after="0"/>
        <w:jc w:val="left"/>
        <w:rPr/>
      </w:pPr>
      <w:r>
        <w:rPr>
          <w:rFonts w:ascii="Arial;sans-serif" w:hAnsi="Arial;sans-serif"/>
          <w:b/>
          <w:color w:val="000000"/>
          <w:sz w:val="20"/>
        </w:rPr>
        <w:t>Contact:</w:t>
      </w:r>
      <w:r>
        <w:rPr>
          <w:color w:val="000000"/>
        </w:rPr>
        <w:t>    </w:t>
      </w:r>
      <w:r>
        <w:rPr>
          <w:rFonts w:ascii="Arial;sans-serif" w:hAnsi="Arial;sans-serif"/>
          <w:b w:val="false"/>
          <w:color w:val="000000"/>
          <w:sz w:val="20"/>
        </w:rPr>
        <w:br/>
        <w:t>Marisol Peron, Senior Vice President, Global Communications &amp; Corporate Affairs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 +1 609 524 0065; E: mmp@genmab.com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Andrew Carlsen, Vice President, Head of Investor Relations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 +45 3377 9558; E: acn@genmab.com </w:t>
      </w:r>
    </w:p>
    <w:p>
      <w:pPr>
        <w:pStyle w:val="TextBody"/>
        <w:bidi w:val="0"/>
        <w:spacing w:lineRule="auto" w:line="288" w:before="0" w:after="0"/>
        <w:jc w:val="left"/>
        <w:rPr/>
      </w:pPr>
      <w:r>
        <w:rPr>
          <w:rFonts w:ascii="Arial;sans-serif" w:hAnsi="Arial;sans-serif"/>
          <w:b w:val="false"/>
          <w:color w:val="000000"/>
          <w:sz w:val="20"/>
        </w:rPr>
        <w:br/>
      </w:r>
      <w:r>
        <w:rPr>
          <w:rFonts w:ascii="Arial;sans-serif" w:hAnsi="Arial;sans-serif"/>
          <w:b w:val="false"/>
          <w:i/>
          <w:color w:val="000000"/>
          <w:sz w:val="16"/>
        </w:rPr>
        <w:t xml:space="preserve">The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56740"/>
                <wp:effectExtent l="0" t="0" r="0" b="0"/>
                <wp:wrapNone/>
                <wp:docPr id="5" name="Frame4"/>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38</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1/2</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38</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1/2</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1457325" cy="4191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457325" cy="4191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6"/>
        </w:rPr>
      </w:pPr>
      <w:r>
        <w:rPr>
          <w:rFonts w:ascii="Arial;sans-serif" w:hAnsi="Arial;sans-serif"/>
          <w:b/>
          <w:color w:val="000000"/>
          <w:sz w:val="26"/>
        </w:rPr>
        <w:t>Grant of Restricted Stock Units and Warrants to Employees in Genmab</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i/>
          <w:color w:val="000000"/>
          <w:sz w:val="16"/>
        </w:rPr>
        <w:t xml:space="preserve">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t>
      </w:r>
      <w:r>
        <w:rPr>
          <w:rFonts w:ascii="Arial;sans-serif" w:hAnsi="Arial;sans-serif"/>
          <w:b w:val="false"/>
          <w:i/>
          <w:color w:val="0000FF"/>
          <w:sz w:val="16"/>
          <w:u w:val="single"/>
        </w:rPr>
        <w:t xml:space="preserve">www.genmab.com </w:t>
      </w:r>
      <w:r>
        <w:rPr>
          <w:rFonts w:ascii="Arial;sans-serif" w:hAnsi="Arial;sans-serif"/>
          <w:b w:val="false"/>
          <w:i/>
          <w:color w:val="000000"/>
          <w:sz w:val="16"/>
        </w:rPr>
        <w:t xml:space="preserve">and the risk factors included in Genmab’s most recent Annual Report on Form 20-F and other filings with the U.S. Securities and Exchange Commission (SEC), which are available at </w:t>
      </w:r>
      <w:r>
        <w:rPr>
          <w:rFonts w:ascii="Arial;sans-serif" w:hAnsi="Arial;sans-serif"/>
          <w:b w:val="false"/>
          <w:i/>
          <w:color w:val="0000FF"/>
          <w:sz w:val="16"/>
          <w:u w:val="single"/>
        </w:rPr>
        <w:t>www.sec.gov</w:t>
      </w:r>
      <w:r>
        <w:rPr>
          <w:rFonts w:ascii="Arial;sans-serif" w:hAnsi="Arial;sans-serif"/>
          <w:b w:val="false"/>
          <w:i/>
          <w:color w:val="000000"/>
          <w:sz w:val="16"/>
        </w:rPr>
        <w:t xml:space="preserve">. Genmab does not undertake any obligation to update or revise forward looking statements in the Company Announcement nor to confirm such statements to reflect subsequent events or circumstances after the date made or in relation to actual results, unless required by law. </w:t>
      </w:r>
    </w:p>
    <w:p>
      <w:pPr>
        <w:pStyle w:val="TextBody"/>
        <w:bidi w:val="0"/>
        <w:spacing w:lineRule="auto" w:line="288" w:before="0" w:after="0"/>
        <w:jc w:val="left"/>
        <w:rPr/>
      </w:pPr>
      <w:r>
        <w:rPr>
          <w:rFonts w:ascii="Arial;sans-serif" w:hAnsi="Arial;sans-serif"/>
          <w:b w:val="false"/>
          <w:color w:val="000000"/>
          <w:sz w:val="16"/>
        </w:rPr>
        <w:br/>
      </w:r>
      <w:r>
        <w:rPr>
          <w:rFonts w:ascii="Arial;sans-serif" w:hAnsi="Arial;sans-serif"/>
          <w:b w:val="false"/>
          <w:i/>
          <w:color w:val="000000"/>
          <w:sz w:val="16"/>
        </w:rPr>
        <w:t>Genmab A/S and/or its subsidiaries own the following trademarks: Genmab</w:t>
      </w:r>
      <w:r>
        <w:rPr>
          <w:rFonts w:ascii="Arial;sans-serif" w:hAnsi="Arial;sans-serif"/>
          <w:b w:val="false"/>
          <w:i/>
          <w:color w:val="000000"/>
          <w:sz w:val="10"/>
        </w:rPr>
        <w:t>®</w:t>
      </w:r>
      <w:r>
        <w:rPr>
          <w:rFonts w:ascii="Arial;sans-serif" w:hAnsi="Arial;sans-serif"/>
          <w:b w:val="false"/>
          <w:i/>
          <w:color w:val="000000"/>
          <w:sz w:val="16"/>
        </w:rPr>
        <w:t>; the Y-shaped Genmab logo</w:t>
      </w:r>
      <w:r>
        <w:rPr>
          <w:rFonts w:ascii="Arial;sans-serif" w:hAnsi="Arial;sans-serif"/>
          <w:b w:val="false"/>
          <w:i/>
          <w:color w:val="000000"/>
          <w:sz w:val="10"/>
        </w:rPr>
        <w:t>®</w:t>
      </w:r>
      <w:r>
        <w:rPr>
          <w:rFonts w:ascii="Arial;sans-serif" w:hAnsi="Arial;sans-serif"/>
          <w:b w:val="false"/>
          <w:i/>
          <w:color w:val="000000"/>
          <w:sz w:val="16"/>
        </w:rPr>
        <w:t>; Genmab in combination with the Y-shaped Genmab logo</w:t>
      </w:r>
      <w:r>
        <w:rPr>
          <w:rFonts w:ascii="Arial;sans-serif" w:hAnsi="Arial;sans-serif"/>
          <w:b w:val="false"/>
          <w:i/>
          <w:color w:val="000000"/>
          <w:sz w:val="10"/>
        </w:rPr>
        <w:t>®</w:t>
      </w:r>
      <w:r>
        <w:rPr>
          <w:rFonts w:ascii="Arial;sans-serif" w:hAnsi="Arial;sans-serif"/>
          <w:b w:val="false"/>
          <w:i/>
          <w:color w:val="000000"/>
          <w:sz w:val="16"/>
        </w:rPr>
        <w:t>; HuMax</w:t>
      </w:r>
      <w:r>
        <w:rPr>
          <w:rFonts w:ascii="Arial;sans-serif" w:hAnsi="Arial;sans-serif"/>
          <w:b w:val="false"/>
          <w:i/>
          <w:color w:val="000000"/>
          <w:sz w:val="10"/>
        </w:rPr>
        <w:t>®</w:t>
      </w:r>
      <w:r>
        <w:rPr>
          <w:rFonts w:ascii="Arial;sans-serif" w:hAnsi="Arial;sans-serif"/>
          <w:b w:val="false"/>
          <w:i/>
          <w:color w:val="000000"/>
          <w:sz w:val="16"/>
        </w:rPr>
        <w:t>; DuoBody</w:t>
      </w:r>
      <w:r>
        <w:rPr>
          <w:rFonts w:ascii="Arial;sans-serif" w:hAnsi="Arial;sans-serif"/>
          <w:b w:val="false"/>
          <w:i/>
          <w:color w:val="000000"/>
          <w:sz w:val="10"/>
        </w:rPr>
        <w:t>®</w:t>
      </w:r>
      <w:r>
        <w:rPr>
          <w:rFonts w:ascii="Arial;sans-serif" w:hAnsi="Arial;sans-serif"/>
          <w:b w:val="false"/>
          <w:i/>
          <w:color w:val="000000"/>
          <w:sz w:val="16"/>
        </w:rPr>
        <w:t>; HexaBody</w:t>
      </w:r>
      <w:r>
        <w:rPr>
          <w:rFonts w:ascii="Arial;sans-serif" w:hAnsi="Arial;sans-serif"/>
          <w:b w:val="false"/>
          <w:i/>
          <w:color w:val="000000"/>
          <w:sz w:val="10"/>
        </w:rPr>
        <w:t>®</w:t>
      </w:r>
      <w:r>
        <w:rPr>
          <w:rFonts w:ascii="Arial;sans-serif" w:hAnsi="Arial;sans-serif"/>
          <w:b w:val="false"/>
          <w:i/>
          <w:color w:val="000000"/>
          <w:sz w:val="16"/>
        </w:rPr>
        <w:t>; DuoHexaBody</w:t>
      </w:r>
      <w:r>
        <w:rPr>
          <w:rFonts w:ascii="Arial;sans-serif" w:hAnsi="Arial;sans-serif"/>
          <w:b w:val="false"/>
          <w:i/>
          <w:color w:val="000000"/>
          <w:sz w:val="10"/>
        </w:rPr>
        <w:t>®</w:t>
      </w:r>
      <w:r>
        <w:rPr>
          <w:rFonts w:ascii="Arial;sans-serif" w:hAnsi="Arial;sans-serif"/>
          <w:b w:val="false"/>
          <w:i/>
          <w:color w:val="000000"/>
          <w:sz w:val="16"/>
        </w:rPr>
        <w:t>, HexElect</w:t>
      </w:r>
      <w:r>
        <w:rPr>
          <w:rFonts w:ascii="Arial;sans-serif" w:hAnsi="Arial;sans-serif"/>
          <w:b w:val="false"/>
          <w:i/>
          <w:color w:val="000000"/>
          <w:sz w:val="10"/>
        </w:rPr>
        <w:t xml:space="preserve">® </w:t>
      </w:r>
      <w:r>
        <w:rPr>
          <w:rFonts w:ascii="Arial;sans-serif" w:hAnsi="Arial;sans-serif"/>
          <w:b w:val="false"/>
          <w:i/>
          <w:color w:val="000000"/>
          <w:sz w:val="16"/>
        </w:rPr>
        <w:t>and KYSO</w:t>
      </w:r>
      <w:r>
        <w:rPr>
          <w:rFonts w:ascii="Arial;sans-serif" w:hAnsi="Arial;sans-serif"/>
          <w:b w:val="false"/>
          <w:color w:val="000000"/>
          <w:sz w:val="13"/>
        </w:rPr>
        <w:t>®</w:t>
      </w:r>
      <w:r>
        <w:rPr>
          <w:rFonts w:ascii="Arial;sans-serif" w:hAnsi="Arial;sans-serif"/>
          <w:b w:val="false"/>
          <w:i/>
          <w:color w:val="000000"/>
          <w:sz w:val="16"/>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56740"/>
                <wp:effectExtent l="0" t="0" r="0" b="0"/>
                <wp:wrapNone/>
                <wp:docPr id="7" name="Frame5"/>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38</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2/2</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38</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2/2</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1001</Words>
  <Characters>5657</Characters>
  <CharactersWithSpaces>6616</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