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972185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323215</wp:posOffset>
            </wp:positionV>
            <wp:extent cx="14147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APRIL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197485</wp:posOffset>
            </wp:positionV>
            <wp:extent cx="14147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001-38976</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Genmab A/S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(Exact name of Registrant as specified in its charter)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Carl Jacobsens Vej 30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2500 Valby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Denmark</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+45 70 20 27 28</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333333"/>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188595</wp:posOffset>
            </wp:positionV>
            <wp:extent cx="14147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1714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 20-F Form 40-F</w:t>
      </w:r>
    </w:p>
    <w:p>
      <w:pPr>
        <w:spacing w:after="0" w:line="22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 Genmab A/S’s registration statements on Form S-8 (File No. 333-232693, 333-253519, 333-262970, 333-277273, 333-284876 and 333-293505)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60" w:type="dxa"/>
            <w:vAlign w:val="bottom"/>
            <w:gridSpan w:val="2"/>
          </w:tcPr>
          <w:p>
            <w:pPr>
              <w:ind w:left="1740"/>
              <w:spacing w:after="0"/>
              <w:rPr>
                <w:sz w:val="20"/>
                <w:szCs w:val="20"/>
                <w:color w:val="auto"/>
              </w:rPr>
            </w:pPr>
            <w:r>
              <w:rPr>
                <w:rFonts w:ascii="Arial" w:cs="Arial" w:eastAsia="Arial" w:hAnsi="Arial"/>
                <w:sz w:val="18"/>
                <w:szCs w:val="18"/>
                <w:b w:val="1"/>
                <w:bCs w:val="1"/>
                <w:color w:val="auto"/>
                <w:w w:val="99"/>
              </w:rPr>
              <w:t>EXHIBIT INDEX</w:t>
            </w:r>
          </w:p>
        </w:tc>
      </w:tr>
      <w:tr>
        <w:trPr>
          <w:trHeight w:val="690"/>
        </w:trPr>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5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2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 w:type="dxa"/>
            <w:vAlign w:val="bottom"/>
          </w:tcPr>
          <w:p>
            <w:pPr>
              <w:spacing w:after="0"/>
              <w:rPr>
                <w:sz w:val="24"/>
                <w:szCs w:val="24"/>
                <w:color w:val="auto"/>
              </w:rPr>
            </w:pPr>
          </w:p>
        </w:tc>
        <w:tc>
          <w:tcPr>
            <w:tcW w:w="3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Company Announcement Dated April 14, 2026</w:t>
            </w:r>
          </w:p>
        </w:tc>
        <w:tc>
          <w:tcPr>
            <w:tcW w:w="1260" w:type="dxa"/>
            <w:vAlign w:val="bottom"/>
          </w:tcPr>
          <w:p>
            <w:pPr>
              <w:spacing w:after="0"/>
              <w:rPr>
                <w:sz w:val="24"/>
                <w:szCs w:val="24"/>
                <w:color w:val="auto"/>
              </w:rPr>
            </w:pPr>
          </w:p>
        </w:tc>
      </w:tr>
    </w:tbl>
    <w:p>
      <w:pPr>
        <w:sectPr>
          <w:pgSz w:w="11900" w:h="16838" w:orient="portrait"/>
          <w:cols w:equalWidth="0" w:num="1">
            <w:col w:w="10059"/>
          </w:cols>
          <w:pgMar w:left="400" w:top="1440" w:right="1440"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27"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GENMAB A/S</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35"/>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Pagano</w:t>
            </w:r>
          </w:p>
        </w:tc>
      </w:tr>
      <w:tr>
        <w:trPr>
          <w:trHeight w:val="218"/>
        </w:trPr>
        <w:tc>
          <w:tcPr>
            <w:tcW w:w="720" w:type="dxa"/>
            <w:vAlign w:val="bottom"/>
          </w:tcPr>
          <w:p>
            <w:pPr>
              <w:spacing w:after="0"/>
              <w:rPr>
                <w:sz w:val="18"/>
                <w:szCs w:val="18"/>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Name: Anthony Pagano</w:t>
            </w:r>
          </w:p>
        </w:tc>
      </w:tr>
      <w:tr>
        <w:trPr>
          <w:trHeight w:val="239"/>
        </w:trPr>
        <w:tc>
          <w:tcPr>
            <w:tcW w:w="72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Executive Vice President &amp; Chief Financial Officer</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April 14, 2026</w:t>
      </w:r>
    </w:p>
    <w:p>
      <w:pPr>
        <w:sectPr>
          <w:pgSz w:w="11900" w:h="16838" w:orient="portrait"/>
          <w:cols w:equalWidth="0" w:num="1">
            <w:col w:w="10980"/>
          </w:cols>
          <w:pgMar w:left="320" w:top="125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163195</wp:posOffset>
            </wp:positionV>
            <wp:extent cx="1311275"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127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Genmab Announces Net Sales of DARZALEX</w:t>
      </w:r>
      <w:r>
        <w:rPr>
          <w:rFonts w:ascii="Arial" w:cs="Arial" w:eastAsia="Arial" w:hAnsi="Arial"/>
          <w:sz w:val="11"/>
          <w:szCs w:val="11"/>
          <w:b w:val="1"/>
          <w:bCs w:val="1"/>
          <w:color w:val="auto"/>
        </w:rPr>
        <w:t>®</w:t>
      </w:r>
      <w:r>
        <w:rPr>
          <w:rFonts w:ascii="Arial" w:cs="Arial" w:eastAsia="Arial" w:hAnsi="Arial"/>
          <w:sz w:val="23"/>
          <w:szCs w:val="23"/>
          <w:b w:val="1"/>
          <w:bCs w:val="1"/>
          <w:color w:val="auto"/>
        </w:rPr>
        <w:t xml:space="preserve"> (daratumumab) for First Quarter of 2026</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Announcement</w:t>
      </w:r>
    </w:p>
    <w:p>
      <w:pPr>
        <w:spacing w:after="0" w:line="22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Net sales of DARZALEX</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in the first quarter of 2026 totaled USD 3,964 million</w:t>
      </w: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Genmab receives royalties on worldwide net sales from Johnson &amp; Johnson (J&amp;J, legal entity Janssen Biotech,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COPENHAGEN, Denmark; April 14, 2026 – </w:t>
      </w:r>
      <w:r>
        <w:rPr>
          <w:rFonts w:ascii="Arial" w:cs="Arial" w:eastAsia="Arial" w:hAnsi="Arial"/>
          <w:sz w:val="18"/>
          <w:szCs w:val="18"/>
          <w:b w:val="1"/>
          <w:bCs w:val="1"/>
          <w:color w:val="0000FF"/>
        </w:rPr>
        <w:t>Genmab A/S</w:t>
      </w:r>
      <w:r>
        <w:rPr>
          <w:rFonts w:ascii="Arial" w:cs="Arial" w:eastAsia="Arial" w:hAnsi="Arial"/>
          <w:sz w:val="18"/>
          <w:szCs w:val="18"/>
          <w:b w:val="1"/>
          <w:bCs w:val="1"/>
          <w:color w:val="auto"/>
        </w:rPr>
        <w:t xml:space="preserve"> (Nasdaq: GMAB) announced today that worldwide net trade sales of</w:t>
      </w:r>
    </w:p>
    <w:p>
      <w:pPr>
        <w:spacing w:after="0" w:line="14" w:lineRule="exact"/>
        <w:rPr>
          <w:sz w:val="20"/>
          <w:szCs w:val="20"/>
          <w:color w:val="auto"/>
        </w:rPr>
      </w:pPr>
    </w:p>
    <w:p>
      <w:pPr>
        <w:ind w:right="260"/>
        <w:spacing w:after="0" w:line="209" w:lineRule="auto"/>
        <w:rPr>
          <w:sz w:val="20"/>
          <w:szCs w:val="20"/>
          <w:color w:val="auto"/>
        </w:rPr>
      </w:pPr>
      <w:r>
        <w:rPr>
          <w:rFonts w:ascii="Arial" w:cs="Arial" w:eastAsia="Arial" w:hAnsi="Arial"/>
          <w:sz w:val="17"/>
          <w:szCs w:val="17"/>
          <w:b w:val="1"/>
          <w:bCs w:val="1"/>
          <w:color w:val="auto"/>
        </w:rPr>
        <w:t xml:space="preserve">DARZALEX (daratumumab), including sales of the subcutaneous (SC) product (daratumumab and hyaluronidase-fihj, sold under the tradename DARZALEX </w:t>
      </w:r>
      <w:r>
        <w:rPr>
          <w:rFonts w:ascii="Arial" w:cs="Arial" w:eastAsia="Arial" w:hAnsi="Arial"/>
          <w:sz w:val="17"/>
          <w:szCs w:val="17"/>
          <w:b w:val="1"/>
          <w:bCs w:val="1"/>
          <w:i w:val="1"/>
          <w:iCs w:val="1"/>
          <w:color w:val="auto"/>
        </w:rPr>
        <w:t>FASPRO</w:t>
      </w:r>
      <w:r>
        <w:rPr>
          <w:rFonts w:ascii="Arial" w:cs="Arial" w:eastAsia="Arial" w:hAnsi="Arial"/>
          <w:sz w:val="22"/>
          <w:szCs w:val="22"/>
          <w:b w:val="1"/>
          <w:bCs w:val="1"/>
          <w:color w:val="auto"/>
          <w:vertAlign w:val="superscript"/>
        </w:rPr>
        <w:t>®</w:t>
      </w:r>
      <w:r>
        <w:rPr>
          <w:rFonts w:ascii="Arial" w:cs="Arial" w:eastAsia="Arial" w:hAnsi="Arial"/>
          <w:sz w:val="17"/>
          <w:szCs w:val="17"/>
          <w:b w:val="1"/>
          <w:bCs w:val="1"/>
          <w:color w:val="auto"/>
        </w:rPr>
        <w:t xml:space="preserve"> in the U.S.), as reported by J&amp;J were USD 3,964 million in the first quarter of 2026. </w:t>
      </w:r>
      <w:r>
        <w:rPr>
          <w:rFonts w:ascii="Arial" w:cs="Arial" w:eastAsia="Arial" w:hAnsi="Arial"/>
          <w:sz w:val="17"/>
          <w:szCs w:val="17"/>
          <w:color w:val="auto"/>
        </w:rPr>
        <w:t>Net trade</w:t>
      </w:r>
    </w:p>
    <w:p>
      <w:pPr>
        <w:spacing w:after="0" w:line="1" w:lineRule="exact"/>
        <w:rPr>
          <w:sz w:val="20"/>
          <w:szCs w:val="20"/>
          <w:color w:val="auto"/>
        </w:rPr>
      </w:pPr>
    </w:p>
    <w:p>
      <w:pPr>
        <w:ind w:right="400"/>
        <w:spacing w:after="0" w:line="242" w:lineRule="auto"/>
        <w:rPr>
          <w:sz w:val="20"/>
          <w:szCs w:val="20"/>
          <w:color w:val="auto"/>
        </w:rPr>
      </w:pPr>
      <w:r>
        <w:rPr>
          <w:rFonts w:ascii="Arial" w:cs="Arial" w:eastAsia="Arial" w:hAnsi="Arial"/>
          <w:sz w:val="18"/>
          <w:szCs w:val="18"/>
          <w:color w:val="auto"/>
        </w:rPr>
        <w:t>sales were USD 2,208 million in the U.S. and USD 1,756 million in the rest of the world. Genmab receives royalties on the worldwide net sales of DARZALEX, both the intravenous and SC products, under the exclusive worldwide license to J&amp;J to develop, manufacture and commercialize daratumumab.</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Genmab</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Genmab is an international biotechnology company dedicated to improving the lives of people with cancer and other serious diseases through innovative antibody medicines. For over 25 years, its passionate, innovative and collaborative team has advanced a broad range of antibody-based therapeutic formats, including bispecific antibodies, antibody–drug conjugates (ADCs), immune-modulating antibodies and other next-generation modalities. Genmab’s science powers eight approved antibody medicines, and the company is advancing a strong late-stage clinical pipeline, including wholly owned programs, with the goal of delivering transformative medicines to patients.</w:t>
      </w:r>
    </w:p>
    <w:p>
      <w:pPr>
        <w:spacing w:after="0" w:line="183"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 xml:space="preserve">Established in 1999, Genmab is headquartered in Copenhagen, Denmark, with international presence across North America, Europe and Asia Pacific. For more information, please visit </w:t>
      </w:r>
      <w:r>
        <w:rPr>
          <w:rFonts w:ascii="Arial" w:cs="Arial" w:eastAsia="Arial" w:hAnsi="Arial"/>
          <w:sz w:val="18"/>
          <w:szCs w:val="18"/>
          <w:u w:val="single" w:color="auto"/>
          <w:color w:val="0000FF"/>
        </w:rPr>
        <w:t>Genmab.com</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X</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 w:lineRule="exact"/>
        <w:rPr>
          <w:sz w:val="20"/>
          <w:szCs w:val="20"/>
          <w:color w:val="auto"/>
        </w:rPr>
      </w:pPr>
    </w:p>
    <w:p>
      <w:pPr>
        <w:ind w:right="4700"/>
        <w:spacing w:after="0" w:line="266" w:lineRule="auto"/>
        <w:rPr>
          <w:sz w:val="20"/>
          <w:szCs w:val="20"/>
          <w:color w:val="auto"/>
        </w:rPr>
      </w:pPr>
      <w:r>
        <w:rPr>
          <w:rFonts w:ascii="Arial" w:cs="Arial" w:eastAsia="Arial" w:hAnsi="Arial"/>
          <w:sz w:val="18"/>
          <w:szCs w:val="18"/>
          <w:color w:val="auto"/>
        </w:rPr>
        <w:t xml:space="preserve">Marisol Peron, Senior Vice President, Global Communications &amp; Corporate Affairs T: +1 609 524 0065; E: </w:t>
      </w:r>
      <w:r>
        <w:rPr>
          <w:rFonts w:ascii="Arial" w:cs="Arial" w:eastAsia="Arial" w:hAnsi="Arial"/>
          <w:sz w:val="18"/>
          <w:szCs w:val="18"/>
          <w:u w:val="single" w:color="auto"/>
          <w:color w:val="0000FF"/>
        </w:rPr>
        <w:t>mmp@genmab.com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Andrew Carlsen, Vice President, Head of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 +45 3377 9558; E: </w:t>
      </w:r>
      <w:r>
        <w:rPr>
          <w:rFonts w:ascii="Arial" w:cs="Arial" w:eastAsia="Arial" w:hAnsi="Arial"/>
          <w:sz w:val="18"/>
          <w:szCs w:val="18"/>
          <w:u w:val="single" w:color="auto"/>
          <w:color w:val="0000FF"/>
        </w:rPr>
        <w:t>acn@genmab.com</w:t>
      </w: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14"/>
          <w:szCs w:val="14"/>
          <w:i w:val="1"/>
          <w:iCs w:val="1"/>
          <w:color w:val="auto"/>
        </w:rPr>
        <w:t xml:space="preserve">The Company Announcement contains forward looking statements. The words “believe,” “expect,” “anticipate,” “intend” and “plan” and similar expressions identify forward looking statements. Actual results or performance may differ materially from any future results or performance expressed or implied by such statements. The important factors that could cause our actual results or performance to differ materially include, among others, risks associated with pre-clinical and clinical development of products, uncertainties related to the outcome and conduct of clinical trials including unforeseen safety issues, uncertainties related to product manufacturing, the lack of market acceptance of our products, our inability to manage growth, the competitive environment in relation to our business area and markets, our inability to attract and retain suitably qualified personnel, the unenforceability or lack of protection of our patents and proprietary rights, our relationships with affiliated entities, changes and developments in technology which may render our products or technologies obsolete, and other factors. For a further discussion of these risks, please refer to the risk management sections in Genmab’s most recent financial reports, which are available on </w:t>
      </w:r>
      <w:r>
        <w:rPr>
          <w:rFonts w:ascii="Arial" w:cs="Arial" w:eastAsia="Arial" w:hAnsi="Arial"/>
          <w:sz w:val="14"/>
          <w:szCs w:val="14"/>
          <w:i w:val="1"/>
          <w:iCs w:val="1"/>
          <w:u w:val="single" w:color="auto"/>
          <w:color w:val="0000FF"/>
        </w:rPr>
        <w:t>www.genmab.com</w:t>
      </w:r>
      <w:r>
        <w:rPr>
          <w:rFonts w:ascii="Arial" w:cs="Arial" w:eastAsia="Arial" w:hAnsi="Arial"/>
          <w:sz w:val="14"/>
          <w:szCs w:val="14"/>
          <w:i w:val="1"/>
          <w:iCs w:val="1"/>
          <w:color w:val="auto"/>
        </w:rPr>
        <w:t xml:space="preserve"> and the risk factors included in Genmab’s most recent Annual Report on Form 20-F and other filings with the U.S. Securities and Exchange Commission (SEC), which are available at </w:t>
      </w:r>
      <w:r>
        <w:rPr>
          <w:rFonts w:ascii="Arial" w:cs="Arial" w:eastAsia="Arial" w:hAnsi="Arial"/>
          <w:sz w:val="14"/>
          <w:szCs w:val="14"/>
          <w:i w:val="1"/>
          <w:iCs w:val="1"/>
          <w:u w:val="single" w:color="auto"/>
          <w:color w:val="0000FF"/>
        </w:rPr>
        <w:t>www.sec.gov</w:t>
      </w:r>
      <w:r>
        <w:rPr>
          <w:rFonts w:ascii="Arial" w:cs="Arial" w:eastAsia="Arial" w:hAnsi="Arial"/>
          <w:sz w:val="14"/>
          <w:szCs w:val="14"/>
          <w:i w:val="1"/>
          <w:iCs w:val="1"/>
          <w:color w:val="auto"/>
        </w:rPr>
        <w:t>. Genmab does not undertake any obligation to update or revise forward looking statements in the Company Announcement nor to confirm such statements to reflect subsequent events or circumstances after the date made or in relation to actual results, unless required by law.</w:t>
      </w:r>
    </w:p>
    <w:p>
      <w:pPr>
        <w:spacing w:after="0" w:line="310" w:lineRule="exact"/>
        <w:rPr>
          <w:sz w:val="20"/>
          <w:szCs w:val="20"/>
          <w:color w:val="auto"/>
        </w:rPr>
      </w:pPr>
    </w:p>
    <w:p>
      <w:pPr>
        <w:ind w:right="80"/>
        <w:spacing w:after="0" w:line="180" w:lineRule="auto"/>
        <w:rPr>
          <w:sz w:val="20"/>
          <w:szCs w:val="20"/>
          <w:color w:val="auto"/>
        </w:rPr>
      </w:pPr>
      <w:r>
        <w:rPr>
          <w:rFonts w:ascii="Arial" w:cs="Arial" w:eastAsia="Arial" w:hAnsi="Arial"/>
          <w:sz w:val="13"/>
          <w:szCs w:val="13"/>
          <w:i w:val="1"/>
          <w:iCs w:val="1"/>
          <w:color w:val="auto"/>
        </w:rPr>
        <w:t>Genmab A/S and/or its subsidiaries own the following trademarks: Genmab</w:t>
      </w:r>
      <w:r>
        <w:rPr>
          <w:rFonts w:ascii="Arial" w:cs="Arial" w:eastAsia="Arial" w:hAnsi="Arial"/>
          <w:sz w:val="16"/>
          <w:szCs w:val="16"/>
          <w:i w:val="1"/>
          <w:iCs w:val="1"/>
          <w:color w:val="auto"/>
          <w:vertAlign w:val="superscript"/>
        </w:rPr>
        <w:t>®</w:t>
      </w:r>
      <w:r>
        <w:rPr>
          <w:rFonts w:ascii="Arial" w:cs="Arial" w:eastAsia="Arial" w:hAnsi="Arial"/>
          <w:sz w:val="13"/>
          <w:szCs w:val="13"/>
          <w:i w:val="1"/>
          <w:iCs w:val="1"/>
          <w:color w:val="auto"/>
        </w:rPr>
        <w:t>; the Y-shaped Genmab logo</w:t>
      </w:r>
      <w:r>
        <w:rPr>
          <w:rFonts w:ascii="Arial" w:cs="Arial" w:eastAsia="Arial" w:hAnsi="Arial"/>
          <w:sz w:val="16"/>
          <w:szCs w:val="16"/>
          <w:i w:val="1"/>
          <w:iCs w:val="1"/>
          <w:color w:val="auto"/>
          <w:vertAlign w:val="superscript"/>
        </w:rPr>
        <w:t>®</w:t>
      </w:r>
      <w:r>
        <w:rPr>
          <w:rFonts w:ascii="Arial" w:cs="Arial" w:eastAsia="Arial" w:hAnsi="Arial"/>
          <w:sz w:val="13"/>
          <w:szCs w:val="13"/>
          <w:i w:val="1"/>
          <w:iCs w:val="1"/>
          <w:color w:val="auto"/>
        </w:rPr>
        <w:t>; Genmab in combination with the Y-shaped Genmab logo</w:t>
      </w:r>
      <w:r>
        <w:rPr>
          <w:rFonts w:ascii="Arial" w:cs="Arial" w:eastAsia="Arial" w:hAnsi="Arial"/>
          <w:sz w:val="16"/>
          <w:szCs w:val="16"/>
          <w:i w:val="1"/>
          <w:iCs w:val="1"/>
          <w:color w:val="auto"/>
          <w:vertAlign w:val="superscript"/>
        </w:rPr>
        <w:t>®</w:t>
      </w:r>
      <w:r>
        <w:rPr>
          <w:rFonts w:ascii="Arial" w:cs="Arial" w:eastAsia="Arial" w:hAnsi="Arial"/>
          <w:sz w:val="13"/>
          <w:szCs w:val="13"/>
          <w:i w:val="1"/>
          <w:iCs w:val="1"/>
          <w:color w:val="auto"/>
        </w:rPr>
        <w:t>; HuMax</w:t>
      </w:r>
      <w:r>
        <w:rPr>
          <w:rFonts w:ascii="Arial" w:cs="Arial" w:eastAsia="Arial" w:hAnsi="Arial"/>
          <w:sz w:val="16"/>
          <w:szCs w:val="16"/>
          <w:i w:val="1"/>
          <w:iCs w:val="1"/>
          <w:color w:val="auto"/>
          <w:vertAlign w:val="superscript"/>
        </w:rPr>
        <w:t>®</w:t>
      </w:r>
      <w:r>
        <w:rPr>
          <w:rFonts w:ascii="Arial" w:cs="Arial" w:eastAsia="Arial" w:hAnsi="Arial"/>
          <w:sz w:val="13"/>
          <w:szCs w:val="13"/>
          <w:i w:val="1"/>
          <w:iCs w:val="1"/>
          <w:color w:val="auto"/>
        </w:rPr>
        <w:t>; DuoBody</w:t>
      </w:r>
      <w:r>
        <w:rPr>
          <w:rFonts w:ascii="Arial" w:cs="Arial" w:eastAsia="Arial" w:hAnsi="Arial"/>
          <w:sz w:val="16"/>
          <w:szCs w:val="16"/>
          <w:i w:val="1"/>
          <w:iCs w:val="1"/>
          <w:color w:val="auto"/>
          <w:vertAlign w:val="superscript"/>
        </w:rPr>
        <w:t>®</w:t>
      </w:r>
      <w:r>
        <w:rPr>
          <w:rFonts w:ascii="Arial" w:cs="Arial" w:eastAsia="Arial" w:hAnsi="Arial"/>
          <w:sz w:val="13"/>
          <w:szCs w:val="13"/>
          <w:i w:val="1"/>
          <w:iCs w:val="1"/>
          <w:color w:val="auto"/>
        </w:rPr>
        <w:t>; HexaBody</w:t>
      </w:r>
      <w:r>
        <w:rPr>
          <w:rFonts w:ascii="Arial" w:cs="Arial" w:eastAsia="Arial" w:hAnsi="Arial"/>
          <w:sz w:val="16"/>
          <w:szCs w:val="16"/>
          <w:i w:val="1"/>
          <w:iCs w:val="1"/>
          <w:color w:val="auto"/>
          <w:vertAlign w:val="superscript"/>
        </w:rPr>
        <w:t>®</w:t>
      </w:r>
      <w:r>
        <w:rPr>
          <w:rFonts w:ascii="Arial" w:cs="Arial" w:eastAsia="Arial" w:hAnsi="Arial"/>
          <w:sz w:val="13"/>
          <w:szCs w:val="13"/>
          <w:i w:val="1"/>
          <w:iCs w:val="1"/>
          <w:color w:val="auto"/>
        </w:rPr>
        <w:t>; DuoHexaBody</w:t>
      </w:r>
      <w:r>
        <w:rPr>
          <w:rFonts w:ascii="Arial" w:cs="Arial" w:eastAsia="Arial" w:hAnsi="Arial"/>
          <w:sz w:val="16"/>
          <w:szCs w:val="16"/>
          <w:i w:val="1"/>
          <w:iCs w:val="1"/>
          <w:color w:val="auto"/>
          <w:vertAlign w:val="superscript"/>
        </w:rPr>
        <w:t>®</w:t>
      </w:r>
      <w:r>
        <w:rPr>
          <w:rFonts w:ascii="Arial" w:cs="Arial" w:eastAsia="Arial" w:hAnsi="Arial"/>
          <w:sz w:val="13"/>
          <w:szCs w:val="13"/>
          <w:i w:val="1"/>
          <w:iCs w:val="1"/>
          <w:color w:val="auto"/>
        </w:rPr>
        <w:t>, HexElect</w:t>
      </w:r>
      <w:r>
        <w:rPr>
          <w:rFonts w:ascii="Arial" w:cs="Arial" w:eastAsia="Arial" w:hAnsi="Arial"/>
          <w:sz w:val="16"/>
          <w:szCs w:val="16"/>
          <w:i w:val="1"/>
          <w:iCs w:val="1"/>
          <w:color w:val="auto"/>
          <w:vertAlign w:val="superscript"/>
        </w:rPr>
        <w:t>®</w:t>
      </w:r>
      <w:r>
        <w:rPr>
          <w:rFonts w:ascii="Arial" w:cs="Arial" w:eastAsia="Arial" w:hAnsi="Arial"/>
          <w:sz w:val="13"/>
          <w:szCs w:val="13"/>
          <w:i w:val="1"/>
          <w:iCs w:val="1"/>
          <w:color w:val="auto"/>
        </w:rPr>
        <w:t xml:space="preserve"> and KYSO</w:t>
      </w:r>
      <w:r>
        <w:rPr>
          <w:rFonts w:ascii="Arial" w:cs="Arial" w:eastAsia="Arial" w:hAnsi="Arial"/>
          <w:sz w:val="20"/>
          <w:szCs w:val="20"/>
          <w:color w:val="auto"/>
          <w:vertAlign w:val="superscript"/>
        </w:rPr>
        <w:t>®</w:t>
      </w:r>
      <w:r>
        <w:rPr>
          <w:rFonts w:ascii="Arial" w:cs="Arial" w:eastAsia="Arial" w:hAnsi="Arial"/>
          <w:sz w:val="13"/>
          <w:szCs w:val="13"/>
          <w:i w:val="1"/>
          <w:iCs w:val="1"/>
          <w:color w:val="auto"/>
        </w:rPr>
        <w:t>. DARZALEX</w:t>
      </w:r>
      <w:r>
        <w:rPr>
          <w:rFonts w:ascii="Arial" w:cs="Arial" w:eastAsia="Arial" w:hAnsi="Arial"/>
          <w:sz w:val="20"/>
          <w:szCs w:val="20"/>
          <w:i w:val="1"/>
          <w:iCs w:val="1"/>
          <w:color w:val="auto"/>
          <w:vertAlign w:val="superscript"/>
        </w:rPr>
        <w:t>®</w:t>
      </w:r>
      <w:r>
        <w:rPr>
          <w:rFonts w:ascii="Arial" w:cs="Arial" w:eastAsia="Arial" w:hAnsi="Arial"/>
          <w:sz w:val="13"/>
          <w:szCs w:val="13"/>
          <w:i w:val="1"/>
          <w:iCs w:val="1"/>
          <w:color w:val="auto"/>
        </w:rPr>
        <w:t xml:space="preserve"> and DARZALEX FASPRO</w:t>
      </w:r>
      <w:r>
        <w:rPr>
          <w:rFonts w:ascii="Arial" w:cs="Arial" w:eastAsia="Arial" w:hAnsi="Arial"/>
          <w:sz w:val="20"/>
          <w:szCs w:val="20"/>
          <w:i w:val="1"/>
          <w:iCs w:val="1"/>
          <w:color w:val="auto"/>
          <w:vertAlign w:val="superscript"/>
        </w:rPr>
        <w:t>®</w:t>
      </w:r>
      <w:r>
        <w:rPr>
          <w:rFonts w:ascii="Arial" w:cs="Arial" w:eastAsia="Arial" w:hAnsi="Arial"/>
          <w:sz w:val="13"/>
          <w:szCs w:val="13"/>
          <w:i w:val="1"/>
          <w:iCs w:val="1"/>
          <w:color w:val="auto"/>
        </w:rPr>
        <w:t xml:space="preserve"> are trademarks of Johnson &amp; Johnson. </w:t>
      </w:r>
      <w:r>
        <w:rPr>
          <w:rFonts w:ascii="Arial" w:cs="Arial" w:eastAsia="Arial" w:hAnsi="Arial"/>
          <w:sz w:val="13"/>
          <w:szCs w:val="13"/>
          <w:color w:val="auto"/>
        </w:rPr>
        <w:t>DARZALEX</w:t>
      </w:r>
      <w:r>
        <w:rPr>
          <w:rFonts w:ascii="Arial" w:cs="Arial" w:eastAsia="Arial" w:hAnsi="Arial"/>
          <w:sz w:val="20"/>
          <w:szCs w:val="20"/>
          <w:color w:val="auto"/>
          <w:vertAlign w:val="superscript"/>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DARZALEX FASPRO</w:t>
      </w:r>
      <w:r>
        <w:rPr>
          <w:rFonts w:ascii="Arial" w:cs="Arial" w:eastAsia="Arial" w:hAnsi="Arial"/>
          <w:sz w:val="23"/>
          <w:szCs w:val="23"/>
          <w:color w:val="auto"/>
          <w:vertAlign w:val="superscript"/>
        </w:rPr>
        <w:t>®</w:t>
      </w:r>
      <w:r>
        <w:rPr>
          <w:rFonts w:ascii="Arial" w:cs="Arial" w:eastAsia="Arial" w:hAnsi="Arial"/>
          <w:sz w:val="14"/>
          <w:szCs w:val="14"/>
          <w:color w:val="auto"/>
        </w:rPr>
        <w:t xml:space="preserve"> are trademarks of Johnson &amp; Johnson.</w:t>
      </w: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Arial" w:cs="Arial" w:eastAsia="Arial" w:hAnsi="Arial"/>
                <w:sz w:val="14"/>
                <w:szCs w:val="14"/>
                <w:color w:val="auto"/>
              </w:rPr>
              <w:t>Genmab A/S</w:t>
            </w:r>
          </w:p>
        </w:tc>
        <w:tc>
          <w:tcPr>
            <w:tcW w:w="4300" w:type="dxa"/>
            <w:vAlign w:val="bottom"/>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4"/>
                <w:szCs w:val="14"/>
                <w:color w:val="auto"/>
              </w:rPr>
              <w:t>Company Announcement no. 22</w:t>
            </w:r>
          </w:p>
        </w:tc>
        <w:tc>
          <w:tcPr>
            <w:tcW w:w="0" w:type="dxa"/>
            <w:vAlign w:val="bottom"/>
          </w:tcPr>
          <w:p>
            <w:pPr>
              <w:spacing w:after="0"/>
              <w:rPr>
                <w:sz w:val="1"/>
                <w:szCs w:val="1"/>
                <w:color w:val="auto"/>
              </w:rPr>
            </w:pPr>
          </w:p>
        </w:tc>
      </w:tr>
      <w:tr>
        <w:trPr>
          <w:trHeight w:val="149"/>
        </w:trPr>
        <w:tc>
          <w:tcPr>
            <w:tcW w:w="3200" w:type="dxa"/>
            <w:vAlign w:val="bottom"/>
            <w:vMerge w:val="continue"/>
          </w:tcPr>
          <w:p>
            <w:pPr>
              <w:spacing w:after="0"/>
              <w:rPr>
                <w:sz w:val="12"/>
                <w:szCs w:val="12"/>
                <w:color w:val="auto"/>
              </w:rPr>
            </w:pPr>
          </w:p>
        </w:tc>
        <w:tc>
          <w:tcPr>
            <w:tcW w:w="4300" w:type="dxa"/>
            <w:vAlign w:val="bottom"/>
            <w:vMerge w:val="restart"/>
          </w:tcPr>
          <w:p>
            <w:pPr>
              <w:jc w:val="center"/>
              <w:ind w:left="408"/>
              <w:spacing w:after="0"/>
              <w:rPr>
                <w:sz w:val="20"/>
                <w:szCs w:val="20"/>
                <w:color w:val="auto"/>
              </w:rPr>
            </w:pPr>
            <w:r>
              <w:rPr>
                <w:rFonts w:ascii="Arial" w:cs="Arial" w:eastAsia="Arial" w:hAnsi="Arial"/>
                <w:sz w:val="14"/>
                <w:szCs w:val="14"/>
                <w:color w:val="auto"/>
              </w:rPr>
              <w:t>Tel: +45 7020 2728</w:t>
            </w:r>
          </w:p>
        </w:tc>
        <w:tc>
          <w:tcPr>
            <w:tcW w:w="3700" w:type="dxa"/>
            <w:vAlign w:val="bottom"/>
          </w:tcPr>
          <w:p>
            <w:pPr>
              <w:jc w:val="right"/>
              <w:spacing w:after="0" w:line="149" w:lineRule="exact"/>
              <w:rPr>
                <w:sz w:val="20"/>
                <w:szCs w:val="20"/>
                <w:color w:val="auto"/>
              </w:rPr>
            </w:pPr>
            <w:r>
              <w:rPr>
                <w:rFonts w:ascii="Arial" w:cs="Arial" w:eastAsia="Arial" w:hAnsi="Arial"/>
                <w:sz w:val="14"/>
                <w:szCs w:val="14"/>
                <w:color w:val="auto"/>
              </w:rPr>
              <w:t>Page 1/1</w:t>
            </w:r>
          </w:p>
        </w:tc>
        <w:tc>
          <w:tcPr>
            <w:tcW w:w="0" w:type="dxa"/>
            <w:vAlign w:val="bottom"/>
          </w:tcPr>
          <w:p>
            <w:pPr>
              <w:spacing w:after="0"/>
              <w:rPr>
                <w:sz w:val="1"/>
                <w:szCs w:val="1"/>
                <w:color w:val="auto"/>
              </w:rPr>
            </w:pPr>
          </w:p>
        </w:tc>
      </w:tr>
      <w:tr>
        <w:trPr>
          <w:trHeight w:val="144"/>
        </w:trPr>
        <w:tc>
          <w:tcPr>
            <w:tcW w:w="3200" w:type="dxa"/>
            <w:vAlign w:val="bottom"/>
          </w:tcPr>
          <w:p>
            <w:pPr>
              <w:spacing w:after="0" w:line="145" w:lineRule="exact"/>
              <w:rPr>
                <w:sz w:val="20"/>
                <w:szCs w:val="20"/>
                <w:color w:val="auto"/>
              </w:rPr>
            </w:pPr>
            <w:r>
              <w:rPr>
                <w:rFonts w:ascii="Arial" w:cs="Arial" w:eastAsia="Arial" w:hAnsi="Arial"/>
                <w:sz w:val="14"/>
                <w:szCs w:val="14"/>
                <w:color w:val="auto"/>
              </w:rPr>
              <w:t>Carl Jacobsens Vej 30</w:t>
            </w:r>
          </w:p>
        </w:tc>
        <w:tc>
          <w:tcPr>
            <w:tcW w:w="4300" w:type="dxa"/>
            <w:vAlign w:val="bottom"/>
            <w:vMerge w:val="continue"/>
          </w:tcPr>
          <w:p>
            <w:pPr>
              <w:spacing w:after="0"/>
              <w:rPr>
                <w:sz w:val="12"/>
                <w:szCs w:val="12"/>
                <w:color w:val="auto"/>
              </w:rPr>
            </w:pPr>
          </w:p>
        </w:tc>
        <w:tc>
          <w:tcPr>
            <w:tcW w:w="3700" w:type="dxa"/>
            <w:vAlign w:val="bottom"/>
          </w:tcPr>
          <w:p>
            <w:pPr>
              <w:jc w:val="right"/>
              <w:spacing w:after="0" w:line="145" w:lineRule="exact"/>
              <w:rPr>
                <w:sz w:val="20"/>
                <w:szCs w:val="20"/>
                <w:color w:val="auto"/>
              </w:rPr>
            </w:pPr>
            <w:r>
              <w:rPr>
                <w:rFonts w:ascii="Arial" w:cs="Arial" w:eastAsia="Arial" w:hAnsi="Arial"/>
                <w:sz w:val="14"/>
                <w:szCs w:val="14"/>
                <w:color w:val="auto"/>
              </w:rPr>
              <w:t>CVR no. 2102 3884</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20"/>
                <w:szCs w:val="20"/>
                <w:color w:val="auto"/>
              </w:rPr>
            </w:pPr>
            <w:r>
              <w:rPr>
                <w:rFonts w:ascii="Arial" w:cs="Arial" w:eastAsia="Arial" w:hAnsi="Arial"/>
                <w:sz w:val="14"/>
                <w:szCs w:val="14"/>
                <w:color w:val="auto"/>
              </w:rPr>
              <w:t>2500 Valby, Denmark</w:t>
            </w:r>
          </w:p>
        </w:tc>
        <w:tc>
          <w:tcPr>
            <w:tcW w:w="4300" w:type="dxa"/>
            <w:vAlign w:val="bottom"/>
          </w:tcPr>
          <w:p>
            <w:pPr>
              <w:jc w:val="center"/>
              <w:ind w:left="408"/>
              <w:spacing w:after="0"/>
              <w:rPr>
                <w:sz w:val="20"/>
                <w:szCs w:val="20"/>
                <w:color w:val="auto"/>
              </w:rPr>
            </w:pPr>
            <w:r>
              <w:rPr>
                <w:rFonts w:ascii="Arial" w:cs="Arial" w:eastAsia="Arial" w:hAnsi="Arial"/>
                <w:sz w:val="14"/>
                <w:szCs w:val="14"/>
                <w:color w:val="auto"/>
              </w:rPr>
              <w:t>www.genmab.com</w:t>
            </w:r>
          </w:p>
        </w:tc>
        <w:tc>
          <w:tcPr>
            <w:tcW w:w="3700" w:type="dxa"/>
            <w:vAlign w:val="bottom"/>
          </w:tcPr>
          <w:p>
            <w:pPr>
              <w:jc w:val="right"/>
              <w:spacing w:after="0"/>
              <w:rPr>
                <w:sz w:val="20"/>
                <w:szCs w:val="20"/>
                <w:color w:val="auto"/>
              </w:rPr>
            </w:pPr>
            <w:r>
              <w:rPr>
                <w:rFonts w:ascii="Arial" w:cs="Arial" w:eastAsia="Arial" w:hAnsi="Arial"/>
                <w:sz w:val="14"/>
                <w:szCs w:val="14"/>
                <w:color w:val="auto"/>
              </w:rPr>
              <w:t>LEI Code 529900MTJPDPE4MHJ122</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2026-04-14T07:30:38Z</dcterms:created>
  <dcterms:modified xsi:type="dcterms:W3CDTF">2026-04-14T07:30:38Z</dcterms:modified>
</cp:coreProperties>
</file>