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and 333-284876)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340" w:type="dxa"/>
            <w:vAlign w:val="bottom"/>
            <w:gridSpan w:val="4"/>
          </w:tcPr>
          <w:p>
            <w:pPr>
              <w:ind w:left="1740"/>
              <w:spacing w:after="0"/>
              <w:rPr>
                <w:sz w:val="20"/>
                <w:szCs w:val="20"/>
                <w:color w:val="auto"/>
              </w:rPr>
            </w:pPr>
            <w:r>
              <w:rPr>
                <w:rFonts w:ascii="Arial" w:cs="Arial" w:eastAsia="Arial" w:hAnsi="Arial"/>
                <w:sz w:val="18"/>
                <w:szCs w:val="18"/>
                <w:b w:val="1"/>
                <w:bCs w:val="1"/>
                <w:color w:val="auto"/>
              </w:rPr>
              <w:t>EXHIBIT INDEX</w:t>
            </w:r>
          </w:p>
        </w:tc>
      </w:tr>
      <w:tr>
        <w:trPr>
          <w:trHeight w:val="69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8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Company Announcement Dated September 9, 2025: Capital Increase in Genmab as a Result of Employee Warrant Exercise</w:t>
            </w:r>
          </w:p>
        </w:tc>
        <w:tc>
          <w:tcPr>
            <w:tcW w:w="60" w:type="dxa"/>
            <w:vAlign w:val="bottom"/>
            <w:gridSpan w:val="2"/>
          </w:tcPr>
          <w:p>
            <w:pPr>
              <w:spacing w:after="0"/>
              <w:rPr>
                <w:sz w:val="24"/>
                <w:szCs w:val="24"/>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00" w:type="dxa"/>
            <w:vAlign w:val="bottom"/>
          </w:tcPr>
          <w:p>
            <w:pPr>
              <w:spacing w:after="0"/>
              <w:rPr>
                <w:sz w:val="18"/>
                <w:szCs w:val="18"/>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Company Announcement Dated September 9, 2025: Transactions with shares and linked securities in Genmab A/S made by</w:t>
            </w:r>
          </w:p>
        </w:tc>
      </w:tr>
      <w:tr>
        <w:trPr>
          <w:trHeight w:val="169"/>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94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managerial employees and their closely associated persons</w:t>
            </w:r>
          </w:p>
        </w:tc>
        <w:tc>
          <w:tcPr>
            <w:tcW w:w="2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460"/>
          </w:cols>
          <w:pgMar w:left="400" w:top="1440" w:right="10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40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Anthony Pagano</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Executive Vice President &amp; 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SEPTEMBER 9, 2025</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Capital Increase in Genmab as a Result of Employee Warrant Exercise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00" w:lineRule="exact"/>
        <w:rPr>
          <w:sz w:val="20"/>
          <w:szCs w:val="20"/>
          <w:color w:val="auto"/>
        </w:rPr>
      </w:pPr>
    </w:p>
    <w:p>
      <w:pPr>
        <w:spacing w:after="0" w:line="272"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 xml:space="preserve">COPENHAGEN, Denmark; September 9, 2025 – </w:t>
      </w:r>
      <w:r>
        <w:rPr>
          <w:rFonts w:ascii="Arial" w:cs="Arial" w:eastAsia="Arial" w:hAnsi="Arial"/>
          <w:sz w:val="18"/>
          <w:szCs w:val="18"/>
          <w:b w:val="1"/>
          <w:bCs w:val="1"/>
          <w:color w:val="0000FF"/>
        </w:rPr>
        <w:t>Genmab A/S</w:t>
      </w:r>
      <w:r>
        <w:rPr>
          <w:rFonts w:ascii="Arial" w:cs="Arial" w:eastAsia="Arial" w:hAnsi="Arial"/>
          <w:sz w:val="18"/>
          <w:szCs w:val="18"/>
          <w:b w:val="1"/>
          <w:bCs w:val="1"/>
          <w:color w:val="auto"/>
        </w:rPr>
        <w:t xml:space="preserve"> (Nasdaq: GMAB) will increase its share capital by 47,532 shares as a consequence of the exercise of employee warrants.</w:t>
      </w:r>
    </w:p>
    <w:p>
      <w:pPr>
        <w:spacing w:after="0" w:line="16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increase is effected without any preemption rights for the existing shareholders of the company or others. The shares are subscribed in cash at the following price per share of nominally DKK 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36,464 shares at DKK 1,025.00,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3,978 shares at DKK 1,050.00,</w:t>
      </w:r>
    </w:p>
    <w:p>
      <w:pPr>
        <w:spacing w:after="0" w:line="234" w:lineRule="auto"/>
        <w:rPr>
          <w:sz w:val="20"/>
          <w:szCs w:val="20"/>
          <w:color w:val="auto"/>
        </w:rPr>
      </w:pPr>
      <w:r>
        <w:rPr>
          <w:rFonts w:ascii="Arial" w:cs="Arial" w:eastAsia="Arial" w:hAnsi="Arial"/>
          <w:sz w:val="18"/>
          <w:szCs w:val="18"/>
          <w:color w:val="auto"/>
        </w:rPr>
        <w:t>497 shares at DKK 1,147.50,</w:t>
      </w:r>
    </w:p>
    <w:p>
      <w:pPr>
        <w:spacing w:after="0" w:line="235" w:lineRule="auto"/>
        <w:rPr>
          <w:sz w:val="20"/>
          <w:szCs w:val="20"/>
          <w:color w:val="auto"/>
        </w:rPr>
      </w:pPr>
      <w:r>
        <w:rPr>
          <w:rFonts w:ascii="Arial" w:cs="Arial" w:eastAsia="Arial" w:hAnsi="Arial"/>
          <w:sz w:val="18"/>
          <w:szCs w:val="18"/>
          <w:color w:val="auto"/>
        </w:rPr>
        <w:t>267 shares at DKK 1,155.00,</w:t>
      </w:r>
    </w:p>
    <w:p>
      <w:pPr>
        <w:spacing w:after="0" w:line="235" w:lineRule="auto"/>
        <w:rPr>
          <w:sz w:val="20"/>
          <w:szCs w:val="20"/>
          <w:color w:val="auto"/>
        </w:rPr>
      </w:pPr>
      <w:r>
        <w:rPr>
          <w:rFonts w:ascii="Arial" w:cs="Arial" w:eastAsia="Arial" w:hAnsi="Arial"/>
          <w:sz w:val="18"/>
          <w:szCs w:val="18"/>
          <w:color w:val="auto"/>
        </w:rPr>
        <w:t>691 shares at DKK 1,161.00,</w:t>
      </w:r>
    </w:p>
    <w:p>
      <w:pPr>
        <w:spacing w:after="0" w:line="235" w:lineRule="auto"/>
        <w:rPr>
          <w:sz w:val="20"/>
          <w:szCs w:val="20"/>
          <w:color w:val="auto"/>
        </w:rPr>
      </w:pPr>
      <w:r>
        <w:rPr>
          <w:rFonts w:ascii="Arial" w:cs="Arial" w:eastAsia="Arial" w:hAnsi="Arial"/>
          <w:sz w:val="18"/>
          <w:szCs w:val="18"/>
          <w:color w:val="auto"/>
        </w:rPr>
        <w:t>439 shares at DKK 1,334.50,</w:t>
      </w:r>
    </w:p>
    <w:p>
      <w:pPr>
        <w:spacing w:after="0" w:line="219" w:lineRule="auto"/>
        <w:rPr>
          <w:sz w:val="20"/>
          <w:szCs w:val="20"/>
          <w:color w:val="auto"/>
        </w:rPr>
      </w:pPr>
      <w:r>
        <w:rPr>
          <w:rFonts w:ascii="Arial" w:cs="Arial" w:eastAsia="Arial" w:hAnsi="Arial"/>
          <w:sz w:val="18"/>
          <w:szCs w:val="18"/>
          <w:color w:val="auto"/>
        </w:rPr>
        <w:t>2,771 shares at DKK 1,362.50, and</w:t>
      </w:r>
    </w:p>
    <w:p>
      <w:pPr>
        <w:spacing w:after="0"/>
        <w:rPr>
          <w:sz w:val="20"/>
          <w:szCs w:val="20"/>
          <w:color w:val="auto"/>
        </w:rPr>
      </w:pPr>
      <w:r>
        <w:rPr>
          <w:rFonts w:ascii="Arial" w:cs="Arial" w:eastAsia="Arial" w:hAnsi="Arial"/>
          <w:sz w:val="18"/>
          <w:szCs w:val="18"/>
          <w:color w:val="auto"/>
        </w:rPr>
        <w:t>2,425 shares at DKK 1,615.00.</w:t>
      </w:r>
    </w:p>
    <w:p>
      <w:pPr>
        <w:spacing w:after="0" w:line="22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Proceeds to the company are approximately DKK 51.5 million. The increase corresponds to approximately 0.07 % of the company's share capital.</w:t>
      </w:r>
    </w:p>
    <w:p>
      <w:pPr>
        <w:spacing w:after="0" w:line="1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increase includes the exercise of 23,266 warrants by President and Chief Executive Officer Jan van de Winkel. This will take Jan van de Winkel’s personal holding of shares in Genmab A/S from 635,666 to 658,932 shares. The new shares are ordinary shares without any special rights and are freely transferable negotiable instruments. The new shares give rights to dividends and other rights in relation to the company as of subscription. The new shares will be listed on Nasdaq Copenhagen after registration with the Danish Business Authority. The capital increase is expected to be finalized shortly. Pursuant to section 32 of the Danish Capital Markets Act No. 652 of June 10, 2025, it is hereby announced, that the total nominal value of Genmab A/S' share capital after the capital increase is DKK 64,206,349 which is made up of 64,206,349 shares of a nominal value of DKK 1 each, corresponding to 64,206,349 votes.</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increase includes the exercise of 23,266 warrants by President and Chief Executive Officer Jan van de Winkel. This will take Jan van de Winkel’s personal holding of shares in Genmab A/S from 635,666 to 658,932 shares.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new shares are ordinary shares without any special rights and are freely transferable negotiable instruments. The new shares give rights to dividends and other rights in relation to the company as of subscription. The new shares will be listed on Nasdaq Copenhagen after registration with the Danish Business Authority. The capital increase is expected to be finalized shortly.</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Pursuant to section 32 of the Danish Capital Markets Act No. 652 of June 10, 2025, it is hereby announced, that the total nominal value of Genmab A/S' share capital after the capital increase is DKK 64,206,349 which is made up of 64,206,349 shares of a nominal value of DKK 1 each, corresponding to 64,206,349 votes.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Genmab is an international biotechnology company with a core purpose of guiding its unstoppable team to strive toward improving the lives of patients with innovative and differentiated antibody therapeutics. For more than 25 years, its passionate, innovative and collaborative team has invented next-generation antibody technology platforms and leveraged translational, quantitative and data sciences, resulting in a proprietary pipeline including bispecific T-cell engagers, antibody-drug conjugates, next-generation immune checkpoint modulators and effector function-enhanced antibodies. By 2030, Genmab’s vision is</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42</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Capital Increase in Genmab as a Result of Employee Warrant Exercise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to transform the lives of people with cancer and other serious diseases with knock-your-socks-off (KYSO) antibody medicines</w:t>
      </w:r>
      <w:r>
        <w:rPr>
          <w:rFonts w:ascii="Arial" w:cs="Arial" w:eastAsia="Arial" w:hAnsi="Arial"/>
          <w:sz w:val="23"/>
          <w:szCs w:val="23"/>
          <w:color w:val="auto"/>
          <w:vertAlign w:val="superscript"/>
        </w:rPr>
        <w:t>®</w:t>
      </w:r>
      <w:r>
        <w:rPr>
          <w:rFonts w:ascii="Arial" w:cs="Arial" w:eastAsia="Arial" w:hAnsi="Arial"/>
          <w:sz w:val="18"/>
          <w:szCs w:val="18"/>
          <w:color w:val="auto"/>
        </w:rPr>
        <w:t>. </w:t>
      </w:r>
    </w:p>
    <w:p>
      <w:pPr>
        <w:spacing w:after="0" w:line="16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u w:val="single" w:color="auto"/>
          <w:color w:val="0000FF"/>
        </w:rPr>
        <w:t>Genmab.com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right="4680"/>
        <w:spacing w:after="0" w:line="266"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u w:val="single" w:color="auto"/>
          <w:color w:val="0000FF"/>
        </w:rPr>
        <w:t>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u w:val="single" w:color="auto"/>
          <w:color w:val="0000FF"/>
        </w:rPr>
        <w:t>acn@genmab.com</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4"/>
          <w:szCs w:val="14"/>
          <w:i w:val="1"/>
          <w:iCs w:val="1"/>
          <w:color w:val="auto"/>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u w:val="single" w:color="auto"/>
          <w:color w:val="0000FF"/>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u w:val="single" w:color="auto"/>
          <w:color w:val="0000FF"/>
        </w:rPr>
        <w:t>www.sec.gov</w:t>
      </w:r>
      <w:r>
        <w:rPr>
          <w:rFonts w:ascii="Arial" w:cs="Arial" w:eastAsia="Arial" w:hAnsi="Arial"/>
          <w:sz w:val="14"/>
          <w:szCs w:val="14"/>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310"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42</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2/2</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20"/>
          </w:cols>
          <w:pgMar w:left="320" w:top="1281"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84" w:lineRule="auto"/>
        <w:rPr>
          <w:sz w:val="20"/>
          <w:szCs w:val="20"/>
          <w:color w:val="auto"/>
        </w:rPr>
      </w:pPr>
      <w:r>
        <w:rPr>
          <w:rFonts w:ascii="Arial" w:cs="Arial" w:eastAsia="Arial" w:hAnsi="Arial"/>
          <w:sz w:val="23"/>
          <w:szCs w:val="23"/>
          <w:b w:val="1"/>
          <w:bCs w:val="1"/>
          <w:color w:val="auto"/>
        </w:rPr>
        <w:t>Transactions with shares and linked securities in Genmab A/S made by managerial employees and their closely associated persons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00" w:lineRule="exact"/>
        <w:rPr>
          <w:sz w:val="20"/>
          <w:szCs w:val="20"/>
          <w:color w:val="auto"/>
        </w:rPr>
      </w:pPr>
    </w:p>
    <w:p>
      <w:pPr>
        <w:spacing w:after="0" w:line="299"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b w:val="1"/>
          <w:bCs w:val="1"/>
          <w:color w:val="auto"/>
        </w:rPr>
        <w:t xml:space="preserve">COPENHAGEN, Denmark; September 9, 2025 – </w:t>
      </w:r>
      <w:r>
        <w:rPr>
          <w:rFonts w:ascii="Arial" w:cs="Arial" w:eastAsia="Arial" w:hAnsi="Arial"/>
          <w:sz w:val="18"/>
          <w:szCs w:val="18"/>
          <w:b w:val="1"/>
          <w:bCs w:val="1"/>
          <w:u w:val="single" w:color="auto"/>
          <w:color w:val="0000FF"/>
        </w:rPr>
        <w:t>Genmab A/S</w:t>
      </w:r>
      <w:r>
        <w:rPr>
          <w:rFonts w:ascii="Arial" w:cs="Arial" w:eastAsia="Arial" w:hAnsi="Arial"/>
          <w:sz w:val="18"/>
          <w:szCs w:val="18"/>
          <w:b w:val="1"/>
          <w:bCs w:val="1"/>
          <w:color w:val="auto"/>
        </w:rPr>
        <w:t xml:space="preserve"> (Nasdaq: GMAB) - In accordance with Article 19 of Regulation No. 596/2014 on Market Abuse and Implementing Regulation 2016/523, this document discloses the data of the transactions made in Genmab A/S (Nasdaq: GMAB) by managerial employees and their closely associated persons.</w:t>
      </w:r>
    </w:p>
    <w:p>
      <w:pPr>
        <w:spacing w:after="0" w:line="185" w:lineRule="exact"/>
        <w:rPr>
          <w:sz w:val="20"/>
          <w:szCs w:val="20"/>
          <w:color w:val="auto"/>
        </w:rPr>
      </w:pPr>
    </w:p>
    <w:p>
      <w:pPr>
        <w:ind w:right="380"/>
        <w:spacing w:after="0" w:line="328" w:lineRule="auto"/>
        <w:rPr>
          <w:sz w:val="20"/>
          <w:szCs w:val="20"/>
          <w:color w:val="auto"/>
        </w:rPr>
      </w:pPr>
      <w:r>
        <w:rPr>
          <w:rFonts w:ascii="Arial" w:cs="Arial" w:eastAsia="Arial" w:hAnsi="Arial"/>
          <w:sz w:val="17"/>
          <w:szCs w:val="17"/>
          <w:b w:val="1"/>
          <w:bCs w:val="1"/>
          <w:color w:val="auto"/>
        </w:rPr>
        <w:t>The company’s managerial employees and their closely associated persons have given Genmab A/S power of attorney on their behalf to publish trading in Genmab shares by the company’s managerial employees and their closely associated persons.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find below a statement of such trading in shares issued by Genmab A/S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1</w:t>
            </w:r>
          </w:p>
        </w:tc>
        <w:tc>
          <w:tcPr>
            <w:tcW w:w="6960" w:type="dxa"/>
            <w:vAlign w:val="bottom"/>
            <w:tcBorders>
              <w:top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Details of the person discharging managerial responsibilities /</w:t>
            </w:r>
          </w:p>
        </w:tc>
        <w:tc>
          <w:tcPr>
            <w:tcW w:w="3400" w:type="dxa"/>
            <w:vAlign w:val="bottom"/>
            <w:tcBorders>
              <w:top w:val="single" w:sz="8" w:color="auto"/>
              <w:right w:val="single" w:sz="8" w:color="auto"/>
            </w:tcBorders>
          </w:tcPr>
          <w:p>
            <w:pPr>
              <w:spacing w:after="0"/>
              <w:rPr>
                <w:sz w:val="24"/>
                <w:szCs w:val="24"/>
                <w:color w:val="auto"/>
              </w:rPr>
            </w:pPr>
          </w:p>
        </w:tc>
      </w:tr>
      <w:tr>
        <w:trPr>
          <w:trHeight w:val="259"/>
        </w:trPr>
        <w:tc>
          <w:tcPr>
            <w:tcW w:w="700" w:type="dxa"/>
            <w:vAlign w:val="bottom"/>
            <w:tcBorders>
              <w:left w:val="single" w:sz="8" w:color="auto"/>
              <w:right w:val="single" w:sz="8" w:color="auto"/>
            </w:tcBorders>
          </w:tcPr>
          <w:p>
            <w:pPr>
              <w:spacing w:after="0"/>
              <w:rPr>
                <w:sz w:val="22"/>
                <w:szCs w:val="22"/>
                <w:color w:val="auto"/>
              </w:rPr>
            </w:pPr>
          </w:p>
        </w:tc>
        <w:tc>
          <w:tcPr>
            <w:tcW w:w="3600" w:type="dxa"/>
            <w:vAlign w:val="bottom"/>
          </w:tcPr>
          <w:p>
            <w:pPr>
              <w:ind w:left="20"/>
              <w:spacing w:after="0"/>
              <w:rPr>
                <w:sz w:val="20"/>
                <w:szCs w:val="20"/>
                <w:color w:val="auto"/>
              </w:rPr>
            </w:pPr>
            <w:r>
              <w:rPr>
                <w:rFonts w:ascii="Arial" w:cs="Arial" w:eastAsia="Arial" w:hAnsi="Arial"/>
                <w:sz w:val="19"/>
                <w:szCs w:val="19"/>
                <w:b w:val="1"/>
                <w:bCs w:val="1"/>
                <w:color w:val="auto"/>
              </w:rPr>
              <w:t>person closely associated</w:t>
            </w:r>
          </w:p>
        </w:tc>
        <w:tc>
          <w:tcPr>
            <w:tcW w:w="336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4"/>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70"/>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a)</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Name</w:t>
            </w:r>
          </w:p>
        </w:tc>
        <w:tc>
          <w:tcPr>
            <w:tcW w:w="3360" w:type="dxa"/>
            <w:vAlign w:val="bottom"/>
          </w:tcPr>
          <w:p>
            <w:pPr>
              <w:spacing w:after="0"/>
              <w:rPr>
                <w:sz w:val="20"/>
                <w:szCs w:val="20"/>
                <w:color w:val="auto"/>
              </w:rPr>
            </w:pPr>
            <w:r>
              <w:rPr>
                <w:rFonts w:ascii="Arial" w:cs="Arial" w:eastAsia="Arial" w:hAnsi="Arial"/>
                <w:sz w:val="19"/>
                <w:szCs w:val="19"/>
                <w:color w:val="auto"/>
              </w:rPr>
              <w:t>Jan G. J. van de Winkel</w:t>
            </w:r>
          </w:p>
        </w:tc>
        <w:tc>
          <w:tcPr>
            <w:tcW w:w="3400" w:type="dxa"/>
            <w:vAlign w:val="bottom"/>
            <w:tcBorders>
              <w:right w:val="single" w:sz="8" w:color="auto"/>
            </w:tcBorders>
          </w:tcPr>
          <w:p>
            <w:pPr>
              <w:spacing w:after="0"/>
              <w:rPr>
                <w:sz w:val="23"/>
                <w:szCs w:val="23"/>
                <w:color w:val="auto"/>
              </w:rPr>
            </w:pPr>
          </w:p>
        </w:tc>
      </w:tr>
      <w:tr>
        <w:trPr>
          <w:trHeight w:val="34"/>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80"/>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2</w:t>
            </w:r>
          </w:p>
        </w:tc>
        <w:tc>
          <w:tcPr>
            <w:tcW w:w="3600" w:type="dxa"/>
            <w:vAlign w:val="bottom"/>
          </w:tcPr>
          <w:p>
            <w:pPr>
              <w:ind w:left="20"/>
              <w:spacing w:after="0"/>
              <w:rPr>
                <w:sz w:val="20"/>
                <w:szCs w:val="20"/>
                <w:color w:val="auto"/>
              </w:rPr>
            </w:pPr>
            <w:r>
              <w:rPr>
                <w:rFonts w:ascii="Arial" w:cs="Arial" w:eastAsia="Arial" w:hAnsi="Arial"/>
                <w:sz w:val="19"/>
                <w:szCs w:val="19"/>
                <w:b w:val="1"/>
                <w:bCs w:val="1"/>
                <w:color w:val="auto"/>
              </w:rPr>
              <w:t>Reason for the notification</w:t>
            </w:r>
          </w:p>
        </w:tc>
        <w:tc>
          <w:tcPr>
            <w:tcW w:w="336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r>
      <w:tr>
        <w:trPr>
          <w:trHeight w:val="24"/>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69"/>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a)</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Position/status</w:t>
            </w:r>
          </w:p>
        </w:tc>
        <w:tc>
          <w:tcPr>
            <w:tcW w:w="3360" w:type="dxa"/>
            <w:vAlign w:val="bottom"/>
          </w:tcPr>
          <w:p>
            <w:pPr>
              <w:spacing w:after="0"/>
              <w:rPr>
                <w:sz w:val="20"/>
                <w:szCs w:val="20"/>
                <w:color w:val="auto"/>
              </w:rPr>
            </w:pPr>
            <w:r>
              <w:rPr>
                <w:rFonts w:ascii="Arial" w:cs="Arial" w:eastAsia="Arial" w:hAnsi="Arial"/>
                <w:sz w:val="19"/>
                <w:szCs w:val="19"/>
                <w:color w:val="auto"/>
              </w:rPr>
              <w:t>President &amp; Chief Executive Officer</w:t>
            </w:r>
          </w:p>
        </w:tc>
        <w:tc>
          <w:tcPr>
            <w:tcW w:w="3400" w:type="dxa"/>
            <w:vAlign w:val="bottom"/>
            <w:tcBorders>
              <w:right w:val="single" w:sz="8" w:color="auto"/>
            </w:tcBorders>
          </w:tcPr>
          <w:p>
            <w:pPr>
              <w:spacing w:after="0"/>
              <w:rPr>
                <w:sz w:val="23"/>
                <w:szCs w:val="23"/>
                <w:color w:val="auto"/>
              </w:rPr>
            </w:pPr>
          </w:p>
        </w:tc>
      </w:tr>
      <w:tr>
        <w:trPr>
          <w:trHeight w:val="35"/>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69"/>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b)</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Initial notification/Amendment</w:t>
            </w:r>
          </w:p>
        </w:tc>
        <w:tc>
          <w:tcPr>
            <w:tcW w:w="3360" w:type="dxa"/>
            <w:vAlign w:val="bottom"/>
          </w:tcPr>
          <w:p>
            <w:pPr>
              <w:spacing w:after="0"/>
              <w:rPr>
                <w:sz w:val="20"/>
                <w:szCs w:val="20"/>
                <w:color w:val="auto"/>
              </w:rPr>
            </w:pPr>
            <w:r>
              <w:rPr>
                <w:rFonts w:ascii="Arial" w:cs="Arial" w:eastAsia="Arial" w:hAnsi="Arial"/>
                <w:sz w:val="19"/>
                <w:szCs w:val="19"/>
                <w:color w:val="auto"/>
              </w:rPr>
              <w:t>Initial notification</w:t>
            </w:r>
          </w:p>
        </w:tc>
        <w:tc>
          <w:tcPr>
            <w:tcW w:w="3400" w:type="dxa"/>
            <w:vAlign w:val="bottom"/>
            <w:tcBorders>
              <w:right w:val="single" w:sz="8" w:color="auto"/>
            </w:tcBorders>
          </w:tcPr>
          <w:p>
            <w:pPr>
              <w:spacing w:after="0"/>
              <w:rPr>
                <w:sz w:val="23"/>
                <w:szCs w:val="23"/>
                <w:color w:val="auto"/>
              </w:rPr>
            </w:pPr>
          </w:p>
        </w:tc>
      </w:tr>
      <w:tr>
        <w:trPr>
          <w:trHeight w:val="34"/>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63"/>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3</w:t>
            </w:r>
          </w:p>
        </w:tc>
        <w:tc>
          <w:tcPr>
            <w:tcW w:w="6960" w:type="dxa"/>
            <w:vAlign w:val="bottom"/>
            <w:gridSpan w:val="2"/>
          </w:tcPr>
          <w:p>
            <w:pPr>
              <w:ind w:left="20"/>
              <w:spacing w:after="0"/>
              <w:rPr>
                <w:sz w:val="20"/>
                <w:szCs w:val="20"/>
                <w:color w:val="auto"/>
              </w:rPr>
            </w:pPr>
            <w:r>
              <w:rPr>
                <w:rFonts w:ascii="Arial" w:cs="Arial" w:eastAsia="Arial" w:hAnsi="Arial"/>
                <w:sz w:val="19"/>
                <w:szCs w:val="19"/>
                <w:b w:val="1"/>
                <w:bCs w:val="1"/>
                <w:color w:val="auto"/>
              </w:rPr>
              <w:t>Details of the issuer, emission allowance market participant,</w:t>
            </w:r>
          </w:p>
        </w:tc>
        <w:tc>
          <w:tcPr>
            <w:tcW w:w="3400" w:type="dxa"/>
            <w:vAlign w:val="bottom"/>
            <w:tcBorders>
              <w:right w:val="single" w:sz="8" w:color="auto"/>
            </w:tcBorders>
          </w:tcPr>
          <w:p>
            <w:pPr>
              <w:spacing w:after="0"/>
              <w:rPr>
                <w:sz w:val="22"/>
                <w:szCs w:val="22"/>
                <w:color w:val="auto"/>
              </w:rPr>
            </w:pPr>
          </w:p>
        </w:tc>
      </w:tr>
      <w:tr>
        <w:trPr>
          <w:trHeight w:val="259"/>
        </w:trPr>
        <w:tc>
          <w:tcPr>
            <w:tcW w:w="700" w:type="dxa"/>
            <w:vAlign w:val="bottom"/>
            <w:tcBorders>
              <w:left w:val="single" w:sz="8" w:color="auto"/>
              <w:right w:val="single" w:sz="8" w:color="auto"/>
            </w:tcBorders>
          </w:tcPr>
          <w:p>
            <w:pPr>
              <w:spacing w:after="0"/>
              <w:rPr>
                <w:sz w:val="22"/>
                <w:szCs w:val="22"/>
                <w:color w:val="auto"/>
              </w:rPr>
            </w:pPr>
          </w:p>
        </w:tc>
        <w:tc>
          <w:tcPr>
            <w:tcW w:w="6960" w:type="dxa"/>
            <w:vAlign w:val="bottom"/>
            <w:gridSpan w:val="2"/>
          </w:tcPr>
          <w:p>
            <w:pPr>
              <w:ind w:left="20"/>
              <w:spacing w:after="0"/>
              <w:rPr>
                <w:sz w:val="20"/>
                <w:szCs w:val="20"/>
                <w:color w:val="auto"/>
              </w:rPr>
            </w:pPr>
            <w:r>
              <w:rPr>
                <w:rFonts w:ascii="Arial" w:cs="Arial" w:eastAsia="Arial" w:hAnsi="Arial"/>
                <w:sz w:val="19"/>
                <w:szCs w:val="19"/>
                <w:b w:val="1"/>
                <w:bCs w:val="1"/>
                <w:color w:val="auto"/>
              </w:rPr>
              <w:t>auction platform, auctioneer or auction monitor</w:t>
            </w:r>
          </w:p>
        </w:tc>
        <w:tc>
          <w:tcPr>
            <w:tcW w:w="3400" w:type="dxa"/>
            <w:vAlign w:val="bottom"/>
            <w:tcBorders>
              <w:right w:val="single" w:sz="8" w:color="auto"/>
            </w:tcBorders>
          </w:tcPr>
          <w:p>
            <w:pPr>
              <w:spacing w:after="0"/>
              <w:rPr>
                <w:sz w:val="22"/>
                <w:szCs w:val="22"/>
                <w:color w:val="auto"/>
              </w:rPr>
            </w:pPr>
          </w:p>
        </w:tc>
      </w:tr>
      <w:tr>
        <w:trPr>
          <w:trHeight w:val="25"/>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70"/>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a)</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Name</w:t>
            </w:r>
          </w:p>
        </w:tc>
        <w:tc>
          <w:tcPr>
            <w:tcW w:w="3360" w:type="dxa"/>
            <w:vAlign w:val="bottom"/>
          </w:tcPr>
          <w:p>
            <w:pPr>
              <w:spacing w:after="0"/>
              <w:rPr>
                <w:sz w:val="20"/>
                <w:szCs w:val="20"/>
                <w:color w:val="auto"/>
              </w:rPr>
            </w:pPr>
            <w:r>
              <w:rPr>
                <w:rFonts w:ascii="Arial" w:cs="Arial" w:eastAsia="Arial" w:hAnsi="Arial"/>
                <w:sz w:val="19"/>
                <w:szCs w:val="19"/>
                <w:color w:val="auto"/>
              </w:rPr>
              <w:t>Genmab A/S</w:t>
            </w:r>
          </w:p>
        </w:tc>
        <w:tc>
          <w:tcPr>
            <w:tcW w:w="3400" w:type="dxa"/>
            <w:vAlign w:val="bottom"/>
            <w:tcBorders>
              <w:right w:val="single" w:sz="8" w:color="auto"/>
            </w:tcBorders>
          </w:tcPr>
          <w:p>
            <w:pPr>
              <w:spacing w:after="0"/>
              <w:rPr>
                <w:sz w:val="23"/>
                <w:szCs w:val="23"/>
                <w:color w:val="auto"/>
              </w:rPr>
            </w:pPr>
          </w:p>
        </w:tc>
      </w:tr>
      <w:tr>
        <w:trPr>
          <w:trHeight w:val="34"/>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70"/>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b)</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LEI-code</w:t>
            </w:r>
          </w:p>
        </w:tc>
        <w:tc>
          <w:tcPr>
            <w:tcW w:w="3360" w:type="dxa"/>
            <w:vAlign w:val="bottom"/>
          </w:tcPr>
          <w:p>
            <w:pPr>
              <w:spacing w:after="0"/>
              <w:rPr>
                <w:sz w:val="20"/>
                <w:szCs w:val="20"/>
                <w:color w:val="auto"/>
              </w:rPr>
            </w:pPr>
            <w:r>
              <w:rPr>
                <w:rFonts w:ascii="Arial" w:cs="Arial" w:eastAsia="Arial" w:hAnsi="Arial"/>
                <w:sz w:val="19"/>
                <w:szCs w:val="19"/>
                <w:color w:val="auto"/>
              </w:rPr>
              <w:t>529900MTJPDPE4MHJ122</w:t>
            </w:r>
          </w:p>
        </w:tc>
        <w:tc>
          <w:tcPr>
            <w:tcW w:w="3400" w:type="dxa"/>
            <w:vAlign w:val="bottom"/>
            <w:tcBorders>
              <w:right w:val="single" w:sz="8" w:color="auto"/>
            </w:tcBorders>
          </w:tcPr>
          <w:p>
            <w:pPr>
              <w:spacing w:after="0"/>
              <w:rPr>
                <w:sz w:val="23"/>
                <w:szCs w:val="23"/>
                <w:color w:val="auto"/>
              </w:rPr>
            </w:pPr>
          </w:p>
        </w:tc>
      </w:tr>
      <w:tr>
        <w:trPr>
          <w:trHeight w:val="35"/>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63"/>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4"/>
              </w:rPr>
              <w:t>4</w:t>
            </w:r>
          </w:p>
        </w:tc>
        <w:tc>
          <w:tcPr>
            <w:tcW w:w="6960" w:type="dxa"/>
            <w:vAlign w:val="bottom"/>
            <w:gridSpan w:val="2"/>
          </w:tcPr>
          <w:p>
            <w:pPr>
              <w:ind w:left="20"/>
              <w:spacing w:after="0"/>
              <w:rPr>
                <w:sz w:val="20"/>
                <w:szCs w:val="20"/>
                <w:color w:val="auto"/>
              </w:rPr>
            </w:pPr>
            <w:r>
              <w:rPr>
                <w:rFonts w:ascii="Arial" w:cs="Arial" w:eastAsia="Arial" w:hAnsi="Arial"/>
                <w:sz w:val="19"/>
                <w:szCs w:val="19"/>
                <w:b w:val="1"/>
                <w:bCs w:val="1"/>
                <w:color w:val="auto"/>
              </w:rPr>
              <w:t>Details of the transaction(s): section to be repeated for</w:t>
            </w:r>
          </w:p>
        </w:tc>
        <w:tc>
          <w:tcPr>
            <w:tcW w:w="3400" w:type="dxa"/>
            <w:vAlign w:val="bottom"/>
            <w:tcBorders>
              <w:right w:val="single" w:sz="8" w:color="auto"/>
            </w:tcBorders>
          </w:tcPr>
          <w:p>
            <w:pPr>
              <w:spacing w:after="0"/>
              <w:rPr>
                <w:sz w:val="22"/>
                <w:szCs w:val="22"/>
                <w:color w:val="auto"/>
              </w:rPr>
            </w:pPr>
          </w:p>
        </w:tc>
      </w:tr>
      <w:tr>
        <w:trPr>
          <w:trHeight w:val="256"/>
        </w:trPr>
        <w:tc>
          <w:tcPr>
            <w:tcW w:w="700" w:type="dxa"/>
            <w:vAlign w:val="bottom"/>
            <w:tcBorders>
              <w:left w:val="single" w:sz="8" w:color="auto"/>
              <w:right w:val="single" w:sz="8" w:color="auto"/>
            </w:tcBorders>
          </w:tcPr>
          <w:p>
            <w:pPr>
              <w:spacing w:after="0"/>
              <w:rPr>
                <w:sz w:val="22"/>
                <w:szCs w:val="22"/>
                <w:color w:val="auto"/>
              </w:rPr>
            </w:pPr>
          </w:p>
        </w:tc>
        <w:tc>
          <w:tcPr>
            <w:tcW w:w="6960" w:type="dxa"/>
            <w:vAlign w:val="bottom"/>
            <w:gridSpan w:val="2"/>
          </w:tcPr>
          <w:p>
            <w:pPr>
              <w:ind w:left="20"/>
              <w:spacing w:after="0"/>
              <w:rPr>
                <w:sz w:val="20"/>
                <w:szCs w:val="20"/>
                <w:color w:val="auto"/>
              </w:rPr>
            </w:pPr>
            <w:r>
              <w:rPr>
                <w:rFonts w:ascii="Arial" w:cs="Arial" w:eastAsia="Arial" w:hAnsi="Arial"/>
                <w:sz w:val="19"/>
                <w:szCs w:val="19"/>
                <w:b w:val="1"/>
                <w:bCs w:val="1"/>
                <w:color w:val="auto"/>
              </w:rPr>
              <w:t>(i) each type of instrument; (ii) each type of transaction;</w:t>
            </w:r>
          </w:p>
        </w:tc>
        <w:tc>
          <w:tcPr>
            <w:tcW w:w="3400" w:type="dxa"/>
            <w:vAlign w:val="bottom"/>
            <w:tcBorders>
              <w:right w:val="single" w:sz="8" w:color="auto"/>
            </w:tcBorders>
          </w:tcPr>
          <w:p>
            <w:pPr>
              <w:spacing w:after="0"/>
              <w:rPr>
                <w:sz w:val="22"/>
                <w:szCs w:val="22"/>
                <w:color w:val="auto"/>
              </w:rPr>
            </w:pPr>
          </w:p>
        </w:tc>
      </w:tr>
      <w:tr>
        <w:trPr>
          <w:trHeight w:val="259"/>
        </w:trPr>
        <w:tc>
          <w:tcPr>
            <w:tcW w:w="700" w:type="dxa"/>
            <w:vAlign w:val="bottom"/>
            <w:tcBorders>
              <w:left w:val="single" w:sz="8" w:color="auto"/>
              <w:right w:val="single" w:sz="8" w:color="auto"/>
            </w:tcBorders>
          </w:tcPr>
          <w:p>
            <w:pPr>
              <w:spacing w:after="0"/>
              <w:rPr>
                <w:sz w:val="22"/>
                <w:szCs w:val="22"/>
                <w:color w:val="auto"/>
              </w:rPr>
            </w:pPr>
          </w:p>
        </w:tc>
        <w:tc>
          <w:tcPr>
            <w:tcW w:w="6960" w:type="dxa"/>
            <w:vAlign w:val="bottom"/>
            <w:gridSpan w:val="2"/>
          </w:tcPr>
          <w:p>
            <w:pPr>
              <w:ind w:left="20"/>
              <w:spacing w:after="0"/>
              <w:rPr>
                <w:sz w:val="20"/>
                <w:szCs w:val="20"/>
                <w:color w:val="auto"/>
              </w:rPr>
            </w:pPr>
            <w:r>
              <w:rPr>
                <w:rFonts w:ascii="Arial" w:cs="Arial" w:eastAsia="Arial" w:hAnsi="Arial"/>
                <w:sz w:val="19"/>
                <w:szCs w:val="19"/>
                <w:b w:val="1"/>
                <w:bCs w:val="1"/>
                <w:color w:val="auto"/>
              </w:rPr>
              <w:t>(iii) each date; and (iv) each place where transactions have been conducted</w:t>
            </w:r>
          </w:p>
        </w:tc>
        <w:tc>
          <w:tcPr>
            <w:tcW w:w="3400" w:type="dxa"/>
            <w:vAlign w:val="bottom"/>
            <w:tcBorders>
              <w:right w:val="single" w:sz="8" w:color="auto"/>
            </w:tcBorders>
          </w:tcPr>
          <w:p>
            <w:pPr>
              <w:spacing w:after="0"/>
              <w:rPr>
                <w:sz w:val="22"/>
                <w:szCs w:val="22"/>
                <w:color w:val="auto"/>
              </w:rPr>
            </w:pPr>
          </w:p>
        </w:tc>
      </w:tr>
      <w:tr>
        <w:trPr>
          <w:trHeight w:val="24"/>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63"/>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a)</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Description of the financial</w:t>
            </w:r>
          </w:p>
        </w:tc>
        <w:tc>
          <w:tcPr>
            <w:tcW w:w="3360" w:type="dxa"/>
            <w:vAlign w:val="bottom"/>
          </w:tcPr>
          <w:p>
            <w:pPr>
              <w:spacing w:after="0"/>
              <w:rPr>
                <w:sz w:val="20"/>
                <w:szCs w:val="20"/>
                <w:color w:val="auto"/>
              </w:rPr>
            </w:pPr>
            <w:r>
              <w:rPr>
                <w:rFonts w:ascii="Arial" w:cs="Arial" w:eastAsia="Arial" w:hAnsi="Arial"/>
                <w:sz w:val="19"/>
                <w:szCs w:val="19"/>
                <w:color w:val="auto"/>
              </w:rPr>
              <w:t>Share</w:t>
            </w:r>
          </w:p>
        </w:tc>
        <w:tc>
          <w:tcPr>
            <w:tcW w:w="3400" w:type="dxa"/>
            <w:vAlign w:val="bottom"/>
            <w:tcBorders>
              <w:right w:val="single" w:sz="8" w:color="auto"/>
            </w:tcBorders>
          </w:tcPr>
          <w:p>
            <w:pPr>
              <w:spacing w:after="0"/>
              <w:rPr>
                <w:sz w:val="22"/>
                <w:szCs w:val="22"/>
                <w:color w:val="auto"/>
              </w:rPr>
            </w:pPr>
          </w:p>
        </w:tc>
      </w:tr>
      <w:tr>
        <w:trPr>
          <w:trHeight w:val="249"/>
        </w:trPr>
        <w:tc>
          <w:tcPr>
            <w:tcW w:w="700" w:type="dxa"/>
            <w:vAlign w:val="bottom"/>
            <w:tcBorders>
              <w:left w:val="single" w:sz="8" w:color="auto"/>
              <w:right w:val="single" w:sz="8" w:color="auto"/>
            </w:tcBorders>
          </w:tcPr>
          <w:p>
            <w:pPr>
              <w:spacing w:after="0"/>
              <w:rPr>
                <w:sz w:val="21"/>
                <w:szCs w:val="21"/>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instrument, type of instrument</w:t>
            </w:r>
          </w:p>
        </w:tc>
        <w:tc>
          <w:tcPr>
            <w:tcW w:w="336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r>
      <w:tr>
        <w:trPr>
          <w:trHeight w:val="500"/>
        </w:trPr>
        <w:tc>
          <w:tcPr>
            <w:tcW w:w="700" w:type="dxa"/>
            <w:vAlign w:val="bottom"/>
            <w:tcBorders>
              <w:left w:val="single" w:sz="8" w:color="auto"/>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Identification code</w:t>
            </w:r>
          </w:p>
        </w:tc>
        <w:tc>
          <w:tcPr>
            <w:tcW w:w="3360" w:type="dxa"/>
            <w:vAlign w:val="bottom"/>
          </w:tcPr>
          <w:p>
            <w:pPr>
              <w:spacing w:after="0"/>
              <w:rPr>
                <w:sz w:val="20"/>
                <w:szCs w:val="20"/>
                <w:color w:val="auto"/>
              </w:rPr>
            </w:pPr>
            <w:r>
              <w:rPr>
                <w:rFonts w:ascii="Arial" w:cs="Arial" w:eastAsia="Arial" w:hAnsi="Arial"/>
                <w:sz w:val="19"/>
                <w:szCs w:val="19"/>
                <w:color w:val="auto"/>
              </w:rPr>
              <w:t>DK0010272202</w:t>
            </w:r>
          </w:p>
        </w:tc>
        <w:tc>
          <w:tcPr>
            <w:tcW w:w="3400" w:type="dxa"/>
            <w:vAlign w:val="bottom"/>
            <w:tcBorders>
              <w:right w:val="single" w:sz="8" w:color="auto"/>
            </w:tcBorders>
          </w:tcPr>
          <w:p>
            <w:pPr>
              <w:spacing w:after="0"/>
              <w:rPr>
                <w:sz w:val="24"/>
                <w:szCs w:val="24"/>
                <w:color w:val="auto"/>
              </w:rPr>
            </w:pPr>
          </w:p>
        </w:tc>
      </w:tr>
      <w:tr>
        <w:trPr>
          <w:trHeight w:val="35"/>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6760" w:type="dxa"/>
            <w:vAlign w:val="bottom"/>
            <w:tcBorders>
              <w:bottom w:val="single" w:sz="8" w:color="auto"/>
              <w:right w:val="single" w:sz="8" w:color="auto"/>
            </w:tcBorders>
            <w:gridSpan w:val="2"/>
          </w:tcPr>
          <w:p>
            <w:pPr>
              <w:spacing w:after="0"/>
              <w:rPr>
                <w:sz w:val="3"/>
                <w:szCs w:val="3"/>
                <w:color w:val="auto"/>
              </w:rPr>
            </w:pPr>
          </w:p>
        </w:tc>
      </w:tr>
      <w:tr>
        <w:trPr>
          <w:trHeight w:val="269"/>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b)</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Nature of the transaction</w:t>
            </w:r>
          </w:p>
        </w:tc>
        <w:tc>
          <w:tcPr>
            <w:tcW w:w="676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Subscription of shares (exercise of warrants)</w:t>
            </w:r>
          </w:p>
        </w:tc>
      </w:tr>
      <w:tr>
        <w:trPr>
          <w:trHeight w:val="35"/>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70"/>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c)</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Price(s) and volume(s)</w:t>
            </w:r>
          </w:p>
        </w:tc>
        <w:tc>
          <w:tcPr>
            <w:tcW w:w="3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Price(s)</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Volume(s)</w:t>
            </w:r>
          </w:p>
        </w:tc>
      </w:tr>
      <w:tr>
        <w:trPr>
          <w:trHeight w:val="35"/>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70"/>
        </w:trPr>
        <w:tc>
          <w:tcPr>
            <w:tcW w:w="700" w:type="dxa"/>
            <w:vAlign w:val="bottom"/>
            <w:tcBorders>
              <w:left w:val="single" w:sz="8" w:color="auto"/>
              <w:right w:val="single" w:sz="8" w:color="auto"/>
            </w:tcBorders>
          </w:tcPr>
          <w:p>
            <w:pPr>
              <w:spacing w:after="0"/>
              <w:rPr>
                <w:sz w:val="23"/>
                <w:szCs w:val="23"/>
                <w:color w:val="auto"/>
              </w:rPr>
            </w:pPr>
          </w:p>
        </w:tc>
        <w:tc>
          <w:tcPr>
            <w:tcW w:w="3600" w:type="dxa"/>
            <w:vAlign w:val="bottom"/>
            <w:tcBorders>
              <w:right w:val="single" w:sz="8" w:color="auto"/>
            </w:tcBorders>
          </w:tcPr>
          <w:p>
            <w:pPr>
              <w:spacing w:after="0"/>
              <w:rPr>
                <w:sz w:val="23"/>
                <w:szCs w:val="23"/>
                <w:color w:val="auto"/>
              </w:rPr>
            </w:pPr>
          </w:p>
        </w:tc>
        <w:tc>
          <w:tcPr>
            <w:tcW w:w="3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DKK 1,025.00</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23,266</w:t>
            </w:r>
          </w:p>
        </w:tc>
      </w:tr>
      <w:tr>
        <w:trPr>
          <w:trHeight w:val="34"/>
        </w:trPr>
        <w:tc>
          <w:tcPr>
            <w:tcW w:w="700" w:type="dxa"/>
            <w:vAlign w:val="bottom"/>
            <w:tcBorders>
              <w:left w:val="single" w:sz="8" w:color="auto"/>
              <w:right w:val="single" w:sz="8" w:color="auto"/>
            </w:tcBorders>
          </w:tcPr>
          <w:p>
            <w:pPr>
              <w:spacing w:after="0"/>
              <w:rPr>
                <w:sz w:val="3"/>
                <w:szCs w:val="3"/>
                <w:color w:val="auto"/>
              </w:rPr>
            </w:pPr>
          </w:p>
        </w:tc>
        <w:tc>
          <w:tcPr>
            <w:tcW w:w="3600" w:type="dxa"/>
            <w:vAlign w:val="bottom"/>
            <w:tcBorders>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50"/>
        </w:trPr>
        <w:tc>
          <w:tcPr>
            <w:tcW w:w="700" w:type="dxa"/>
            <w:vAlign w:val="bottom"/>
            <w:tcBorders>
              <w:left w:val="single" w:sz="8" w:color="auto"/>
              <w:bottom w:val="single" w:sz="8" w:color="auto"/>
              <w:right w:val="single" w:sz="8" w:color="auto"/>
            </w:tcBorders>
          </w:tcPr>
          <w:p>
            <w:pPr>
              <w:spacing w:after="0"/>
              <w:rPr>
                <w:sz w:val="21"/>
                <w:szCs w:val="21"/>
                <w:color w:val="auto"/>
              </w:rPr>
            </w:pPr>
          </w:p>
        </w:tc>
        <w:tc>
          <w:tcPr>
            <w:tcW w:w="360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3400" w:type="dxa"/>
            <w:vAlign w:val="bottom"/>
            <w:tcBorders>
              <w:bottom w:val="single" w:sz="8" w:color="auto"/>
              <w:right w:val="single" w:sz="8" w:color="auto"/>
            </w:tcBorders>
          </w:tcPr>
          <w:p>
            <w:pPr>
              <w:spacing w:after="0"/>
              <w:rPr>
                <w:sz w:val="21"/>
                <w:szCs w:val="21"/>
                <w:color w:val="auto"/>
              </w:rPr>
            </w:pPr>
          </w:p>
        </w:tc>
      </w:tr>
      <w:tr>
        <w:trPr>
          <w:trHeight w:val="263"/>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d)</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Aggregated information</w:t>
            </w:r>
          </w:p>
        </w:tc>
        <w:tc>
          <w:tcPr>
            <w:tcW w:w="336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43"/>
        </w:trPr>
        <w:tc>
          <w:tcPr>
            <w:tcW w:w="700" w:type="dxa"/>
            <w:vAlign w:val="bottom"/>
            <w:tcBorders>
              <w:left w:val="single" w:sz="8" w:color="auto"/>
              <w:right w:val="single" w:sz="8" w:color="auto"/>
            </w:tcBorders>
          </w:tcPr>
          <w:p>
            <w:pPr>
              <w:spacing w:after="0"/>
              <w:rPr>
                <w:sz w:val="21"/>
                <w:szCs w:val="21"/>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 Aggregated volume</w:t>
            </w:r>
          </w:p>
        </w:tc>
        <w:tc>
          <w:tcPr>
            <w:tcW w:w="3360" w:type="dxa"/>
            <w:vAlign w:val="bottom"/>
          </w:tcPr>
          <w:p>
            <w:pPr>
              <w:spacing w:after="0"/>
              <w:rPr>
                <w:sz w:val="20"/>
                <w:szCs w:val="20"/>
                <w:color w:val="auto"/>
              </w:rPr>
            </w:pPr>
            <w:r>
              <w:rPr>
                <w:rFonts w:ascii="Arial" w:cs="Arial" w:eastAsia="Arial" w:hAnsi="Arial"/>
                <w:sz w:val="19"/>
                <w:szCs w:val="19"/>
                <w:color w:val="auto"/>
              </w:rPr>
              <w:t>23,266 shares</w:t>
            </w:r>
          </w:p>
        </w:tc>
        <w:tc>
          <w:tcPr>
            <w:tcW w:w="3400" w:type="dxa"/>
            <w:vAlign w:val="bottom"/>
            <w:tcBorders>
              <w:right w:val="single" w:sz="8" w:color="auto"/>
            </w:tcBorders>
          </w:tcPr>
          <w:p>
            <w:pPr>
              <w:spacing w:after="0"/>
              <w:rPr>
                <w:sz w:val="21"/>
                <w:szCs w:val="21"/>
                <w:color w:val="auto"/>
              </w:rPr>
            </w:pPr>
          </w:p>
        </w:tc>
      </w:tr>
      <w:tr>
        <w:trPr>
          <w:trHeight w:val="263"/>
        </w:trPr>
        <w:tc>
          <w:tcPr>
            <w:tcW w:w="700" w:type="dxa"/>
            <w:vAlign w:val="bottom"/>
            <w:tcBorders>
              <w:left w:val="single" w:sz="8" w:color="auto"/>
              <w:right w:val="single" w:sz="8" w:color="auto"/>
            </w:tcBorders>
          </w:tcPr>
          <w:p>
            <w:pPr>
              <w:spacing w:after="0"/>
              <w:rPr>
                <w:sz w:val="22"/>
                <w:szCs w:val="22"/>
                <w:color w:val="auto"/>
              </w:rPr>
            </w:pP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 Price</w:t>
            </w:r>
          </w:p>
        </w:tc>
        <w:tc>
          <w:tcPr>
            <w:tcW w:w="3360" w:type="dxa"/>
            <w:vAlign w:val="bottom"/>
          </w:tcPr>
          <w:p>
            <w:pPr>
              <w:spacing w:after="0"/>
              <w:rPr>
                <w:sz w:val="20"/>
                <w:szCs w:val="20"/>
                <w:color w:val="auto"/>
              </w:rPr>
            </w:pPr>
            <w:r>
              <w:rPr>
                <w:rFonts w:ascii="Arial" w:cs="Arial" w:eastAsia="Arial" w:hAnsi="Arial"/>
                <w:sz w:val="19"/>
                <w:szCs w:val="19"/>
                <w:color w:val="auto"/>
              </w:rPr>
              <w:t>DKK 1,025.00</w:t>
            </w:r>
          </w:p>
        </w:tc>
        <w:tc>
          <w:tcPr>
            <w:tcW w:w="3400" w:type="dxa"/>
            <w:vAlign w:val="bottom"/>
            <w:tcBorders>
              <w:right w:val="single" w:sz="8" w:color="auto"/>
            </w:tcBorders>
          </w:tcPr>
          <w:p>
            <w:pPr>
              <w:spacing w:after="0"/>
              <w:rPr>
                <w:sz w:val="22"/>
                <w:szCs w:val="22"/>
                <w:color w:val="auto"/>
              </w:rPr>
            </w:pPr>
          </w:p>
        </w:tc>
      </w:tr>
      <w:tr>
        <w:trPr>
          <w:trHeight w:val="35"/>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70"/>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e)</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Date of the transaction</w:t>
            </w:r>
          </w:p>
        </w:tc>
        <w:tc>
          <w:tcPr>
            <w:tcW w:w="3360" w:type="dxa"/>
            <w:vAlign w:val="bottom"/>
          </w:tcPr>
          <w:p>
            <w:pPr>
              <w:spacing w:after="0"/>
              <w:rPr>
                <w:sz w:val="20"/>
                <w:szCs w:val="20"/>
                <w:color w:val="auto"/>
              </w:rPr>
            </w:pPr>
            <w:r>
              <w:rPr>
                <w:rFonts w:ascii="Arial" w:cs="Arial" w:eastAsia="Arial" w:hAnsi="Arial"/>
                <w:sz w:val="19"/>
                <w:szCs w:val="19"/>
                <w:color w:val="auto"/>
              </w:rPr>
              <w:t>2025-09-09</w:t>
            </w:r>
          </w:p>
        </w:tc>
        <w:tc>
          <w:tcPr>
            <w:tcW w:w="3400" w:type="dxa"/>
            <w:vAlign w:val="bottom"/>
            <w:tcBorders>
              <w:right w:val="single" w:sz="8" w:color="auto"/>
            </w:tcBorders>
          </w:tcPr>
          <w:p>
            <w:pPr>
              <w:spacing w:after="0"/>
              <w:rPr>
                <w:sz w:val="23"/>
                <w:szCs w:val="23"/>
                <w:color w:val="auto"/>
              </w:rPr>
            </w:pPr>
          </w:p>
        </w:tc>
      </w:tr>
      <w:tr>
        <w:trPr>
          <w:trHeight w:val="34"/>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70"/>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f)</w:t>
            </w:r>
          </w:p>
        </w:tc>
        <w:tc>
          <w:tcPr>
            <w:tcW w:w="3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Place of the transaction</w:t>
            </w:r>
          </w:p>
        </w:tc>
        <w:tc>
          <w:tcPr>
            <w:tcW w:w="3360" w:type="dxa"/>
            <w:vAlign w:val="bottom"/>
          </w:tcPr>
          <w:p>
            <w:pPr>
              <w:spacing w:after="0"/>
              <w:rPr>
                <w:sz w:val="20"/>
                <w:szCs w:val="20"/>
                <w:color w:val="auto"/>
              </w:rPr>
            </w:pPr>
            <w:r>
              <w:rPr>
                <w:rFonts w:ascii="Arial" w:cs="Arial" w:eastAsia="Arial" w:hAnsi="Arial"/>
                <w:sz w:val="19"/>
                <w:szCs w:val="19"/>
                <w:color w:val="auto"/>
              </w:rPr>
              <w:t>Outside the market</w:t>
            </w:r>
          </w:p>
        </w:tc>
        <w:tc>
          <w:tcPr>
            <w:tcW w:w="3400" w:type="dxa"/>
            <w:vAlign w:val="bottom"/>
            <w:tcBorders>
              <w:right w:val="single" w:sz="8" w:color="auto"/>
            </w:tcBorders>
          </w:tcPr>
          <w:p>
            <w:pPr>
              <w:spacing w:after="0"/>
              <w:rPr>
                <w:sz w:val="23"/>
                <w:szCs w:val="23"/>
                <w:color w:val="auto"/>
              </w:rPr>
            </w:pPr>
          </w:p>
        </w:tc>
      </w:tr>
      <w:tr>
        <w:trPr>
          <w:trHeight w:val="34"/>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43</w:t>
            </w:r>
          </w:p>
        </w:tc>
        <w:tc>
          <w:tcPr>
            <w:tcW w:w="0" w:type="dxa"/>
            <w:vAlign w:val="bottom"/>
          </w:tcPr>
          <w:p>
            <w:pPr>
              <w:spacing w:after="0"/>
              <w:rPr>
                <w:sz w:val="1"/>
                <w:szCs w:val="1"/>
                <w:color w:val="auto"/>
              </w:rPr>
            </w:pPr>
          </w:p>
        </w:tc>
      </w:tr>
      <w:tr>
        <w:trPr>
          <w:trHeight w:val="149"/>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Transactions with shares and linked securities in Genmab A/S made by managerial employees and their closely associated persons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Genmab is an international biotechnology company with a core purpose of guiding its unstoppable team to strive toward improving the lives of patients with innovative and differentiated antibody therapeutics. For more than 25 years, its passionate, innovative and collaborative team has invented next-generation antibody technology platforms and leveraged translational, quantitative and data sciences, resulting in a proprietary pipeline including bispecific T-cell engagers, antibody-drug conjugates, next-generation immune checkpoint modulators and effector function-enhanced antibodies. By 2030, Genmab’s vision is to transform the lives of people with cancer and other serious diseases with knock-your-socks-off (KYSO) antibody medicines</w:t>
      </w:r>
      <w:r>
        <w:rPr>
          <w:rFonts w:ascii="Arial" w:cs="Arial" w:eastAsia="Arial" w:hAnsi="Arial"/>
          <w:sz w:val="23"/>
          <w:szCs w:val="23"/>
          <w:color w:val="auto"/>
          <w:vertAlign w:val="superscript"/>
        </w:rPr>
        <w:t>®</w:t>
      </w:r>
      <w:r>
        <w:rPr>
          <w:rFonts w:ascii="Arial" w:cs="Arial" w:eastAsia="Arial" w:hAnsi="Arial"/>
          <w:sz w:val="18"/>
          <w:szCs w:val="18"/>
          <w:color w:val="auto"/>
        </w:rPr>
        <w:t>. </w:t>
      </w:r>
    </w:p>
    <w:p>
      <w:pPr>
        <w:spacing w:after="0" w:line="9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u w:val="single" w:color="auto"/>
          <w:color w:val="0000FF"/>
        </w:rPr>
        <w:t>Genmab.com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right="4700"/>
        <w:spacing w:after="0" w:line="266"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u w:val="single" w:color="auto"/>
          <w:color w:val="0000FF"/>
        </w:rPr>
        <w:t>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u w:val="single" w:color="auto"/>
          <w:color w:val="0000FF"/>
        </w:rPr>
        <w:t>acn@genmab.com</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i w:val="1"/>
          <w:iCs w:val="1"/>
          <w:color w:val="auto"/>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u w:val="single" w:color="auto"/>
          <w:color w:val="0000FF"/>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u w:val="single" w:color="auto"/>
          <w:color w:val="0000FF"/>
        </w:rPr>
        <w:t>www.sec.gov</w:t>
      </w:r>
      <w:r>
        <w:rPr>
          <w:rFonts w:ascii="Arial" w:cs="Arial" w:eastAsia="Arial" w:hAnsi="Arial"/>
          <w:sz w:val="14"/>
          <w:szCs w:val="14"/>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310"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43</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2/2</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2025-09-09T14:11:55Z</dcterms:created>
  <dcterms:modified xsi:type="dcterms:W3CDTF">2025-09-09T14:11:55Z</dcterms:modified>
</cp:coreProperties>
</file>