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27" w:lineRule="exact"/>
        <w:rPr>
          <w:sz w:val="24"/>
          <w:szCs w:val="24"/>
          <w:color w:val="auto"/>
        </w:rPr>
      </w:pPr>
    </w:p>
    <w:p>
      <w:pPr>
        <w:ind w:left="700" w:right="179" w:hanging="650"/>
        <w:spacing w:after="0" w:line="261" w:lineRule="auto"/>
        <w:tabs>
          <w:tab w:leader="none" w:pos="646"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700" w:right="419" w:hanging="650"/>
        <w:spacing w:after="0" w:line="261" w:lineRule="auto"/>
        <w:tabs>
          <w:tab w:leader="none" w:pos="687" w:val="left"/>
        </w:tabs>
        <w:numPr>
          <w:ilvl w:val="0"/>
          <w:numId w:val="2"/>
        </w:numPr>
        <w:rPr>
          <w:rFonts w:ascii="Arial" w:cs="Arial" w:eastAsia="Arial" w:hAnsi="Arial"/>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4" w:lineRule="exact"/>
        <w:rPr>
          <w:sz w:val="24"/>
          <w:szCs w:val="24"/>
          <w:color w:val="auto"/>
        </w:rPr>
      </w:pPr>
    </w:p>
    <w:p>
      <w:pPr>
        <w:ind w:left="640" w:hanging="590"/>
        <w:spacing w:after="0"/>
        <w:tabs>
          <w:tab w:leader="none" w:pos="64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 w:lineRule="exact"/>
        <w:rPr>
          <w:sz w:val="24"/>
          <w:szCs w:val="24"/>
          <w:color w:val="auto"/>
        </w:rPr>
      </w:pPr>
    </w:p>
    <w:p>
      <w:pPr>
        <w:ind w:left="700"/>
        <w:spacing w:after="0"/>
        <w:tabs>
          <w:tab w:leader="none" w:pos="3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700" w:right="99" w:hanging="650"/>
        <w:spacing w:after="0" w:line="261" w:lineRule="auto"/>
        <w:tabs>
          <w:tab w:leader="none" w:pos="646"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8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 ____</w:t>
      </w:r>
    </w:p>
    <w:p>
      <w:pPr>
        <w:spacing w:after="0" w:line="12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transition period from _____ to _____</w:t>
      </w:r>
    </w:p>
    <w:p>
      <w:pPr>
        <w:spacing w:after="0" w:line="1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Commission File number: 001-38976</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Genmab A/S</w:t>
      </w:r>
    </w:p>
    <w:p>
      <w:pPr>
        <w:spacing w:after="0" w:line="43"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1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The Kingdom of Denmark</w:t>
      </w:r>
    </w:p>
    <w:p>
      <w:pPr>
        <w:spacing w:after="0" w:line="2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1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Carl Jacobsens Vej 30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2500 Valby</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Denmark</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Anthony Pagano</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Genmab A/S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Carl Jacobsens Vej 30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2500 Valby</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Denmark</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 +45 7020 2728</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Fax: +45 7020 2729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1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6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each representing</w:t>
            </w:r>
          </w:p>
        </w:tc>
        <w:tc>
          <w:tcPr>
            <w:tcW w:w="24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GMAB</w:t>
            </w:r>
          </w:p>
        </w:tc>
        <w:tc>
          <w:tcPr>
            <w:tcW w:w="260" w:type="dxa"/>
            <w:vAlign w:val="bottom"/>
          </w:tcPr>
          <w:p>
            <w:pPr>
              <w:spacing w:after="0"/>
              <w:rPr>
                <w:sz w:val="16"/>
                <w:szCs w:val="16"/>
                <w:color w:val="auto"/>
              </w:rPr>
            </w:pPr>
          </w:p>
        </w:tc>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20" w:type="dxa"/>
            <w:vAlign w:val="bottom"/>
          </w:tcPr>
          <w:p>
            <w:pPr>
              <w:spacing w:after="0"/>
              <w:rPr>
                <w:sz w:val="18"/>
                <w:szCs w:val="18"/>
                <w:color w:val="auto"/>
              </w:rPr>
            </w:pPr>
          </w:p>
        </w:tc>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one-tenth of one ordinary share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3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Ordinary shares, nominal value DKK 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GMAB</w:t>
            </w:r>
          </w:p>
        </w:tc>
        <w:tc>
          <w:tcPr>
            <w:tcW w:w="4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417"/>
        </w:trPr>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59" w:hanging="10"/>
        <w:spacing w:after="0" w:line="403" w:lineRule="auto"/>
        <w:tabs>
          <w:tab w:leader="none" w:pos="1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 for trading, but only in connection with the registration of the American Depositary Shares on The NASDAQ Stock Market LLC. Securities registered or to be registered pursuant to Section 12(g) of the Act. </w:t>
      </w:r>
      <w:r>
        <w:rPr>
          <w:rFonts w:ascii="Times New Roman" w:cs="Times New Roman" w:eastAsia="Times New Roman" w:hAnsi="Times New Roman"/>
          <w:sz w:val="16"/>
          <w:szCs w:val="16"/>
          <w:b w:val="1"/>
          <w:bCs w:val="1"/>
          <w:color w:val="auto"/>
        </w:rPr>
        <w:t>None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Securities for which there is a reporting obligation pursuant to Section 15(d) of the Act. </w:t>
      </w:r>
      <w:r>
        <w:rPr>
          <w:rFonts w:ascii="Times New Roman" w:cs="Times New Roman" w:eastAsia="Times New Roman" w:hAnsi="Times New Roman"/>
          <w:sz w:val="16"/>
          <w:szCs w:val="16"/>
          <w:b w:val="1"/>
          <w:bCs w:val="1"/>
          <w:color w:val="auto"/>
        </w:rPr>
        <w:t>None</w:t>
      </w:r>
    </w:p>
    <w:p>
      <w:pPr>
        <w:spacing w:after="0" w:line="129" w:lineRule="exact"/>
        <w:rPr>
          <w:sz w:val="20"/>
          <w:szCs w:val="20"/>
          <w:color w:val="auto"/>
        </w:rPr>
      </w:pPr>
    </w:p>
    <w:p>
      <w:pPr>
        <w:ind w:left="60" w:right="99"/>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5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66,187,186 Ordinary Shares (including shares underlying American Depositary Shares)</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62,804,560 American Depositary Shares</w:t>
      </w:r>
    </w:p>
    <w:p>
      <w:pPr>
        <w:spacing w:after="0" w:line="93" w:lineRule="exact"/>
        <w:rPr>
          <w:sz w:val="20"/>
          <w:szCs w:val="20"/>
          <w:color w:val="auto"/>
        </w:rPr>
      </w:pPr>
    </w:p>
    <w:p>
      <w:pPr>
        <w:ind w:left="60"/>
        <w:spacing w:after="0" w:line="215" w:lineRule="exact"/>
        <w:tabs>
          <w:tab w:leader="none" w:pos="834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highlight w:val="black"/>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32" w:lineRule="exact"/>
        <w:rPr>
          <w:sz w:val="20"/>
          <w:szCs w:val="20"/>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highlight w:val="black"/>
        </w:rPr>
        <w:t>⌧</w:t>
      </w:r>
    </w:p>
    <w:p>
      <w:pPr>
        <w:spacing w:after="0" w:line="75"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60"/>
        <w:spacing w:after="0" w:line="215" w:lineRule="exact"/>
        <w:tabs>
          <w:tab w:leader="none" w:pos="660" w:val="left"/>
        </w:tabs>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highlight w:val="black"/>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88" w:lineRule="exact"/>
        <w:rPr>
          <w:sz w:val="20"/>
          <w:szCs w:val="20"/>
          <w:color w:val="auto"/>
        </w:rPr>
      </w:pPr>
    </w:p>
    <w:p>
      <w:pPr>
        <w:jc w:val="both"/>
        <w:ind w:left="60" w:right="11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highlight w:val="black"/>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75" w:lineRule="exact"/>
        <w:rPr>
          <w:sz w:val="20"/>
          <w:szCs w:val="20"/>
          <w:color w:val="auto"/>
        </w:rPr>
      </w:pPr>
    </w:p>
    <w:p>
      <w:pPr>
        <w:jc w:val="both"/>
        <w:ind w:left="60" w:right="13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 of the Exchange Act. (Check one):</w:t>
      </w:r>
    </w:p>
    <w:p>
      <w:pPr>
        <w:spacing w:after="0" w:line="34" w:lineRule="exact"/>
        <w:rPr>
          <w:sz w:val="20"/>
          <w:szCs w:val="20"/>
          <w:color w:val="auto"/>
        </w:rPr>
      </w:pPr>
    </w:p>
    <w:p>
      <w:pPr>
        <w:ind w:left="340"/>
        <w:spacing w:after="0" w:line="215" w:lineRule="exact"/>
        <w:tabs>
          <w:tab w:leader="none" w:pos="2540" w:val="left"/>
          <w:tab w:leader="none" w:pos="4340" w:val="left"/>
          <w:tab w:leader="none" w:pos="660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highlight w:val="black"/>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27" w:lineRule="exact"/>
        <w:rPr>
          <w:sz w:val="20"/>
          <w:szCs w:val="20"/>
          <w:color w:val="auto"/>
        </w:rPr>
      </w:pPr>
    </w:p>
    <w:p>
      <w:pPr>
        <w:ind w:left="60" w:right="319"/>
        <w:spacing w:after="0" w:line="214" w:lineRule="exact"/>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provided pursuant to Section 13(a) of the Exchange Act. </w:t>
      </w:r>
      <w:r>
        <w:rPr>
          <w:rFonts w:ascii="Arial Unicode MS" w:cs="Arial Unicode MS" w:eastAsia="Arial Unicode MS" w:hAnsi="Arial Unicode MS"/>
          <w:sz w:val="16"/>
          <w:szCs w:val="16"/>
          <w:color w:val="auto"/>
        </w:rPr>
        <w:t>☐</w:t>
      </w:r>
    </w:p>
    <w:p>
      <w:pPr>
        <w:spacing w:after="0" w:line="174" w:lineRule="exact"/>
        <w:rPr>
          <w:sz w:val="20"/>
          <w:szCs w:val="20"/>
          <w:color w:val="auto"/>
        </w:rPr>
      </w:pPr>
    </w:p>
    <w:p>
      <w:pPr>
        <w:ind w:left="60" w:right="459" w:hanging="10"/>
        <w:spacing w:after="0" w:line="261" w:lineRule="auto"/>
        <w:tabs>
          <w:tab w:leader="none" w:pos="16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172" w:lineRule="exact"/>
        <w:rPr>
          <w:sz w:val="20"/>
          <w:szCs w:val="20"/>
          <w:color w:val="auto"/>
        </w:rPr>
      </w:pPr>
    </w:p>
    <w:p>
      <w:pPr>
        <w:jc w:val="both"/>
        <w:ind w:left="60" w:right="11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highlight w:val="black"/>
        </w:rPr>
        <w:t>⌧</w:t>
      </w:r>
    </w:p>
    <w:p>
      <w:pPr>
        <w:spacing w:after="0" w:line="196" w:lineRule="exact"/>
        <w:rPr>
          <w:sz w:val="20"/>
          <w:szCs w:val="20"/>
          <w:color w:val="auto"/>
        </w:rPr>
      </w:pPr>
    </w:p>
    <w:p>
      <w:pPr>
        <w:jc w:val="both"/>
        <w:ind w:left="60" w:right="139"/>
        <w:spacing w:after="0" w:line="24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highlight w:val="black"/>
        </w:rPr>
        <w:t>⌧</w:t>
      </w:r>
    </w:p>
    <w:p>
      <w:pPr>
        <w:spacing w:after="0" w:line="170" w:lineRule="exact"/>
        <w:rPr>
          <w:sz w:val="20"/>
          <w:szCs w:val="20"/>
          <w:color w:val="auto"/>
        </w:rPr>
      </w:pPr>
    </w:p>
    <w:p>
      <w:pPr>
        <w:ind w:left="60" w:right="279"/>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6"/>
          <w:szCs w:val="16"/>
          <w:color w:val="auto"/>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pacing w:after="0" w:line="136" w:lineRule="exact"/>
        <w:rPr>
          <w:sz w:val="20"/>
          <w:szCs w:val="20"/>
          <w:color w:val="auto"/>
        </w:rPr>
      </w:pPr>
    </w:p>
    <w:p>
      <w:pPr>
        <w:ind w:left="1920" w:hanging="231"/>
        <w:spacing w:after="0"/>
        <w:tabs>
          <w:tab w:leader="none" w:pos="1920" w:val="left"/>
        </w:tabs>
        <w:numPr>
          <w:ilvl w:val="0"/>
          <w:numId w:val="7"/>
        </w:numPr>
        <w:rPr>
          <w:rFonts w:ascii="Arial" w:cs="Arial" w:eastAsia="Arial" w:hAnsi="Arial"/>
          <w:sz w:val="16"/>
          <w:szCs w:val="16"/>
          <w:color w:val="auto"/>
          <w:highlight w:val="black"/>
        </w:rPr>
      </w:pPr>
      <w:r>
        <w:rPr>
          <w:rFonts w:ascii="Times New Roman" w:cs="Times New Roman" w:eastAsia="Times New Roman" w:hAnsi="Times New Roman"/>
          <w:sz w:val="16"/>
          <w:szCs w:val="16"/>
          <w:color w:val="auto"/>
        </w:rPr>
        <w:t>International Financial Reporting Standards as issued by the International Accounting</w:t>
      </w:r>
    </w:p>
    <w:p>
      <w:pPr>
        <w:spacing w:after="0" w:line="4" w:lineRule="exact"/>
        <w:rPr>
          <w:sz w:val="20"/>
          <w:szCs w:val="20"/>
          <w:color w:val="auto"/>
        </w:rPr>
      </w:pPr>
    </w:p>
    <w:p>
      <w:pPr>
        <w:ind w:left="340"/>
        <w:spacing w:after="0" w:line="215" w:lineRule="exact"/>
        <w:tabs>
          <w:tab w:leader="none" w:pos="4020" w:val="left"/>
          <w:tab w:leader="none" w:pos="8020" w:val="left"/>
        </w:tabs>
        <w:rPr>
          <w:sz w:val="20"/>
          <w:szCs w:val="20"/>
          <w:color w:val="auto"/>
        </w:rPr>
      </w:pP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US GAAP</w:t>
      </w:r>
      <w:r>
        <w:rPr>
          <w:sz w:val="20"/>
          <w:szCs w:val="20"/>
          <w:color w:val="auto"/>
        </w:rPr>
        <w:tab/>
      </w:r>
      <w:r>
        <w:rPr>
          <w:rFonts w:ascii="Times New Roman" w:cs="Times New Roman" w:eastAsia="Times New Roman" w:hAnsi="Times New Roman"/>
          <w:sz w:val="16"/>
          <w:szCs w:val="16"/>
          <w:color w:val="auto"/>
        </w:rPr>
        <w:t>Standards Board</w:t>
      </w:r>
      <w:r>
        <w:rPr>
          <w:sz w:val="20"/>
          <w:szCs w:val="20"/>
          <w:color w:val="auto"/>
        </w:rPr>
        <w:tab/>
      </w:r>
      <w:r>
        <w:rPr>
          <w:rFonts w:ascii="Arial Unicode MS" w:cs="Arial Unicode MS" w:eastAsia="Arial Unicode MS" w:hAnsi="Arial Unicode MS"/>
          <w:sz w:val="16"/>
          <w:szCs w:val="16"/>
          <w:color w:val="auto"/>
        </w:rPr>
        <w:t xml:space="preserve">☐ </w:t>
      </w:r>
      <w:r>
        <w:rPr>
          <w:rFonts w:ascii="Times New Roman" w:cs="Times New Roman" w:eastAsia="Times New Roman" w:hAnsi="Times New Roman"/>
          <w:sz w:val="16"/>
          <w:szCs w:val="16"/>
          <w:color w:val="auto"/>
        </w:rPr>
        <w:t>Other</w:t>
      </w:r>
    </w:p>
    <w:p>
      <w:pPr>
        <w:spacing w:after="0" w:line="179" w:lineRule="exact"/>
        <w:rPr>
          <w:sz w:val="20"/>
          <w:szCs w:val="20"/>
          <w:color w:val="auto"/>
        </w:rPr>
      </w:pPr>
    </w:p>
    <w:p>
      <w:pPr>
        <w:ind w:left="60" w:right="259"/>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Item 17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Item 18</w:t>
      </w:r>
    </w:p>
    <w:p>
      <w:pPr>
        <w:spacing w:after="0" w:line="75" w:lineRule="exact"/>
        <w:rPr>
          <w:sz w:val="20"/>
          <w:szCs w:val="20"/>
          <w:color w:val="auto"/>
        </w:rPr>
      </w:pPr>
    </w:p>
    <w:p>
      <w:pPr>
        <w:ind w:left="60" w:right="639"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1024890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56515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99060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7860" w:type="dxa"/>
            <w:vAlign w:val="bottom"/>
            <w:gridSpan w:val="40"/>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gridSpan w:val="1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84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w:t>
            </w:r>
          </w:p>
        </w:tc>
        <w:tc>
          <w:tcPr>
            <w:tcW w:w="300" w:type="dxa"/>
            <w:vAlign w:val="bottom"/>
            <w:tcBorders>
              <w:top w:val="single" w:sz="8" w:color="0000EE"/>
            </w:tcBorders>
            <w:gridSpan w:val="7"/>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ADVISORS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4A</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60" w:type="dxa"/>
            <w:vAlign w:val="bottom"/>
            <w:gridSpan w:val="2"/>
          </w:tcPr>
          <w:p>
            <w:pPr>
              <w:spacing w:after="0"/>
              <w:rPr>
                <w:sz w:val="17"/>
                <w:szCs w:val="17"/>
                <w:color w:val="auto"/>
              </w:rPr>
            </w:pPr>
          </w:p>
        </w:tc>
        <w:tc>
          <w:tcPr>
            <w:tcW w:w="200" w:type="dxa"/>
            <w:vAlign w:val="bottom"/>
            <w:gridSpan w:val="4"/>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260" w:type="dxa"/>
            <w:vAlign w:val="bottom"/>
            <w:gridSpan w:val="6"/>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11</w:t>
            </w:r>
          </w:p>
        </w:tc>
        <w:tc>
          <w:tcPr>
            <w:tcW w:w="200" w:type="dxa"/>
            <w:vAlign w:val="bottom"/>
            <w:gridSpan w:val="4"/>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QUALITATIVE AND QUANTITATIVE DISCLOSURES ABOUT MARKET RISKS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2"/>
              </w:rPr>
              <w:t>PART II</w:t>
            </w:r>
          </w:p>
        </w:tc>
        <w:tc>
          <w:tcPr>
            <w:tcW w:w="40" w:type="dxa"/>
            <w:vAlign w:val="bottom"/>
            <w:tcBorders>
              <w:top w:val="single" w:sz="8" w:color="0000EE"/>
            </w:tcBorders>
          </w:tcPr>
          <w:p>
            <w:pPr>
              <w:spacing w:after="0"/>
              <w:rPr>
                <w:sz w:val="17"/>
                <w:szCs w:val="17"/>
                <w:color w:val="auto"/>
              </w:rPr>
            </w:pPr>
          </w:p>
        </w:tc>
        <w:tc>
          <w:tcPr>
            <w:tcW w:w="2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OF PROCEEDS</w:t>
            </w:r>
          </w:p>
        </w:tc>
        <w:tc>
          <w:tcPr>
            <w:tcW w:w="10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16A</w:t>
            </w:r>
          </w:p>
        </w:tc>
        <w:tc>
          <w:tcPr>
            <w:tcW w:w="100" w:type="dxa"/>
            <w:vAlign w:val="bottom"/>
            <w:gridSpan w:val="2"/>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16B</w:t>
            </w:r>
          </w:p>
        </w:tc>
        <w:tc>
          <w:tcPr>
            <w:tcW w:w="100" w:type="dxa"/>
            <w:vAlign w:val="bottom"/>
            <w:gridSpan w:val="2"/>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16C</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16E</w:t>
            </w:r>
          </w:p>
        </w:tc>
        <w:tc>
          <w:tcPr>
            <w:tcW w:w="100" w:type="dxa"/>
            <w:vAlign w:val="bottom"/>
            <w:gridSpan w:val="2"/>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PURCHASERS</w:t>
            </w:r>
          </w:p>
        </w:tc>
        <w:tc>
          <w:tcPr>
            <w:tcW w:w="5800" w:type="dxa"/>
            <w:vAlign w:val="bottom"/>
            <w:gridSpan w:val="24"/>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16F</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16H</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16I</w:t>
            </w:r>
          </w:p>
        </w:tc>
        <w:tc>
          <w:tcPr>
            <w:tcW w:w="100" w:type="dxa"/>
            <w:vAlign w:val="bottom"/>
            <w:gridSpan w:val="2"/>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2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INSPECTIONS</w:t>
            </w:r>
          </w:p>
        </w:tc>
        <w:tc>
          <w:tcPr>
            <w:tcW w:w="5840" w:type="dxa"/>
            <w:vAlign w:val="bottom"/>
            <w:gridSpan w:val="25"/>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16J</w:t>
            </w:r>
          </w:p>
        </w:tc>
        <w:tc>
          <w:tcPr>
            <w:tcW w:w="100" w:type="dxa"/>
            <w:vAlign w:val="bottom"/>
            <w:gridSpan w:val="2"/>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16K</w:t>
            </w:r>
          </w:p>
        </w:tc>
        <w:tc>
          <w:tcPr>
            <w:tcW w:w="100" w:type="dxa"/>
            <w:vAlign w:val="bottom"/>
            <w:gridSpan w:val="2"/>
          </w:tcPr>
          <w:p>
            <w:pPr>
              <w:spacing w:after="0"/>
              <w:rPr>
                <w:sz w:val="17"/>
                <w:szCs w:val="17"/>
                <w:color w:val="auto"/>
              </w:rPr>
            </w:pP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0" w:type="dxa"/>
            <w:vAlign w:val="bottom"/>
          </w:tcPr>
          <w:p>
            <w:pPr>
              <w:spacing w:after="0"/>
              <w:rPr>
                <w:sz w:val="17"/>
                <w:szCs w:val="17"/>
                <w:color w:val="auto"/>
              </w:rPr>
            </w:pPr>
          </w:p>
        </w:tc>
        <w:tc>
          <w:tcPr>
            <w:tcW w:w="7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17</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7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0" w:type="dxa"/>
            <w:vAlign w:val="bottom"/>
            <w:gridSpan w:val="17"/>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6740" w:type="dxa"/>
            <w:vAlign w:val="bottom"/>
            <w:gridSpan w:val="29"/>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20" w:type="dxa"/>
            <w:vAlign w:val="bottom"/>
          </w:tcPr>
          <w:p>
            <w:pPr>
              <w:spacing w:after="0"/>
              <w:rPr>
                <w:sz w:val="17"/>
                <w:szCs w:val="17"/>
                <w:color w:val="auto"/>
              </w:rPr>
            </w:pPr>
          </w:p>
        </w:tc>
        <w:tc>
          <w:tcPr>
            <w:tcW w:w="78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898"/>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960" w:type="dxa"/>
            <w:vAlign w:val="bottom"/>
            <w:tcBorders>
              <w:top w:val="single" w:sz="8" w:color="0000EE"/>
            </w:tcBorders>
            <w:gridSpan w:val="19"/>
          </w:tcPr>
          <w:p>
            <w:pPr>
              <w:ind w:left="356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this Annual Report on Form 20-F the terms the “Company”, “Genmab”, “we”, “us”, “our” and the “Group” refer to the parent company Genmab A/S together with its consolidated subsidiaries. The term “Genmab A/S” is used when addressing issues specifically related to this legal entity.</w:t>
      </w:r>
    </w:p>
    <w:p>
      <w:pPr>
        <w:spacing w:after="0" w:line="172" w:lineRule="exact"/>
        <w:rPr>
          <w:sz w:val="20"/>
          <w:szCs w:val="20"/>
          <w:color w:val="auto"/>
        </w:rPr>
      </w:pPr>
    </w:p>
    <w:p>
      <w:pPr>
        <w:ind w:left="60" w:right="99" w:firstLine="324"/>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Pursuant to Rule 12b-23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we incorporate information for certain items of this Annual Report on Form 20-F by reference to certain pages of the Genmab A/S </w:t>
      </w:r>
      <w:hyperlink r:id="rId13">
        <w:r>
          <w:rPr>
            <w:rFonts w:ascii="Times New Roman" w:cs="Times New Roman" w:eastAsia="Times New Roman" w:hAnsi="Times New Roman"/>
            <w:sz w:val="18"/>
            <w:szCs w:val="18"/>
            <w:color w:val="auto"/>
          </w:rPr>
          <w:t xml:space="preserve">statutory Annual Report 2024 (the </w:t>
        </w:r>
        <w:r>
          <w:rPr>
            <w:rFonts w:ascii="Times New Roman" w:cs="Times New Roman" w:eastAsia="Times New Roman" w:hAnsi="Times New Roman"/>
            <w:sz w:val="18"/>
            <w:szCs w:val="18"/>
            <w:b w:val="1"/>
            <w:bCs w:val="1"/>
            <w:color w:val="auto"/>
          </w:rPr>
          <w:t>“Annual Report 2024”</w:t>
        </w:r>
        <w:r>
          <w:rPr>
            <w:rFonts w:ascii="Times New Roman" w:cs="Times New Roman" w:eastAsia="Times New Roman" w:hAnsi="Times New Roman"/>
            <w:sz w:val="18"/>
            <w:szCs w:val="18"/>
            <w:color w:val="auto"/>
          </w:rPr>
          <w:t xml:space="preserve">), included as </w:t>
        </w:r>
        <w:r>
          <w:rPr>
            <w:rFonts w:ascii="Times New Roman" w:cs="Times New Roman" w:eastAsia="Times New Roman" w:hAnsi="Times New Roman"/>
            <w:sz w:val="18"/>
            <w:szCs w:val="18"/>
            <w:u w:val="single" w:color="auto"/>
            <w:color w:val="0000EE"/>
          </w:rPr>
          <w:t>Exhibit 99.1(a) to Form 6-K furnished to the U.S.</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Securities and Exchange Commission (the “</w:t>
        </w:r>
        <w:r>
          <w:rPr>
            <w:rFonts w:ascii="Times New Roman" w:cs="Times New Roman" w:eastAsia="Times New Roman" w:hAnsi="Times New Roman"/>
            <w:sz w:val="18"/>
            <w:szCs w:val="18"/>
            <w:b w:val="1"/>
            <w:bCs w:val="1"/>
            <w:u w:val="single" w:color="auto"/>
            <w:color w:val="0000EE"/>
          </w:rPr>
          <w:t>SEC</w:t>
        </w:r>
        <w:r>
          <w:rPr>
            <w:rFonts w:ascii="Times New Roman" w:cs="Times New Roman" w:eastAsia="Times New Roman" w:hAnsi="Times New Roman"/>
            <w:sz w:val="18"/>
            <w:szCs w:val="18"/>
            <w:u w:val="single" w:color="auto"/>
            <w:color w:val="0000EE"/>
          </w:rPr>
          <w:t>”) on February 12, 2025</w:t>
        </w:r>
        <w:r>
          <w:rPr>
            <w:rFonts w:ascii="Times New Roman" w:cs="Times New Roman" w:eastAsia="Times New Roman" w:hAnsi="Times New Roman"/>
            <w:sz w:val="18"/>
            <w:szCs w:val="18"/>
            <w:color w:val="000000"/>
          </w:rPr>
          <w:t>. Therefore, the information in this Annual Report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Form 20-F should be read in conjunction with the incorporated portions of the Annual Report 2024. Items not contained or not specifically referenced within the Annual Report 2024 should not be deemed to be part of this Annual Report on Form 20-F.</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about:</w:t>
      </w:r>
    </w:p>
    <w:p>
      <w:pPr>
        <w:spacing w:after="0" w:line="225" w:lineRule="exact"/>
        <w:rPr>
          <w:sz w:val="20"/>
          <w:szCs w:val="20"/>
          <w:color w:val="auto"/>
        </w:rPr>
      </w:pPr>
    </w:p>
    <w:p>
      <w:pPr>
        <w:ind w:left="720" w:right="1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sales and net sales, clinical development, regulatory approvals and commercialization of our partnered and proprietary approved products;</w:t>
      </w:r>
    </w:p>
    <w:p>
      <w:pPr>
        <w:spacing w:after="0" w:line="161" w:lineRule="exact"/>
        <w:rPr>
          <w:rFonts w:ascii="Times New Roman" w:cs="Times New Roman" w:eastAsia="Times New Roman" w:hAnsi="Times New Roman"/>
          <w:sz w:val="18"/>
          <w:szCs w:val="18"/>
          <w:color w:val="auto"/>
        </w:rPr>
      </w:pPr>
    </w:p>
    <w:p>
      <w:pPr>
        <w:jc w:val="both"/>
        <w:ind w:left="720" w:right="45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our ability to create and develop additional product candidates and to submit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applications and/or clinical trial applications (“</w:t>
      </w:r>
      <w:r>
        <w:rPr>
          <w:rFonts w:ascii="Times New Roman" w:cs="Times New Roman" w:eastAsia="Times New Roman" w:hAnsi="Times New Roman"/>
          <w:sz w:val="18"/>
          <w:szCs w:val="18"/>
          <w:b w:val="1"/>
          <w:bCs w:val="1"/>
          <w:color w:val="auto"/>
        </w:rPr>
        <w:t>CTAs</w:t>
      </w:r>
      <w:r>
        <w:rPr>
          <w:rFonts w:ascii="Times New Roman" w:cs="Times New Roman" w:eastAsia="Times New Roman" w:hAnsi="Times New Roman"/>
          <w:sz w:val="18"/>
          <w:szCs w:val="18"/>
          <w:color w:val="auto"/>
        </w:rPr>
        <w:t>”) for our pre-clinical product candidates;</w:t>
      </w:r>
    </w:p>
    <w:p>
      <w:pPr>
        <w:spacing w:after="0" w:line="175"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future milestone payments and royalties from our collaboration partners, and the expected amount and timing of such payments;</w:t>
      </w:r>
    </w:p>
    <w:p>
      <w:pPr>
        <w:spacing w:after="0" w:line="16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the potential market size and the size of the patient populations for our products and product candidates;</w:t>
      </w:r>
    </w:p>
    <w:p>
      <w:pPr>
        <w:spacing w:after="0" w:line="161" w:lineRule="exact"/>
        <w:rPr>
          <w:rFonts w:ascii="Times New Roman" w:cs="Times New Roman" w:eastAsia="Times New Roman" w:hAnsi="Times New Roman"/>
          <w:sz w:val="18"/>
          <w:szCs w:val="18"/>
          <w:color w:val="auto"/>
        </w:rPr>
      </w:pPr>
    </w:p>
    <w:p>
      <w:pPr>
        <w:ind w:left="720" w:right="7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products and product candidates over existing therapies or therapies currently in development;</w:t>
      </w:r>
    </w:p>
    <w:p>
      <w:pPr>
        <w:spacing w:after="0" w:line="161"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advantages of our proprietary technologies over existing antibody technologies and the prospects for our ongoing and future technology collaborations;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our translational research platform and the potential benefits of such platform;</w:t>
      </w:r>
    </w:p>
    <w:p>
      <w:pPr>
        <w:spacing w:after="0" w:line="22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willingness and ability of our current and future collaboration partners to pursue the development, approval and commercialization of our products and product candidates;</w:t>
      </w:r>
    </w:p>
    <w:p>
      <w:pPr>
        <w:spacing w:after="0" w:line="16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product discovery, development and commercialization plans with respect to our products and product candidates and our proprietary technologies;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enter into new collaborations;</w:t>
      </w:r>
    </w:p>
    <w:p>
      <w:pPr>
        <w:spacing w:after="0" w:line="225"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ability to develop, acquire and advance product candidates into, and successfully complete, clinical trials;</w:t>
      </w:r>
    </w:p>
    <w:p>
      <w:pPr>
        <w:spacing w:after="0" w:line="161" w:lineRule="exact"/>
        <w:rPr>
          <w:rFonts w:ascii="Times New Roman" w:cs="Times New Roman" w:eastAsia="Times New Roman" w:hAnsi="Times New Roman"/>
          <w:sz w:val="18"/>
          <w:szCs w:val="18"/>
          <w:color w:val="auto"/>
        </w:rPr>
      </w:pPr>
    </w:p>
    <w:p>
      <w:pPr>
        <w:ind w:left="720" w:right="6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trials and clinical trials, and our research and development programs;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for our products and product candidates;</w:t>
      </w:r>
    </w:p>
    <w:p>
      <w:pPr>
        <w:spacing w:after="0" w:line="221" w:lineRule="exact"/>
        <w:rPr>
          <w:rFonts w:ascii="Times New Roman" w:cs="Times New Roman" w:eastAsia="Times New Roman" w:hAnsi="Times New Roman"/>
          <w:sz w:val="18"/>
          <w:szCs w:val="18"/>
          <w:color w:val="auto"/>
        </w:rPr>
      </w:pPr>
    </w:p>
    <w:p>
      <w:pPr>
        <w:ind w:left="720" w:right="259" w:hanging="319"/>
        <w:spacing w:after="0" w:line="26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to negotiate contracts with, suitable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and the ability of such CMOs to manufacture sufficient quantities of our products and product candidates for clinical trials or commercialization in compliance with current Good Manufacturing Practices (“</w:t>
      </w:r>
      <w:r>
        <w:rPr>
          <w:rFonts w:ascii="Times New Roman" w:cs="Times New Roman" w:eastAsia="Times New Roman" w:hAnsi="Times New Roman"/>
          <w:sz w:val="18"/>
          <w:szCs w:val="18"/>
          <w:b w:val="1"/>
          <w:bCs w:val="1"/>
          <w:color w:val="auto"/>
        </w:rPr>
        <w:t>cGMPs</w:t>
      </w:r>
      <w:r>
        <w:rPr>
          <w:rFonts w:ascii="Times New Roman" w:cs="Times New Roman" w:eastAsia="Times New Roman" w:hAnsi="Times New Roman"/>
          <w:sz w:val="18"/>
          <w:szCs w:val="18"/>
          <w:color w:val="auto"/>
        </w:rPr>
        <w:t>”) (as defined herein);</w:t>
      </w:r>
    </w:p>
    <w:p>
      <w:pPr>
        <w:spacing w:after="0" w:line="180"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ability to identify, and to negotiate contracts with, suitable contract research organizations (“</w:t>
      </w:r>
      <w:r>
        <w:rPr>
          <w:rFonts w:ascii="Times New Roman" w:cs="Times New Roman" w:eastAsia="Times New Roman" w:hAnsi="Times New Roman"/>
          <w:sz w:val="18"/>
          <w:szCs w:val="18"/>
          <w:b w:val="1"/>
          <w:bCs w:val="1"/>
          <w:color w:val="auto"/>
        </w:rPr>
        <w:t>CROs</w:t>
      </w:r>
      <w:r>
        <w:rPr>
          <w:rFonts w:ascii="Times New Roman" w:cs="Times New Roman" w:eastAsia="Times New Roman" w:hAnsi="Times New Roman"/>
          <w:sz w:val="18"/>
          <w:szCs w:val="18"/>
          <w:color w:val="auto"/>
        </w:rPr>
        <w:t>”) and the ability of such CROs to conduct clinical trials on our product candidates in compliance with current Good Clinical Practices (“</w:t>
      </w:r>
      <w:r>
        <w:rPr>
          <w:rFonts w:ascii="Times New Roman" w:cs="Times New Roman" w:eastAsia="Times New Roman" w:hAnsi="Times New Roman"/>
          <w:sz w:val="18"/>
          <w:szCs w:val="18"/>
          <w:b w:val="1"/>
          <w:bCs w:val="1"/>
          <w:color w:val="auto"/>
        </w:rPr>
        <w:t>cGCPs</w:t>
      </w:r>
      <w:r>
        <w:rPr>
          <w:rFonts w:ascii="Times New Roman" w:cs="Times New Roman" w:eastAsia="Times New Roman" w:hAnsi="Times New Roman"/>
          <w:sz w:val="18"/>
          <w:szCs w:val="18"/>
          <w:color w:val="auto"/>
        </w:rPr>
        <w:t>”) (as defined herein);</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market acceptance of our products and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to develop our commercialization capabilities;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and reimbursement for our approved products in existing and additional key markets;</w:t>
      </w:r>
    </w:p>
    <w:p>
      <w:pPr>
        <w:spacing w:after="0" w:line="225"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product candidates and technologies;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violating applicable laws and regulations;</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collaboration partners’ ability to operate our businesses without infringing the intellectual property rights and proprietary technology of third parties;</w:t>
      </w:r>
    </w:p>
    <w:p>
      <w:pPr>
        <w:spacing w:after="0" w:line="161"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 our collaboration partners are able to establish and maintain for intellectual property rights covering our products, product candidates and technologies;</w:t>
      </w:r>
    </w:p>
    <w:p>
      <w:pPr>
        <w:spacing w:after="0" w:line="16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analysis of potential patent infringement claims and our or our collaboration partners’ rights with respect to such claims;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and revenue;</w:t>
      </w:r>
    </w:p>
    <w:p>
      <w:pPr>
        <w:spacing w:after="0" w:line="221" w:lineRule="exact"/>
        <w:rPr>
          <w:rFonts w:ascii="Times New Roman" w:cs="Times New Roman" w:eastAsia="Times New Roman" w:hAnsi="Times New Roman"/>
          <w:sz w:val="18"/>
          <w:szCs w:val="18"/>
          <w:color w:val="auto"/>
        </w:rPr>
      </w:pPr>
    </w:p>
    <w:p>
      <w:pPr>
        <w:ind w:left="720" w:right="279" w:hanging="319"/>
        <w:spacing w:after="0" w:line="28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Japan and other jurisdictions;</w:t>
      </w:r>
    </w:p>
    <w:p>
      <w:pPr>
        <w:spacing w:after="0" w:line="15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anticipated growth;</w:t>
      </w:r>
    </w:p>
    <w:p>
      <w:pPr>
        <w:spacing w:after="0" w:line="225" w:lineRule="exact"/>
        <w:rPr>
          <w:rFonts w:ascii="Times New Roman" w:cs="Times New Roman" w:eastAsia="Times New Roman" w:hAnsi="Times New Roman"/>
          <w:sz w:val="18"/>
          <w:szCs w:val="18"/>
          <w:color w:val="auto"/>
        </w:rPr>
      </w:pPr>
    </w:p>
    <w:p>
      <w:pPr>
        <w:ind w:left="720" w:right="11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suitably qualified employees and key personnel, particularly for our commercialization efforts;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3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technologies.</w:t>
      </w:r>
    </w:p>
    <w:p>
      <w:pPr>
        <w:spacing w:after="0" w:line="16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herein involve a number of known and unknown risks and uncertainties that could cause our future results, performance, or achievements to differ significantly from the results, performance or achievements expressed or implied by such forward-looking statements.</w:t>
      </w:r>
    </w:p>
    <w:p>
      <w:pPr>
        <w:spacing w:after="0" w:line="176"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 xml:space="preserve">You should understand that many important factors, in addition to those discussed or incorporated by reference in this report, could cause our results to differ materially from those expressed in the forward-looking statements. Potential factors that could affect our results include, in addition to others not described in this report, those described under </w:t>
      </w:r>
      <w:r>
        <w:rPr>
          <w:rFonts w:ascii="Times New Roman" w:cs="Times New Roman" w:eastAsia="Times New Roman" w:hAnsi="Times New Roman"/>
          <w:sz w:val="17"/>
          <w:szCs w:val="17"/>
          <w:i w:val="1"/>
          <w:iCs w:val="1"/>
          <w:color w:val="auto"/>
        </w:rPr>
        <w:t>“Item 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Risk Factors.” </w:t>
      </w:r>
      <w:r>
        <w:rPr>
          <w:rFonts w:ascii="Times New Roman" w:cs="Times New Roman" w:eastAsia="Times New Roman" w:hAnsi="Times New Roman"/>
          <w:sz w:val="17"/>
          <w:szCs w:val="17"/>
          <w:color w:val="auto"/>
        </w:rPr>
        <w:t>These are factors that we think could cause our actual results to differ materially from expected results.</w:t>
      </w:r>
    </w:p>
    <w:p>
      <w:pPr>
        <w:spacing w:after="0" w:line="16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Forward looking statements speak only as of the date on which they are made, and we undertake no obligation to update any forward-looking statements or other information contained in this report, whether as a result of new information, future events or otherwise. You are advised, however, to consult any additional disclosures we make in our reports on Form 6-K furnished or filed with the SEC. Please also see the cautionary discussion of risks and uncertainties under </w:t>
      </w:r>
      <w:r>
        <w:rPr>
          <w:rFonts w:ascii="Times New Roman" w:cs="Times New Roman" w:eastAsia="Times New Roman" w:hAnsi="Times New Roman"/>
          <w:sz w:val="18"/>
          <w:szCs w:val="18"/>
          <w:i w:val="1"/>
          <w:iCs w:val="1"/>
          <w:color w:val="auto"/>
        </w:rPr>
        <w:t>“Item 3.D—Risk Factors.”</w:t>
      </w:r>
      <w:r>
        <w:rPr>
          <w:rFonts w:ascii="Times New Roman" w:cs="Times New Roman" w:eastAsia="Times New Roman" w:hAnsi="Times New Roman"/>
          <w:sz w:val="18"/>
          <w:szCs w:val="18"/>
          <w:color w:val="auto"/>
        </w:rPr>
        <w:t xml:space="preserve"> This discussion is provided as permitted by the Private Securities Litigation Reform Act of 1995.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maintain our books and records in Danish kroner and report under IFRS Accounting Standards as issued by the International Accounting Standards Board (“</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and as endorsed by the EU (“</w:t>
      </w:r>
      <w:r>
        <w:rPr>
          <w:rFonts w:ascii="Times New Roman" w:cs="Times New Roman" w:eastAsia="Times New Roman" w:hAnsi="Times New Roman"/>
          <w:sz w:val="18"/>
          <w:szCs w:val="18"/>
          <w:b w:val="1"/>
          <w:bCs w:val="1"/>
          <w:color w:val="auto"/>
        </w:rPr>
        <w:t>IFRS Accounting Standards</w:t>
      </w:r>
      <w:r>
        <w:rPr>
          <w:rFonts w:ascii="Times New Roman" w:cs="Times New Roman" w:eastAsia="Times New Roman" w:hAnsi="Times New Roman"/>
          <w:sz w:val="18"/>
          <w:szCs w:val="18"/>
          <w:color w:val="auto"/>
        </w:rPr>
        <w:t>”). Our application of IFRS Accounting Standards results in no difference between IFRS as issued by the IASB and IFRS as endorsed by the EU. None of the audited consolidated financial statements (the “</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included in our Annual Report 2024 and incorporated by reference into this Annual Report on Form 20-F were prepared in accordance with accounting principles generally accepted in the U.S. We use the symbol “$” to refer to the U.S. dollar, “DKK” to refer to the Danish kroner and the symbol “€” to refer to the Euro herein. While our financial results disclosed herein are presented in Danish kroner, certain amounts paid or payable to or by us under certain of our collaborations are presented in the currencies in which payments under such collaborations are denominated.</w:t>
      </w:r>
    </w:p>
    <w:p>
      <w:pPr>
        <w:spacing w:after="0" w:line="188"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All references to “shares” in this Annual Report on Form 20-F refer to ordinary shares of Genmab A/S with a nominal value of DKK 1 per share.</w:t>
      </w:r>
    </w:p>
    <w:p>
      <w:pPr>
        <w:spacing w:after="0" w:line="16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20-F includes trademarks, tradenames and service marks, certain of which belong to us and others that are the property of other organizations. Solely for convenience, trademarks, tradenames and service marks referred to in this Annual Report on Form 20-F appear without the ®, ™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us, or endorsement or sponsorship of us, by these other parties.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20-F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trials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addition, assumptions and estimates of our and our industry’s future performance are necessarily subject to a high degree of uncertainty and risk due to a variety of factors, including those described in </w:t>
      </w:r>
      <w:r>
        <w:rPr>
          <w:rFonts w:ascii="Times New Roman" w:cs="Times New Roman" w:eastAsia="Times New Roman" w:hAnsi="Times New Roman"/>
          <w:sz w:val="18"/>
          <w:szCs w:val="18"/>
          <w:i w:val="1"/>
          <w:iCs w:val="1"/>
          <w:color w:val="auto"/>
        </w:rPr>
        <w:t>“Item 3.D —Risk Factors.”</w:t>
      </w:r>
      <w:r>
        <w:rPr>
          <w:rFonts w:ascii="Times New Roman" w:cs="Times New Roman" w:eastAsia="Times New Roman" w:hAnsi="Times New Roman"/>
          <w:sz w:val="18"/>
          <w:szCs w:val="18"/>
          <w:color w:val="auto"/>
        </w:rPr>
        <w:t xml:space="preserve"> These and other factors could cause our future performance to differ materially from our assumptions and estimates. See </w:t>
      </w: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organized under the laws of Denmark, with a domicile in the municipality of Copenhagen, Denmark.</w:t>
      </w:r>
    </w:p>
    <w:p>
      <w:pPr>
        <w:spacing w:after="0" w:line="22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 majority of the members of our Board of Directors and Executive Management are residents of Denmark or other jurisdictions outside the U.S. A substantial portion of our and such persons’ assets are located in Denmark or other jurisdictions outside the U.S.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U.S. or any other laws of the U.S.</w:t>
      </w:r>
    </w:p>
    <w:p>
      <w:pPr>
        <w:spacing w:after="0" w:line="18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U.S.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U.S. A judgment by a federal or state court in the U.S. against the Company will neither be recognized nor enforced by a Danish court, but such judgment may serve as evidence in a similar action in a Danish court.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ADVISORS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You should carefully consider these risks and uncertainties when investing in our ordinary shares or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principal risks and uncertainties affecting our business include the following: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8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majority of our revenue comes from royalties on sales of DARZALEX, and our patents underlying these royalties will start to expire in the late 2020s.</w:t>
      </w:r>
    </w:p>
    <w:p>
      <w:pPr>
        <w:spacing w:after="0" w:line="16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launch of a new product or of an existing product in a new indication or territory is subject to a number of risks and uncertainties and may not be successful.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have experienced rapid growth that needs to be carefully managed.</w:t>
      </w:r>
    </w:p>
    <w:p>
      <w:pPr>
        <w:spacing w:after="0" w:line="225"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products, form collaborations or enter into other strategic transactions in the future. We may need to raise additional capital to fund these transactions and we may not realize their benefits.</w:t>
      </w:r>
    </w:p>
    <w:p>
      <w:pPr>
        <w:spacing w:after="0" w:line="161"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will depend on the degree of market acceptance by physicians, patients, healthcare payers and others in the medical community.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collaboration partners in many aspects of our business.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third-party manufacturers for our product supply.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Biopharmaceutical product development involves a substantial degree of uncertainty.</w:t>
      </w:r>
    </w:p>
    <w:p>
      <w:pPr>
        <w:spacing w:after="0" w:line="225"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will need to undergo clinical trials that are time-consuming and expensive, the outcomes of which are unpredictable, and for which there is a high risk of failure.</w:t>
      </w:r>
    </w:p>
    <w:p>
      <w:pPr>
        <w:spacing w:after="0" w:line="161"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approval granted for our products or product candidates in the U.S. does not assure approval of such products in Japan and the EU or other foreign jurisdictions.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affected by reports of adverse events or safety concerns relating to our products or product candidates.</w:t>
      </w:r>
    </w:p>
    <w:p>
      <w:pPr>
        <w:spacing w:after="0" w:line="236"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product liability claims related to the use or misuse of our products or technologies.</w:t>
      </w:r>
    </w:p>
    <w:p>
      <w:pPr>
        <w:spacing w:after="0" w:line="221" w:lineRule="exact"/>
        <w:rPr>
          <w:rFonts w:ascii="Times New Roman" w:cs="Times New Roman" w:eastAsia="Times New Roman" w:hAnsi="Times New Roman"/>
          <w:sz w:val="18"/>
          <w:szCs w:val="18"/>
          <w:color w:val="auto"/>
        </w:rPr>
      </w:pPr>
    </w:p>
    <w:p>
      <w:pPr>
        <w:ind w:left="720" w:right="739" w:hanging="319"/>
        <w:spacing w:after="0" w:line="28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applications and information technology (“</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 infrastructure, or those of our collaboration partners, contractors or consultants, may fail or suffer cyber security breaches.</w:t>
      </w:r>
    </w:p>
    <w:p>
      <w:pPr>
        <w:spacing w:after="0" w:line="15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may decline if we or our collaboration partners are unable to or do not adequately protect intellectual property rights or if our intellectual property rights are inadequate.</w:t>
      </w:r>
    </w:p>
    <w:p>
      <w:pPr>
        <w:spacing w:after="0" w:line="16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pricing and reimbursement, as well as other healthcare payer cost-containment initiatives, may negatively impact our ability to generate revenue.</w:t>
      </w:r>
    </w:p>
    <w:p>
      <w:pPr>
        <w:spacing w:after="0" w:line="161"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laws and regulations and changes to existing ones may have an adverse impact on our business.</w:t>
      </w:r>
    </w:p>
    <w:p>
      <w:pPr>
        <w:spacing w:after="0" w:line="225"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business arrangements with third parties are subject to fraud, abuse and other healthcare laws and regulations.​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Condition</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substantial majority of our revenue comes from royalties on sales of DARZALEX, and our patents underlying these royalties will start to expire in the late 2020s.</w:t>
      </w:r>
    </w:p>
    <w:p>
      <w:pPr>
        <w:spacing w:after="0" w:line="155"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In 2024, royalties and milestone payments from Johnson &amp; Johnson (“</w:t>
      </w:r>
      <w:r>
        <w:rPr>
          <w:rFonts w:ascii="Times New Roman" w:cs="Times New Roman" w:eastAsia="Times New Roman" w:hAnsi="Times New Roman"/>
          <w:sz w:val="17"/>
          <w:szCs w:val="17"/>
          <w:b w:val="1"/>
          <w:bCs w:val="1"/>
          <w:color w:val="auto"/>
        </w:rPr>
        <w:t>J&amp;J</w:t>
      </w:r>
      <w:r>
        <w:rPr>
          <w:rFonts w:ascii="Times New Roman" w:cs="Times New Roman" w:eastAsia="Times New Roman" w:hAnsi="Times New Roman"/>
          <w:sz w:val="17"/>
          <w:szCs w:val="17"/>
          <w:color w:val="auto"/>
        </w:rPr>
        <w:t xml:space="preserve">”), legal entity Janssen Biotech, Inc., related to daratumumab (marketed as DARZALEX for IV administration and as DARZALEX </w:t>
      </w:r>
      <w:r>
        <w:rPr>
          <w:rFonts w:ascii="Times New Roman" w:cs="Times New Roman" w:eastAsia="Times New Roman" w:hAnsi="Times New Roman"/>
          <w:sz w:val="17"/>
          <w:szCs w:val="17"/>
          <w:i w:val="1"/>
          <w:iCs w:val="1"/>
          <w:color w:val="auto"/>
        </w:rPr>
        <w:t>FASPRO</w:t>
      </w:r>
      <w:r>
        <w:rPr>
          <w:rFonts w:ascii="Times New Roman" w:cs="Times New Roman" w:eastAsia="Times New Roman" w:hAnsi="Times New Roman"/>
          <w:sz w:val="17"/>
          <w:szCs w:val="17"/>
          <w:color w:val="auto"/>
        </w:rPr>
        <w:t xml:space="preserve"> in the U.S. and as DARZALEX SC in Europe for subcutaneous (“</w:t>
      </w:r>
      <w:r>
        <w:rPr>
          <w:rFonts w:ascii="Times New Roman" w:cs="Times New Roman" w:eastAsia="Times New Roman" w:hAnsi="Times New Roman"/>
          <w:sz w:val="17"/>
          <w:szCs w:val="17"/>
          <w:b w:val="1"/>
          <w:bCs w:val="1"/>
          <w:color w:val="auto"/>
        </w:rPr>
        <w:t>SC</w:t>
      </w:r>
      <w:r>
        <w:rPr>
          <w:rFonts w:ascii="Times New Roman" w:cs="Times New Roman" w:eastAsia="Times New Roman" w:hAnsi="Times New Roman"/>
          <w:sz w:val="17"/>
          <w:szCs w:val="17"/>
          <w:color w:val="auto"/>
        </w:rPr>
        <w:t>”) administration) for certain indications of multiple myeloma (“</w:t>
      </w:r>
      <w:r>
        <w:rPr>
          <w:rFonts w:ascii="Times New Roman" w:cs="Times New Roman" w:eastAsia="Times New Roman" w:hAnsi="Times New Roman"/>
          <w:sz w:val="17"/>
          <w:szCs w:val="17"/>
          <w:b w:val="1"/>
          <w:bCs w:val="1"/>
          <w:color w:val="auto"/>
        </w:rPr>
        <w:t>MM</w:t>
      </w:r>
      <w:r>
        <w:rPr>
          <w:rFonts w:ascii="Times New Roman" w:cs="Times New Roman" w:eastAsia="Times New Roman" w:hAnsi="Times New Roman"/>
          <w:sz w:val="17"/>
          <w:szCs w:val="17"/>
          <w:color w:val="auto"/>
        </w:rPr>
        <w:t>”) and light-chain (“</w:t>
      </w:r>
      <w:r>
        <w:rPr>
          <w:rFonts w:ascii="Times New Roman" w:cs="Times New Roman" w:eastAsia="Times New Roman" w:hAnsi="Times New Roman"/>
          <w:sz w:val="17"/>
          <w:szCs w:val="17"/>
          <w:b w:val="1"/>
          <w:bCs w:val="1"/>
          <w:color w:val="auto"/>
        </w:rPr>
        <w:t>AL</w:t>
      </w:r>
      <w:r>
        <w:rPr>
          <w:rFonts w:ascii="Times New Roman" w:cs="Times New Roman" w:eastAsia="Times New Roman" w:hAnsi="Times New Roman"/>
          <w:sz w:val="17"/>
          <w:szCs w:val="17"/>
          <w:color w:val="auto"/>
        </w:rPr>
        <w:t>”) amyloidosis, accounted for 65% of our revenue, and we anticipate that DARZALEX will continue to account for a substantial portion of our revenue in the near term. J&amp;J is currently fully responsible for developing and commercializing daratumumab, and all costs associated therewith, and consequently, our revenue and resulting operating profit and near-term prospects are substantially dependent on J&amp;J’s efforts and the success of this collaboration.</w:t>
      </w:r>
    </w:p>
    <w:p>
      <w:pPr>
        <w:spacing w:after="0" w:line="175"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royalties payable to us by J&amp;J are limited in time and subject to reduction on a country-by-country basis for customary reduction events, including for lack of patent coverage or upon patent expiration or invalidation in the relevant country and upon the first commercial sale of a biosimilar product in the relevant country (for as long as the biosimilar product remains for sale in that country). Pursuant to the terms of the agreement, J&amp;J’s obligation to pay royalties to us will expire on a country-by-country basis on the later of the date that is 13 years after the first sale of daratumumab in such country or upon the expiration or invalidation of the last-to-expire relevant Genmab patent covering daratumumab in such country. The first U.S., European and Japanese sales of daratumumab occurred in 2015, 2016 and 2017, respectively.</w:t>
      </w:r>
    </w:p>
    <w:p>
      <w:pPr>
        <w:spacing w:after="0" w:line="18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issued patents and pending patent applications covering daratumumab in numerous jurisdictions, including patents issued in the U.S., Europe and Japan. J&amp;J owns a separate patent portfolio related to the subcutaneous formulation of daratumumab used in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DARZALEX SC, but a binding arbitration determined that we are not entitled to royalties based on these separate patents.</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Our issued U.S., European and Japanese patents covering daratumumab, after giving effect to issued U.S., European and Japanese patent term extensions (“</w:t>
      </w:r>
      <w:r>
        <w:rPr>
          <w:rFonts w:ascii="Times New Roman" w:cs="Times New Roman" w:eastAsia="Times New Roman" w:hAnsi="Times New Roman"/>
          <w:sz w:val="18"/>
          <w:szCs w:val="18"/>
          <w:b w:val="1"/>
          <w:bCs w:val="1"/>
          <w:color w:val="auto"/>
        </w:rPr>
        <w:t>PTEs</w:t>
      </w:r>
      <w:r>
        <w:rPr>
          <w:rFonts w:ascii="Times New Roman" w:cs="Times New Roman" w:eastAsia="Times New Roman" w:hAnsi="Times New Roman"/>
          <w:sz w:val="18"/>
          <w:szCs w:val="18"/>
          <w:color w:val="auto"/>
        </w:rPr>
        <w:t>”) and supplementary protection certificates (“</w:t>
      </w:r>
      <w:r>
        <w:rPr>
          <w:rFonts w:ascii="Times New Roman" w:cs="Times New Roman" w:eastAsia="Times New Roman" w:hAnsi="Times New Roman"/>
          <w:sz w:val="18"/>
          <w:szCs w:val="18"/>
          <w:b w:val="1"/>
          <w:bCs w:val="1"/>
          <w:color w:val="auto"/>
        </w:rPr>
        <w:t>SPCs</w:t>
      </w:r>
      <w:r>
        <w:rPr>
          <w:rFonts w:ascii="Times New Roman" w:cs="Times New Roman" w:eastAsia="Times New Roman" w:hAnsi="Times New Roman"/>
          <w:sz w:val="18"/>
          <w:szCs w:val="18"/>
          <w:color w:val="auto"/>
        </w:rPr>
        <w:t>”), expire in 2029, 2031 and begin to expire in 2030, respectively. Assuming constant underlying sales of DARZALEX, we expect that our royalties from sales of DARZALEX will begin to decline materially in 2029 following expiration of our U.S. patent rights on daratumumab. There can be no assurance that we will be able to replace all or any portion of lost DARZALEX royalty revenues through development and commercialization of other products or through acquisitions in a timely manner or at all.</w:t>
      </w:r>
    </w:p>
    <w:p>
      <w:pPr>
        <w:spacing w:after="0" w:line="18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there can be no assurance that DARZALEX sales will remain at or near current levels or will continue to grow while we remain entitled to royalites. In particular, DARZALEX is subject to intense competition in the MM therapy market. In addition to numerous other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approved treatments for the same indications, we are also aware of several additional investigational agents and technologies that are currently being studied for the treatment of MM, any of which may compete with DARZALEX in the future. If J&amp;J is unable to successfully compete with these or other agents and technologies, DARZALEX sales could decline materially.</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Future prospects for daratumumab are subject to the risks outlined below with respect to our other product candidates, including risks related to clinical trials,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J&amp;J and other risks described herein that are applicable to all our collaborations.</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launch of a new product or of an existing product in a new indication or territory is subject to a number of risks and uncertainties and may not be successful.</w:t>
      </w:r>
    </w:p>
    <w:p>
      <w:pPr>
        <w:spacing w:after="0" w:line="15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We are continuing to expand our commercialization capabilities, including sales, distribution and marketing, to allow us to market our own products for the indications and in the geographies we determine would be most effective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create value for patients and our shareholders. The continued commercialization of our existing products could be impaired, and the launch and commercialization of any future products could be delayed or impaired, due to a variety of factors, including supply constraints, delays or challenges in arranging a commercial infrastructure, delays in obtaining or failure to obtain pricing and reimbursement approvals, or other factors, including those described elsewhere herein.</w:t>
      </w:r>
    </w:p>
    <w:p>
      <w:pPr>
        <w:spacing w:after="0" w:line="180"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continue to grow our market-based commercialization operations in existing and additional new markets. Building comprehensive commercialization capabilities requires substantial investment of time and money and significant management focus and resources. We are competing with pharmaceutical and biotechnology companies with established commercialization and marketing capabilities. Without appropriate leveraging of our internal existing team or the support of third parties, we may be unable to compete successfully against these more established companies as we expand into new territories. In addition, we may be unable to develop productive relationships with local medical experts, patients and other key stakeholders or may face barriers due to cultural or regulatory differences. We also compete for staffing with transnational and local pharmaceutical and biotechnology firms and local medical, healthcare and research organizations. Accordingly, there can be no assurance that our efforts to build and expand comprehensive commercialization capabilities will be successful in an acceptable time frame, without disproportionately substantial expenses or at all.</w:t>
      </w:r>
    </w:p>
    <w:p>
      <w:pPr>
        <w:spacing w:after="0" w:line="19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Even if more of our proprietary product candidates obtains regulatory approval, we may determine that commercializing such product candidates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We are also subject to extensive and costly government regulation and are required to obtain and maintain governmental approvals in order to successfully commercialize our products. Failure to successfully market one or more of our approved products, or delays in our commercialization efforts, may diminish the commercial prospects for such products and may result in financial losses or damage to our reputation, each of which may have a negative impact on our financial condition, results of operations and future growth prospects.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rapid growth that needs to be carefully managed.</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over the last several years, and we anticipate further growth as our pipeline advances and we further commercialize our products. Since 2019 Genmab has grown from 548 employees to 2,682 at the end of 2024. In 2019 there were 12 active industry sponsored clinical trials for Genmab proprietary products, which are those owned at least 50% by Genmab. By the end of 2024, this number had nearly tripled to 32, including seven Phase III trials. Such growth has put significant demands on our management and infrastructure, including new operational and financial systems, expanding commercial capabilities, as well as extended manufacturing and commercial outsourcing arrangements. Our success will depend in part upon our ability to manage this growth effectively, including by maintaining our collaborative culture. As we continue to grow, we must continuously improve our operational, financial and management controls and our reporting systems and procedures. We must ensure that our policies and procedures evolve to reflect our dynamic operating model and implementation of financial systems. We must also continue to effectively retain existing employees and to attract, hire, train and retain new employees. Any failure to expand these areas and implement appropriate procedures and controls in an efficient manner and at a pace consistent with our business objectives could have a material adverse effect on our business, financial condition, results of operations and cash flows.</w:t>
      </w:r>
    </w:p>
    <w:p>
      <w:pPr>
        <w:spacing w:after="0" w:line="18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form collaborations or enter into other strategic transactions in the future, but we may not realize their benefits, and we may need to raise additional capital to fund these transactions.</w:t>
      </w:r>
    </w:p>
    <w:p>
      <w:pPr>
        <w:spacing w:after="0" w:line="18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Should attractive opportunities arise, we may acquire companies or technologies, form collaborations or enter into other strategic transactions that facilitate our access to new products, research projects or geographical areas, or that enable us to achieve synergies with our existing operations. However, we may not be able to identify appropriate targets, make acquisitions or form collaborations under satisfactory financial and other conditions. If we acquire or enter into collaborations or other strategic transactions with businesses, we may not be able to realize the benefits of such acquisitions or collaborations, including if we are unable to successfully integrate them with our existing operations and company culture, or if we encounter difficulties in developing, receiving regulatory approval for, manufacturing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marketing any new products resulting from such acquisitions, collaborations or transactions. The inability to achieve the expected synergies of any such transaction could have a material adverse effect on our business, financial condition, results of operations and future growth prospects and our investors’ ability to realize on their investments.</w:t>
      </w:r>
    </w:p>
    <w:p>
      <w:pPr>
        <w:spacing w:after="0" w:line="1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addition, we may need to seek additional funds to finance such transactions, and we may be unable to obtain financing on favorable terms, in a timely manner or at all. Our ability to raise additional funds may be adversely impacted by potential worsening global economic conditions and the disruptions to, and volatility in, the credit and financial markets in the U.S. and worldwide resulting from factors that include but are not limited to, inflation, wars and geopolitical conflicts and tensions, including the conflict between Russia and Ukraine and conflicts in the Middle East, diminished liquidity and credit availability, declines in consumer confidence, declines in economic growth, increases in unemployment rates, uncertainty about economic stability, increases in interest rates and potential for economic recession. If the equity and credit markets deteriorate, it may make any necessary debt or equity financing more difficult, more costly and more dilutive. If we are unable to raise capital or if the cost is prohibitively expensive, we may need to finance transactions using cash and cash equivalents and marketable securities that could otherwise be allocated to other purposes in the context of our existing operations, and in hindsight our allocation decisions may not be optimal.</w:t>
      </w:r>
    </w:p>
    <w:p>
      <w:pPr>
        <w:spacing w:after="0" w:line="200" w:lineRule="exact"/>
        <w:rPr>
          <w:sz w:val="20"/>
          <w:szCs w:val="20"/>
          <w:color w:val="auto"/>
        </w:rPr>
      </w:pPr>
    </w:p>
    <w:p>
      <w:pPr>
        <w:spacing w:after="0" w:line="204"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products will depend on the degree of market acceptance by physicians, patients, healthcare payers and others in the medical community.</w:t>
      </w:r>
    </w:p>
    <w:p>
      <w:pPr>
        <w:spacing w:after="0" w:line="13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or if any of our marketed products receive marketing approval for additional indications, they may nonetheless fail to gain sufficient market acceptance by physicians, patients, healthcare payers and others in the medical community, due to not being as well-established or known as conventional cancer therapies or otherwise. Accordingly, our commercial opportunity may be limited and/or our revenues from sales of these products may be negatively impacted. The degree of market acceptance will depend on a number of factors, including: the price, efficacy, safety, convenience and ease and safety of administration of such products, along with their competitive advantages vis-à-vis other therapies, designation as a first-, second- or third-line treatment, changes in the relevant standard of care and any labeling restrictions or warnings, the willingness of the target patient population to try and of physicians to prescribe our products, the availability and amount of coverage and reimbursement from government payers, managed care plans and other third-party payers, and the strength of the sales, marketing and distribution support provided by us or our collaboration partners.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meet publicly announced product development objectives.</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sometimes estimate for planning purposes the timing of the accomplishment of various scientific, clinical, regulatory and other product development objectives. These milestones may include our expectations regarding the commencement or completion of scientific trials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is outside of our control. All of these milestones are based on a variety of assumptions, which may cause the timing of achievement of the milestones to vary considerably from our estimates. If we fail to achieve announced milestones in the timeframes we expect, or at all, it may have a material adverse effect on our business, financial condition and results of operations and the price of our ADSs may be adversely affected.</w:t>
      </w:r>
    </w:p>
    <w:p>
      <w:pPr>
        <w:spacing w:after="0" w:line="163"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patient population may be lower than our estimates and we may be unable to recoup our development investments.</w:t>
      </w:r>
    </w:p>
    <w:p>
      <w:pPr>
        <w:spacing w:after="0" w:line="11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Periodically, we and our collaboration partners make estimates regarding the incidence and prevalence of target patient populations for particular diseases based on various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 patients in the addressable markets may turn out to be lower than expected, patients may not be otherwise amenable to treatment with our products, or new patients may become increasingly difficult to identify or gain access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Even if our product candidates obtain significant market share for their approved indications, because certain potential target populations are small, we may never recoup our investment in such product candidates without obtaining regulatory approval for additional indications for such product candidates. We expect that we or our collaboration partners will initially seek approval of some of our product candidates as second- or third-line therapies for patients who have failed other approved treatments, which further limits the size of the potential patient population for such indication. If we or our collaboration partners are unable to obtain regulatory approval for such products for frontline or second-line therapy, we may be unable to recoup our investment in such products.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foreign exchange risk.</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Most of our financial transactions are made in Danish kroner, U.S. dollars and Euro. As our reporting currency is Danish kroner, we experience exchange rate risk with respect to our holdings and transactions denominated in currencies other than Danish kroner. Our U.S. dollar currency exposure is mainly related to cash deposits, marketable securities, and receivables related to our collaborations with J&amp;J, AbbVie Inc. (“</w:t>
      </w:r>
      <w:r>
        <w:rPr>
          <w:rFonts w:ascii="Times New Roman" w:cs="Times New Roman" w:eastAsia="Times New Roman" w:hAnsi="Times New Roman"/>
          <w:sz w:val="18"/>
          <w:szCs w:val="18"/>
          <w:b w:val="1"/>
          <w:bCs w:val="1"/>
          <w:color w:val="auto"/>
        </w:rPr>
        <w:t>AbbVie</w:t>
      </w:r>
      <w:r>
        <w:rPr>
          <w:rFonts w:ascii="Times New Roman" w:cs="Times New Roman" w:eastAsia="Times New Roman" w:hAnsi="Times New Roman"/>
          <w:sz w:val="18"/>
          <w:szCs w:val="18"/>
          <w:color w:val="auto"/>
        </w:rPr>
        <w:t>”), and F. Hoffmann-La Roche AG (“</w:t>
      </w:r>
      <w:r>
        <w:rPr>
          <w:rFonts w:ascii="Times New Roman" w:cs="Times New Roman" w:eastAsia="Times New Roman" w:hAnsi="Times New Roman"/>
          <w:sz w:val="18"/>
          <w:szCs w:val="18"/>
          <w:b w:val="1"/>
          <w:bCs w:val="1"/>
          <w:color w:val="auto"/>
        </w:rPr>
        <w:t>Roche</w:t>
      </w:r>
      <w:r>
        <w:rPr>
          <w:rFonts w:ascii="Times New Roman" w:cs="Times New Roman" w:eastAsia="Times New Roman" w:hAnsi="Times New Roman"/>
          <w:sz w:val="18"/>
          <w:szCs w:val="18"/>
          <w:color w:val="auto"/>
        </w:rPr>
        <w:t>”). In addition, our reported revenue is affected by the translation of milestone payments, royalties and other income denominated in foreign currencies, primarily U.S. dollars, into DKK as our reporting currency.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generally hedge our currency exposure on our milestone payments, royalties or other income and expense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items in the ordinary course of business. Due to long-standing policy of Denmark’s National Bank with respect to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€/DKK exchange rate, we believe that there are currently no material transaction exposure or exchange rate risks regarding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in Euros. However, should Denmark’s policy towards the Euro change, the DKK values of our Euro-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denominated assets and costs could be materially different compared to what is calculated and reported under the existing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Danish policy towards the €/DKK exchange rate.</w:t>
      </w:r>
    </w:p>
    <w:p>
      <w:pPr>
        <w:spacing w:after="0" w:line="207"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If we fail to manage our foreign exchange risk adequately, our business, financial condition, results of operations and future growth prospects and the value of our ADSs may be adversely affected.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 a result of our multinational operations.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our collaborators and third-party partners operate in many jurisdictions around the world and as a result could be adversely affected by risks and uncertainties associated with such multinational operations, including, among others: capital and exchange controls; local and global economic conditions including inflation, recession, volatility and/or lack of liquidity in capital markets; expropriation and other restrictive government actions; actual or threatened trade restrictions or tariffs; trade regulations; tax laws and regulations; and procedures and actions affecting approval, production, pricing, and marketing of, reimbursement for and access to our products, as well as impacts of political or civil tensions, unrest or military action, including the ongoing conflicts between Russia and Ukraine and in the Middle East and their economic consequences; geopolitical instability; terrorist activity; unstable governments and legal systems; and inter-governmental disputes and tensions. Some emerging market countries may be particularly vulnerable to periods of financial, economic or political instability, weakening of the rule of law, or significant currency fluctuations. Local economic and political conditions may adversely affect our distributors, customers, suppliers, collaborators and service providers, and their ability to perform their obligations under agreements with us.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Partners and Other Third Parties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 partners in many aspects of our business.</w:t>
      </w:r>
    </w:p>
    <w:p>
      <w:pPr>
        <w:spacing w:after="0" w:line="229" w:lineRule="exact"/>
        <w:rPr>
          <w:sz w:val="20"/>
          <w:szCs w:val="20"/>
          <w:color w:val="auto"/>
        </w:rPr>
      </w:pPr>
    </w:p>
    <w:p>
      <w:pPr>
        <w:jc w:val="both"/>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We rely on our collaboration partners in many aspects of our business, including to assist with, or to conduct, clinical and regulatory development, manufacturing and/or commercialization of certain of our partnered and proprietary products and product candidates or to provide access to antigens, technologies, skills and information that we do not possess.</w:t>
      </w:r>
    </w:p>
    <w:p>
      <w:pPr>
        <w:spacing w:after="0" w:line="15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If we are not able to maintain our existing material collaborations (or replace them if terminated), establish additional collaborations on favorable terms or realize the anticipated benefits from our collaborations, our business, financial condition and results of operations may be materially harmed. In particular, the termination of any of our key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collaborations could significantly delay the development and commercialization of our products and product candidates and impact our financial results and future prospects. Our licensing collaboration partners generally have the right to terminate our collaborations with notice at any time. Our ability to continue our current collaborations and to enter into additional ones will depend in large part on whether we are able to successfully maintain, expand and demonstrate our research, development and commercialization capabilities and the benefits of our technologies relative to those of our competitors.</w:t>
      </w:r>
    </w:p>
    <w:p>
      <w:pPr>
        <w:spacing w:after="0" w:line="18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We also rely on our collaboration partners to periodically provide us with information about the status, progress and results of clinical trials and regulatory processes that they are conducting, sponsoring, or pursuing with respect to products that are the subject of the collaboration. For products and product candidates being developed by our collaboration partners, we generally do not have direct access to the underlying data or direct communications with the relevant regulators. As a result, our knowledge of material clinical events or data or material regulatory communications or developments, and our corresponding ability to report these to our shareholders, may be limited or delayed.</w:t>
      </w:r>
    </w:p>
    <w:p>
      <w:pPr>
        <w:spacing w:after="0" w:line="187"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In addition, our reliance on our collaboration partners subjects us to a number of additional risks, including the following:</w:t>
      </w:r>
    </w:p>
    <w:p>
      <w:pPr>
        <w:spacing w:after="0" w:line="162" w:lineRule="exact"/>
        <w:rPr>
          <w:sz w:val="20"/>
          <w:szCs w:val="20"/>
          <w:color w:val="auto"/>
        </w:rPr>
      </w:pPr>
    </w:p>
    <w:p>
      <w:pPr>
        <w:ind w:left="720" w:right="2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have significant discretion regarding whether and on what timeline to pursue planned activities;</w:t>
      </w:r>
    </w:p>
    <w:p>
      <w:pPr>
        <w:spacing w:after="0" w:line="161"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cannot control the quantity and nature of the resources our collaboration partners may devote to the development, commercialization, marketing and distribution of products or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not develop products generated using our antibody technology as expected;</w:t>
      </w:r>
    </w:p>
    <w:p>
      <w:pPr>
        <w:spacing w:after="0" w:line="225" w:lineRule="exact"/>
        <w:rPr>
          <w:rFonts w:ascii="Times New Roman" w:cs="Times New Roman" w:eastAsia="Times New Roman" w:hAnsi="Times New Roman"/>
          <w:sz w:val="18"/>
          <w:szCs w:val="18"/>
          <w:color w:val="auto"/>
        </w:rPr>
      </w:pPr>
    </w:p>
    <w:p>
      <w:pPr>
        <w:ind w:left="720" w:right="359" w:hanging="319"/>
        <w:spacing w:after="0" w:line="25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disputes between us and our collaboration partners may delay or terminate the research, development or commercialization of the applicable products and product candidates or result in costly litigation or arbitration that diverts management’s attention and resources, such our arbitration with </w:t>
      </w:r>
      <w:r>
        <w:rPr>
          <w:rFonts w:ascii="Times New Roman" w:cs="Times New Roman" w:eastAsia="Times New Roman" w:hAnsi="Times New Roman"/>
          <w:sz w:val="18"/>
          <w:szCs w:val="18"/>
          <w:color w:val="000000"/>
        </w:rPr>
        <w:t>J&amp;J</w:t>
      </w:r>
      <w:r>
        <w:rPr>
          <w:rFonts w:ascii="Times New Roman" w:cs="Times New Roman" w:eastAsia="Times New Roman" w:hAnsi="Times New Roman"/>
          <w:sz w:val="18"/>
          <w:szCs w:val="18"/>
          <w:color w:val="231F20"/>
        </w:rPr>
        <w:t xml:space="preserve"> in connection with the collaboration agreement for DAZALEX, which concluded in January 2024, as further described in </w:t>
      </w:r>
      <w:r>
        <w:rPr>
          <w:rFonts w:ascii="Times New Roman" w:cs="Times New Roman" w:eastAsia="Times New Roman" w:hAnsi="Times New Roman"/>
          <w:sz w:val="18"/>
          <w:szCs w:val="18"/>
          <w:i w:val="1"/>
          <w:iCs w:val="1"/>
          <w:color w:val="231F20"/>
        </w:rPr>
        <w:t>“Item 8 –</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Financial Information - Legal Proceedings”</w:t>
      </w:r>
      <w:r>
        <w:rPr>
          <w:rFonts w:ascii="Times New Roman" w:cs="Times New Roman" w:eastAsia="Times New Roman" w:hAnsi="Times New Roman"/>
          <w:sz w:val="18"/>
          <w:szCs w:val="18"/>
          <w:color w:val="231F20"/>
        </w:rPr>
        <w:t>;</w:t>
      </w:r>
    </w:p>
    <w:p>
      <w:pPr>
        <w:spacing w:after="0" w:line="183" w:lineRule="exact"/>
        <w:rPr>
          <w:rFonts w:ascii="Times New Roman" w:cs="Times New Roman" w:eastAsia="Times New Roman" w:hAnsi="Times New Roman"/>
          <w:sz w:val="18"/>
          <w:szCs w:val="18"/>
          <w:color w:val="auto"/>
        </w:rPr>
      </w:pPr>
    </w:p>
    <w:p>
      <w:pPr>
        <w:ind w:left="720" w:right="339" w:hanging="319"/>
        <w:spacing w:after="0" w:line="289" w:lineRule="auto"/>
        <w:tabs>
          <w:tab w:leader="none" w:pos="7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with respect to collaborations under which we have an active role, we and our collaboration partners may have differing opinions or priorities, or we may encounter challenges in joint decision making, which may delay or terminate the research, development or commercialization of the applicable products and product candidates;</w:t>
      </w:r>
    </w:p>
    <w:p>
      <w:pPr>
        <w:spacing w:after="0" w:line="157" w:lineRule="exact"/>
        <w:rPr>
          <w:rFonts w:ascii="Times New Roman" w:cs="Times New Roman" w:eastAsia="Times New Roman" w:hAnsi="Times New Roman"/>
          <w:sz w:val="17"/>
          <w:szCs w:val="17"/>
          <w:color w:val="auto"/>
        </w:rPr>
      </w:pPr>
    </w:p>
    <w:p>
      <w:pPr>
        <w:ind w:left="720" w:right="43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receive milestone payments from our collaboration partners, at the expected time or at all, if our collaboration partners do not achieve future milestones or if we and our collaboration partners disagree about whether a milestone has been reached;</w:t>
      </w:r>
    </w:p>
    <w:p>
      <w:pPr>
        <w:spacing w:after="0" w:line="175"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require, terminate or repeat clinical trials or require a new formulation of a product candidate for clinical testing, or may abandon a product candidate;</w:t>
      </w:r>
    </w:p>
    <w:p>
      <w:pPr>
        <w:spacing w:after="0" w:line="161"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relationships with our collaboration partners may divert significant time and effort of our scientific staff and management team;</w:t>
      </w:r>
    </w:p>
    <w:p>
      <w:pPr>
        <w:spacing w:after="0" w:line="16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be subject to regulatory sanctions that could adversely affect the development, approval or commercialization of the applicable products or product candidates;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not properly maintain or defend relevant intellectual property rights, or may infringe the intellectual property rights of third parties, or may use our or third parties’ proprietary information in such a way as to invite litigation that could jeopardize or invalidate our proprietary information or expose us to potential litigation;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may develop competing products, therapeutic approaches or technologies;</w:t>
      </w:r>
    </w:p>
    <w:p>
      <w:pPr>
        <w:spacing w:after="0" w:line="225"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business combinations, financial difficulties, strategic transactions, or significant changes in a collaboration partner’s business strategy or as a result of changes in political or economic conditions, may adversely affect that collaboration partner’s willingness or ability to continue to pursue our products or product candidates and make payments under collaboration agreements to us when due; and</w:t>
      </w:r>
    </w:p>
    <w:p>
      <w:pPr>
        <w:spacing w:after="0" w:line="179"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collaborations may be terminated, breached, or allowed to expire, or our collaboration partners may reduce the scope of our agreements with them.</w:t>
      </w:r>
    </w:p>
    <w:p>
      <w:pPr>
        <w:spacing w:after="0" w:line="16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foregoing risks, if realized, could have a material adverse effect on our business, financial condition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clinical trials.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rely on third parties, such as CROs, to conduct clinical trials on product candidates we are developing. Our collaboration partners may similarly rely on such parties. The third parties with whom we and our collaboration partners contract for execution of our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clinical trials, we remain responsible for ensuring that each of our clinical trials is conducted in accordance with its investigational plan and protocol and in compliance with applicable regulations and standards, commonly referred to as cGCPs.</w:t>
      </w:r>
    </w:p>
    <w:p>
      <w:pPr>
        <w:spacing w:after="0" w:line="19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cGCPs, or for any other reason, we may need to enter into new arrangements with alternative third parties. This could be costly, and our clinical trials may need to be extended, delayed, terminated or repeated. We may not be able to obtain regulatory approval in a timely fashion, or at all, for the applicable product candidate, or to commercialize such product candidate being tested in such trials.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third-party manufacturers for our product supply.</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To ultimately be successful, our antibody products must be manufactured in commercial quantities in compliance with regulatory requirements and at acceptable costs. J&amp;J is responsible for the manufacture of daratumumab, amivantamab, teclistamab and talquetamab. Novartis International AG (“</w:t>
      </w:r>
      <w:r>
        <w:rPr>
          <w:rFonts w:ascii="Times New Roman" w:cs="Times New Roman" w:eastAsia="Times New Roman" w:hAnsi="Times New Roman"/>
          <w:sz w:val="18"/>
          <w:szCs w:val="18"/>
          <w:b w:val="1"/>
          <w:bCs w:val="1"/>
          <w:color w:val="auto"/>
        </w:rPr>
        <w:t>Novartis</w:t>
      </w:r>
      <w:r>
        <w:rPr>
          <w:rFonts w:ascii="Times New Roman" w:cs="Times New Roman" w:eastAsia="Times New Roman" w:hAnsi="Times New Roman"/>
          <w:sz w:val="18"/>
          <w:szCs w:val="18"/>
          <w:color w:val="auto"/>
        </w:rPr>
        <w:t>”) is responsible for the manufacture of ofatumumab, Amgen Inc. (“</w:t>
      </w:r>
      <w:r>
        <w:rPr>
          <w:rFonts w:ascii="Times New Roman" w:cs="Times New Roman" w:eastAsia="Times New Roman" w:hAnsi="Times New Roman"/>
          <w:sz w:val="18"/>
          <w:szCs w:val="18"/>
          <w:b w:val="1"/>
          <w:bCs w:val="1"/>
          <w:color w:val="auto"/>
        </w:rPr>
        <w:t>Amgen</w:t>
      </w:r>
      <w:r>
        <w:rPr>
          <w:rFonts w:ascii="Times New Roman" w:cs="Times New Roman" w:eastAsia="Times New Roman" w:hAnsi="Times New Roman"/>
          <w:sz w:val="18"/>
          <w:szCs w:val="18"/>
          <w:color w:val="auto"/>
        </w:rPr>
        <w:t>”) is responsible for the manufacture of teprotumumab, AbbVie is responsible for the manufacturing of epcoritamab, and Pfizer Inc. (“</w:t>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is responsible for the manufacturing of tisotumab vedotin.</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For the product candidates we are entirely responsible for manufacturing, we currently rely on a limited number of CMOs and specific sites at those CMOs to manufacture and supply large quantities of our product candidates. We expect to negotiate contracts for commercial production on a product-by-product basis for products that we choose to commercialize on terms that make us responsible for manufacturing.</w:t>
      </w:r>
    </w:p>
    <w:p>
      <w:pPr>
        <w:spacing w:after="0" w:line="18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aware of only a limited number of companies on a worldwide basis that operate manufacturing facilities in which our product candidates can be manufactured under cGMP regulations. It would take a substantial period of time for a contract facility that has not been producing antibodies to begin producing antibodies under cGMP.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 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second part of a clinical trial or for a proposed follow-on clinical trial before we have initial results from the trial, which could result in a loss if we terminate the trial or need to make changes to the product.</w:t>
      </w:r>
    </w:p>
    <w:p>
      <w:pPr>
        <w:spacing w:after="0" w:line="162"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We could also encounter difficulties, delays or inefficiencies in our supply chain, product manufacturing and distribution networks, as well as sales or marketing, due to regulatory actions, shut-downs, work stoppages or strikes, approval delays, withdrawals, recalls, penalties, supply disruptions, shortages or stock-outs at our facilities or third-party facilities that we rely on, reputational harm, the impact to our facilities due to health pandemics or natural or man-made disasters.</w:t>
      </w:r>
    </w:p>
    <w:p>
      <w:pPr>
        <w:spacing w:after="0" w:line="183"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Lastly, CMOs, especially those located in non-U.S. countries, may be subject to or affected by various U.S. legislation, executive orders, regulations, or investigations targeting certain development or economic activities involving those countries. This includes, but is not limited to, the proposed BIOSECURE Act, the Executive Order on Preventing Access to Americans’ Bulk Sensitive Personal Data and U.S. Government-Related Data by Countries of Concern, sanctions, trade restrictions, and other U.S. and international regulatory requirements. These factors could increase costs, reduce the supply of available materials, delay procurement or clinical trials, hinder our ability to secure significant government commitments for potential therapies, and adversely affect our financial condition and business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and our manufacturing partners must comply with applicable laws and regulations, including cGMPs.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or similar regulatory agencies at any time may also implement new standards or change their interpretation and enforcement of existing standards for manufacturing, packaging or testing of products.</w:t>
      </w:r>
    </w:p>
    <w:p>
      <w:pPr>
        <w:spacing w:after="0" w:line="19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Manufacturers of pharmaceutical and biologic products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 comply with its obligations to us or under applicable regulations, our ability to provide trial materials in our pre-clinical trials and clinical trials would be jeopardized. Any delay or interruption in the supply of pre-clinical trial or clinical trial materials could delay the completion of our pre-clinical trials and clinical trials, increase the costs associated with maintaining our pre-clinical trial and clinical trial programs and, depending upon the period of delay, require us to commence new trials at significant additional expense or terminate the trials completely.</w:t>
      </w:r>
    </w:p>
    <w:p>
      <w:pPr>
        <w:spacing w:after="0" w:line="18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we lack direct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collaboration partners may not be able to continue clinical trials for our product candidates, obtain regulatory approval for or successfully commercialize our products, and we or our collaboration partners may be held liable for any injuries sustained as a result. Any of these factors could cause a delay in clinical trials, regulatory submissions, approvals or commercialization of our products and product candidates or entail higher costs or impair our reputation. No assurance is given that third-party manufacturers will be able to comply adequately with the applicable regulations.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employees and collaboration partners may engage in misconduct or other improper activities.</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and collaboration partners. Misconduct by our collaboration partners, vendors or suppliers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U.S., the EU and other jurisdictions; failure to comply with the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other applicable anti-bribery laws; failure to report financial information or 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collaboration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Specifically, the FCPA prohibits companies and their intermediaries from making or offering improper payments to non-U.S. officials for the purpose of obtaining or retaining business, and requires companies listed on a U.S. stock exchange to maintain a system of adequate internal accounting controls and to make and keep books, records and accounts that accurately and fairly reflect transactions and dispositions of assets. Because of the predominance of government-sponsored health care systems around the world, many of our commercial relationships outside the U.S. are with governmental entities, and personnel of such entities may be considered non-U.S. officials for purposes of the FCPA. Violations of the FCPA and other applicable anti-bribery laws are punishable by criminal fines and imprisonment, civil penalties, disgorgement of profits, injunctions and debarment from government contracts as well as other remedial measures. We have adopted an updated written code of business conduct, an anti-corruption, anti-bribery policy, and other policies and procedures to assist us and our personnel in complying with the FCPA and other applicable anti-bribery laws, but there can be no assurance that such policies will be effective in preventing or deterring violations of the FCPA, whether intentional or not. Our personnel and others acting on our behalf could take actions that violate these requirements, which could adversely affect our reputation,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product development involves a substantial degree of uncertainty.</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product pipeline currently includes twelve proprietary products and product candidates. There are also ongoing clinical trials for daratumumab, amivantamab, teclistamab and talquetamab by J&amp;J, ofatumumab by Novartis and teprotumumab by Amgen, and three additional product candidates being developed by our collaboration partners. Many of our current product candidates are in relatively early stages of development, and all of our product candidates will require significant further development, financial resources and personnel to obtain regulatory approval and develop them into commercially viable products, if at all.</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Due to the uncertain, time-consuming and costly clinical development and regulatory approval process, we or our collaboration partners may not successfully develop any of our product candidates, or we or our collaboration partners may choose to discontinue the development or co-development of product candidates for a variety of reasons, including due to safety, risk versus benefit profile, exclusivity, competitive landscape, commercialization potential, production limitations or prioritization of our or our collaboration partners’ resources. In addition, our research programs may initially show promise in identifying potential product candidates yet fail to yield product candidates suitable for clinical development or commercialization. Likewise, we and our collaboration partners have to make decisions about which clinical stage and pre-clinical product candidates to develop and advance. As one example among others, in October 2024, we decided to discontinue the DuoBody-CD3xB7H4 (GEN1047), DuoBody-CD3xCD30 (GEN3017)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GEN1056 programs due to strategic evaluation within the context of our portfolio. We may not have the resources to invest in all of our current product candidates, or clinical data and other development considerations may not support the advancement of one or more product candidates. Decision-making about which product candidates to prioritize involves inherent uncertainty, and our and our collaboration partners’ development program decision-making and resource prioritization decisions may not improve our results of operations or future growth prospects.</w:t>
      </w:r>
    </w:p>
    <w:p>
      <w:pPr>
        <w:spacing w:after="0" w:line="183"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Many of our proprietary and partnered product candidates are created with, and dependent upon, our proprietary technologies. In addition, tisotumab vedotin was developed using Pfizer’s proprietary antibody-drug conjugate (“</w:t>
      </w:r>
      <w:r>
        <w:rPr>
          <w:rFonts w:ascii="Times New Roman" w:cs="Times New Roman" w:eastAsia="Times New Roman" w:hAnsi="Times New Roman"/>
          <w:sz w:val="18"/>
          <w:szCs w:val="18"/>
          <w:b w:val="1"/>
          <w:bCs w:val="1"/>
          <w:color w:val="auto"/>
        </w:rPr>
        <w:t>ADC</w:t>
      </w:r>
      <w:r>
        <w:rPr>
          <w:rFonts w:ascii="Times New Roman" w:cs="Times New Roman" w:eastAsia="Times New Roman" w:hAnsi="Times New Roman"/>
          <w:sz w:val="18"/>
          <w:szCs w:val="18"/>
          <w:color w:val="auto"/>
        </w:rPr>
        <w:t>”) technology in combination with our proprietary tissue factor antibody (“</w:t>
      </w:r>
      <w:r>
        <w:rPr>
          <w:rFonts w:ascii="Times New Roman" w:cs="Times New Roman" w:eastAsia="Times New Roman" w:hAnsi="Times New Roman"/>
          <w:sz w:val="18"/>
          <w:szCs w:val="18"/>
          <w:b w:val="1"/>
          <w:bCs w:val="1"/>
          <w:color w:val="auto"/>
        </w:rPr>
        <w:t>TF</w:t>
      </w:r>
      <w:r>
        <w:rPr>
          <w:rFonts w:ascii="Times New Roman" w:cs="Times New Roman" w:eastAsia="Times New Roman" w:hAnsi="Times New Roman"/>
          <w:sz w:val="18"/>
          <w:szCs w:val="18"/>
          <w:color w:val="auto"/>
        </w:rPr>
        <w:t>”). Any failures or setbacks with respect to our proprietary technologies or Pfizer’s ADC development programs, including adverse effects resulting from the use of these technologies in human clinical trials and/or the imposition of clinical holds on trials of any product candidates using our proprietary technologies, could have a detrimental impact on our clinical pipeline, and specifically on the commercialization of tisotumab vedotin in existing and new territories.</w:t>
      </w:r>
    </w:p>
    <w:p>
      <w:pPr>
        <w:spacing w:after="0" w:line="185"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Additionally, with the exception of tisotumab vedotin, epcoritamab, rinatabart sesutecan (“</w:t>
      </w:r>
      <w:r>
        <w:rPr>
          <w:rFonts w:ascii="Times New Roman" w:cs="Times New Roman" w:eastAsia="Times New Roman" w:hAnsi="Times New Roman"/>
          <w:sz w:val="18"/>
          <w:szCs w:val="18"/>
          <w:b w:val="1"/>
          <w:bCs w:val="1"/>
          <w:color w:val="auto"/>
        </w:rPr>
        <w:t>Rina-S</w:t>
      </w:r>
      <w:r>
        <w:rPr>
          <w:rFonts w:ascii="Times New Roman" w:cs="Times New Roman" w:eastAsia="Times New Roman" w:hAnsi="Times New Roman"/>
          <w:sz w:val="18"/>
          <w:szCs w:val="18"/>
          <w:color w:val="auto"/>
        </w:rPr>
        <w:t>”), and acasunlimab we have not ourselves, or in collaboration, advanced any product candidates through late-stage clinical development. If we are unable to continue to develop late-stage development capabilities, we will be required to continue to contract with third parties via licensing and development agreements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 and cause the market price of our ADSs to decline.</w:t>
      </w:r>
    </w:p>
    <w:p>
      <w:pPr>
        <w:spacing w:after="0" w:line="18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Furthermore, we may develop companion diagnostics, both during our clinical trials and in connection with the commercialization of our product candidates, which are subject to regulation by the FDA, the EMA, and comparable foreign regulatory authorities as companion diagnostic medical devices, and typically require separate regulatory approval prior to commercial use. Any delay or failure by us or our collaboration partners to obtain regulatory approval of companion diagnostics could harm our development strategy and/or delay or prevent approval of our product candidates, which may adversely affect our business, financial condition and results of operations.</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will need to undergo clinical trials that are time-consuming and expensive, the outcomes of which are unpredictable, and for which there is a high risk of failure.</w:t>
      </w:r>
    </w:p>
    <w:p>
      <w:pPr>
        <w:spacing w:after="0" w:line="159"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The FDA, EMA, and comparable regulatory authorities in other jurisdictions must approve new product candidates before they can be marketed, promoted or sold in those territories. We or our collaboration partners must provide these regulatory authorities with data from pre-clinical and clinical trials that demonstrate that our product candidates are safe and effective for a specific indication before they can be approved for commercial distribution. We cannot be certain that our or our collaboration partners’ pre-clinical or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access or reimbursement of approved products or validations or endorsements of treatment options. Such third parties may require additional data or trials for their determinations.</w:t>
      </w:r>
    </w:p>
    <w:p>
      <w:pPr>
        <w:spacing w:after="0" w:line="173"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Pre-clinical trials and clinical trials are long, expensive and unpredictable processes that can be subject to extensive delays or failure.</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may be required to revise our development plans and extend dose exploration as a result of FDA’s Project Optimus, which requires the implementation of strategies for dose finding and dose optimization that leverage pre-clinical and clinical data in dose selection, including randomized evaluations of a range of doses in clinical trials. In support of this initiative, the FDA may request sponsors of oncology product candidates to conduct dose optimization studies pre- or post-approval.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It may take several years and require significant expenditures to complete the pre-clinical and clinical trials necessary to commercialize a product candidate, and delays or failures are inherently unpredictable and can occur at any stage. Even if we or our collaboration partners obtain positive results from pre-clinical or early clinical trials, we or they may not achieve the same success in subsequent trials. In particular, the results of pre-clinical trials are based on animal,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or other laboratory testing and may not be predictive of the safety or efficacy of our product candidates in humans. Similarly, topline or interim results of clinical trials do not necessarily predict final results. A number of companies in the pharmaceutical, biopharmaceutical and biotechnology industries have suffered significant setbacks in advanced clinical trials even after obtaining promising results in earlier trials, and we cannot be certain that we or our collaboration partners will not face similar setbacks. If topline or interim data that we or our collaboration partners report differ from final results, or if others, including regulatory authorities, disagree with our assumptions, calculations, conclusions, or analyses or interpret or weigh the data differently, or if subsequent trials are unsuccessful, we or our collaboration partners may be unable to obtain marketing approval for product candidates on a timely basis or at all, which could impact our reputation, business, financial condition, results of operations and future growth prospects.</w:t>
      </w:r>
    </w:p>
    <w:p>
      <w:pPr>
        <w:spacing w:after="0" w:line="16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Furthermore, the design of a clinical trial can determine whether its results will support approval of a product, and flaws in the design of a clinical trial may not become apparent until the clinical trial is well advanced or completed. The failure of clinical trials to demonstrate safety and efficacy for our desired indications could harm the development of the relevant product candidate as well as other product candidates employing the same technology, which could have a significant impact on our product pipeline and future growth prospects. An unfavorable outcome in one or more trials would be a major setback for our product candidates and for us and may require us or our collaboration partners to delay, reduce the scope of or eliminate one or more product development programs, which could have a material adverse effect on our business, financial position, results of operations and future growth prospects. Any delays in product development may allow our competitors to bring products to market before we do or shorten any periods during which we or our collaboration partners have the exclusive right to commercialize our product candidates. In addition, advancements or changes in the industry standards or techniques may impact the value and recognition of our and our collaboration partners’ clinical data. Failure to adopt new industry standards may result in less comparable or useful trial results. Alternately, early adoption of emerging protocols or endpoints may result in data that is not recognized by certain regulatory bodies or industry professionals, or if such protocols are later found to be ineffective, may require us or our collaboration partners to change the design of our clinical trials.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clinical trials of our product candidates, we face a number of risks, including risks that:</w:t>
      </w:r>
    </w:p>
    <w:p>
      <w:pPr>
        <w:spacing w:after="0" w:line="185" w:lineRule="exact"/>
        <w:rPr>
          <w:sz w:val="20"/>
          <w:szCs w:val="20"/>
          <w:color w:val="auto"/>
        </w:rPr>
      </w:pPr>
    </w:p>
    <w:p>
      <w:pPr>
        <w:ind w:left="1040" w:right="399" w:hanging="315"/>
        <w:spacing w:after="0" w:line="282" w:lineRule="auto"/>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collaboration partners may be unable to manufacture or obtain sufficient quantities of qualified materials for clinical trials or may be required to modify manufacturing processes;</w:t>
      </w:r>
    </w:p>
    <w:p>
      <w:pPr>
        <w:spacing w:after="0" w:line="134" w:lineRule="exact"/>
        <w:rPr>
          <w:rFonts w:ascii="Times New Roman" w:cs="Times New Roman" w:eastAsia="Times New Roman" w:hAnsi="Times New Roman"/>
          <w:sz w:val="18"/>
          <w:szCs w:val="18"/>
          <w:color w:val="231F20"/>
        </w:rPr>
      </w:pPr>
    </w:p>
    <w:p>
      <w:pPr>
        <w:ind w:left="1040" w:right="139" w:hanging="315"/>
        <w:spacing w:after="0" w:line="282" w:lineRule="auto"/>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recruitment may be slower than expected and we may have difficulty accessing potential clinical trial sites;</w:t>
      </w:r>
    </w:p>
    <w:p>
      <w:pPr>
        <w:spacing w:after="0" w:line="121" w:lineRule="exact"/>
        <w:rPr>
          <w:rFonts w:ascii="Times New Roman" w:cs="Times New Roman" w:eastAsia="Times New Roman" w:hAnsi="Times New Roman"/>
          <w:sz w:val="18"/>
          <w:szCs w:val="18"/>
          <w:color w:val="231F20"/>
        </w:rPr>
      </w:pPr>
    </w:p>
    <w:p>
      <w:pPr>
        <w:ind w:left="1040" w:right="559" w:hanging="315"/>
        <w:spacing w:after="0" w:line="282" w:lineRule="auto"/>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product candidate may be ineffective, inferior to existing approved products for the same indications, unacceptably toxic or have unacceptable side effects;</w:t>
      </w:r>
    </w:p>
    <w:p>
      <w:pPr>
        <w:spacing w:after="0" w:line="121" w:lineRule="exact"/>
        <w:rPr>
          <w:rFonts w:ascii="Times New Roman" w:cs="Times New Roman" w:eastAsia="Times New Roman" w:hAnsi="Times New Roman"/>
          <w:sz w:val="18"/>
          <w:szCs w:val="18"/>
          <w:color w:val="231F20"/>
        </w:rPr>
      </w:pPr>
    </w:p>
    <w:p>
      <w:pPr>
        <w:ind w:left="1040" w:right="479" w:hanging="315"/>
        <w:spacing w:after="0" w:line="282" w:lineRule="auto"/>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may die or suffer other adverse effects for reasons that may or may not be related to the product candidate being tested;</w:t>
      </w:r>
    </w:p>
    <w:p>
      <w:pPr>
        <w:spacing w:after="0" w:line="134" w:lineRule="exact"/>
        <w:rPr>
          <w:rFonts w:ascii="Times New Roman" w:cs="Times New Roman" w:eastAsia="Times New Roman" w:hAnsi="Times New Roman"/>
          <w:sz w:val="18"/>
          <w:szCs w:val="18"/>
          <w:color w:val="231F20"/>
        </w:rPr>
      </w:pPr>
    </w:p>
    <w:p>
      <w:pPr>
        <w:ind w:left="1040" w:right="119" w:hanging="315"/>
        <w:spacing w:after="0" w:line="258" w:lineRule="auto"/>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clinical trial may be delayed, suspended or terminated by the institutional review board or ethics committee responsible for overseeing the clinical trial, by regulatory authorities or by us or our collaboration partners due to failure to meet clinical protocols, safety issues or adverse effects, failure to demonstrate product efficacy, changes in clinical protocols, may require additional dose finding and/or dose optimization, or applicable regulatory requirements, lack of funding or other factors;</w:t>
      </w:r>
    </w:p>
    <w:p>
      <w:pPr>
        <w:spacing w:after="0" w:line="183" w:lineRule="exact"/>
        <w:rPr>
          <w:rFonts w:ascii="Times New Roman" w:cs="Times New Roman" w:eastAsia="Times New Roman" w:hAnsi="Times New Roman"/>
          <w:sz w:val="18"/>
          <w:szCs w:val="18"/>
          <w:color w:val="231F20"/>
        </w:rPr>
      </w:pPr>
    </w:p>
    <w:p>
      <w:pPr>
        <w:ind w:left="1040" w:right="199" w:hanging="315"/>
        <w:spacing w:after="0" w:line="266" w:lineRule="auto"/>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investigators or other third parties could conduct clinical trials on our products or product candidates that could lead to adverse events or results that could negatively impact the development, regulatory approval or marketability of such products;</w:t>
      </w:r>
    </w:p>
    <w:p>
      <w:pPr>
        <w:spacing w:after="0" w:line="17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extension trials on long-term tolerance could invalidate the use of our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219" w:hanging="315"/>
        <w:spacing w:after="0" w:line="282" w:lineRule="auto"/>
        <w:tabs>
          <w:tab w:leader="none" w:pos="104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trials may not demonstrate statistically sufficient levels of safety and efficacy to obtain the requisite regulatory approvals;</w:t>
      </w:r>
    </w:p>
    <w:p>
      <w:pPr>
        <w:spacing w:after="0" w:line="161" w:lineRule="exact"/>
        <w:rPr>
          <w:rFonts w:ascii="Times New Roman" w:cs="Times New Roman" w:eastAsia="Times New Roman" w:hAnsi="Times New Roman"/>
          <w:sz w:val="18"/>
          <w:szCs w:val="18"/>
          <w:color w:val="231F20"/>
        </w:rPr>
      </w:pPr>
    </w:p>
    <w:p>
      <w:pPr>
        <w:ind w:left="1040" w:right="219" w:hanging="315"/>
        <w:spacing w:after="0" w:line="266" w:lineRule="auto"/>
        <w:tabs>
          <w:tab w:leader="none" w:pos="104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data is sufficient for regulatory approval, it may not be sufficient to secure pricing reimbursement or to secure validation of our products by key industry players, which could delay or prevent the commercial launch of a product; and</w:t>
      </w:r>
    </w:p>
    <w:p>
      <w:pPr>
        <w:spacing w:after="0" w:line="17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collaboration partners or CROs may be unable or unwilling to perform under their contracts.</w:t>
      </w:r>
    </w:p>
    <w:p>
      <w:pPr>
        <w:spacing w:after="0" w:line="221"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not accept data from trials we or our collaboration partners conduct outside the U.S. or may require additional U.S.-based trials as a condition of regulatory approval.</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and our collaboration partners have conducted, currently are conducting and intend in the future to conduct clinical trials outside the U.S., including in the EU where we are headquartered. Although the FDA may accept data from clinical trials conducted outside the U.S., acceptance of this data is subject to certain conditions imposed by the FDA, including with respect to compliance with cGCPs and applicability of the data to the U.S. population and U.S. medical practice in ways that the FDA deems clinically meaningful. If the FDA does not accept the data from any clinical trials that we or our collaboration partners conduct outside the U.S., it would likely result in the need for additional clinical trials, which would be costly and time-consuming and delay or permanently halt our ability to develop and market these product candidates for the proposed indications in the U.S. In other jurisdictions, for instance, in Japan, there is a similar risk regarding the acceptability of clinical trial data conducted outside of that jurisdiction.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or our collaboration partners may encounter difficulties enrolling patients in our clinical trials.</w:t>
      </w:r>
    </w:p>
    <w:p>
      <w:pPr>
        <w:spacing w:after="0" w:line="229"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or our collaboration partners may experience difficulties in patient enrollment in our clinical trials for a variety of reasons, including:</w:t>
      </w:r>
    </w:p>
    <w:p>
      <w:pPr>
        <w:spacing w:after="0" w:line="176"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and nature of the patient population;</w:t>
      </w:r>
    </w:p>
    <w:p>
      <w:pPr>
        <w:spacing w:after="0" w:line="22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patient eligibility criteria defined in the protocol;</w:t>
      </w:r>
    </w:p>
    <w:p>
      <w:pPr>
        <w:spacing w:after="0" w:line="22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trial population required for analysis of the trial’s primary endpoints;</w:t>
      </w:r>
    </w:p>
    <w:p>
      <w:pPr>
        <w:spacing w:after="0" w:line="22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proximity of patients to trial sites;</w:t>
      </w:r>
    </w:p>
    <w:p>
      <w:pPr>
        <w:spacing w:after="0" w:line="22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design of the trial;</w:t>
      </w:r>
    </w:p>
    <w:p>
      <w:pPr>
        <w:spacing w:after="0" w:line="22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231F20"/>
        </w:rPr>
      </w:pPr>
    </w:p>
    <w:p>
      <w:pPr>
        <w:ind w:left="1040" w:right="179" w:hanging="315"/>
        <w:spacing w:after="0" w:line="282" w:lineRule="auto"/>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competing clinical trials for similar therapies or other new therapeutics not involving our product candidates and/or related technologies;</w:t>
      </w:r>
    </w:p>
    <w:p>
      <w:pPr>
        <w:spacing w:after="0" w:line="161" w:lineRule="exact"/>
        <w:rPr>
          <w:rFonts w:ascii="Times New Roman" w:cs="Times New Roman" w:eastAsia="Times New Roman" w:hAnsi="Times New Roman"/>
          <w:sz w:val="18"/>
          <w:szCs w:val="18"/>
          <w:color w:val="231F20"/>
        </w:rPr>
      </w:pPr>
    </w:p>
    <w:p>
      <w:pPr>
        <w:ind w:left="1040" w:right="259" w:hanging="315"/>
        <w:spacing w:after="0" w:line="266" w:lineRule="auto"/>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7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maintain patient consents; and</w:t>
      </w:r>
    </w:p>
    <w:p>
      <w:pPr>
        <w:spacing w:after="0" w:line="225"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not complete a clinical trial.</w:t>
      </w:r>
    </w:p>
    <w:p>
      <w:pPr>
        <w:spacing w:after="0" w:line="225" w:lineRule="exact"/>
        <w:rPr>
          <w:sz w:val="20"/>
          <w:szCs w:val="20"/>
          <w:color w:val="auto"/>
        </w:rPr>
      </w:pPr>
    </w:p>
    <w:p>
      <w:pPr>
        <w:jc w:val="center"/>
        <w:ind w:left="60" w:right="359"/>
        <w:spacing w:after="0" w:line="312" w:lineRule="auto"/>
        <w:rPr>
          <w:sz w:val="20"/>
          <w:szCs w:val="20"/>
          <w:color w:val="auto"/>
        </w:rPr>
      </w:pPr>
      <w:r>
        <w:rPr>
          <w:rFonts w:ascii="Times New Roman" w:cs="Times New Roman" w:eastAsia="Times New Roman" w:hAnsi="Times New Roman"/>
          <w:sz w:val="17"/>
          <w:szCs w:val="17"/>
          <w:color w:val="auto"/>
        </w:rPr>
        <w:t>In addition, our and our collaboration partners’ clinical trials will compete with other clinical trials for product candidates that are in the same therapeutic areas as our product candidates, and this competition will reduce the number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and types of patients available for our and our collaboration partners’ clinical trials. We expect that we and our collaboration partners will conduct some of our clinical trials at the same clinical trial sites that some of our competitors use, which will reduce the number of patients who are available for our and our collaboration partners’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Even if we and our collaboration partners are able to enroll a sufficient number of patients in our clinical trials, delays in patient enrollment may result in increased costs or may affect the timing or outcome of the planned clinical trials, which could prevent completion of these trials and adversely affect our and our collaboration partners’ ability to advance the development of our product candidates.</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approval granted for our products or product candidates in the U.S. does not assure approval of such products in Japan, the EU or other foreign jurisdictions.</w:t>
      </w:r>
    </w:p>
    <w:p>
      <w:pPr>
        <w:spacing w:after="0" w:line="15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order to market and sell our drugs in Japan, the EU and other jurisdictions, we and our collaboration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many countries outside the U.S. require that the drug be approved for reimbursement before the drug can be approved for sale in that country. We and our collaboration partners may not obtain approvals from regulatory authorities outside the U.S. on a timely basis, if at all. Approval by the FDA does not ensure approval by regulatory authorities in other countries or jurisdictions, and approval by one regulatory authority outside of the U.S. does not ensure approval by regulatory authorities in other countries or jurisdictions or by the FDA.</w:t>
      </w:r>
    </w:p>
    <w:p>
      <w:pPr>
        <w:spacing w:after="0" w:line="190"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designations for expedited development or review or such designations may not lead to a faster development or regulatory review. Acceptance into an expedited review program or receipt of accelerated approvals does not assure ultimate full regulatory approval.</w:t>
      </w:r>
    </w:p>
    <w:p>
      <w:pPr>
        <w:spacing w:after="0" w:line="19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Fast Track Designation (“</w:t>
      </w:r>
      <w:r>
        <w:rPr>
          <w:rFonts w:ascii="Times New Roman" w:cs="Times New Roman" w:eastAsia="Times New Roman" w:hAnsi="Times New Roman"/>
          <w:sz w:val="18"/>
          <w:szCs w:val="18"/>
          <w:b w:val="1"/>
          <w:bCs w:val="1"/>
          <w:color w:val="auto"/>
        </w:rPr>
        <w:t>FTD</w:t>
      </w:r>
      <w:r>
        <w:rPr>
          <w:rFonts w:ascii="Times New Roman" w:cs="Times New Roman" w:eastAsia="Times New Roman" w:hAnsi="Times New Roman"/>
          <w:sz w:val="18"/>
          <w:szCs w:val="18"/>
          <w:color w:val="auto"/>
        </w:rPr>
        <w:t>”), Breakthrough Therapy Designation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and the accelerated approval programs of the FDA and other regulatory authorities are intended to expedite the review and approval of drug candidates in certain circumstances. These designations and programs do not, however, ensure that marketing approval will be granted in a particular timeframe or at all. The FDA and other regulatory authorities have broad discretion regarding whether or not to grant these designations or include product candidates within pilot programs, and, even if we or our collaboration partners believe a particular product candidate is eligible for these designations or programs, we cannot assure that such authority would agree. Even if we or our collaboration partners receive such designations or are eligible for inclusion in expedited review pilot programs in the future, 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 or program. Furthermore, these designations and pilot programs do not change the scientific and medical standard for approval or the quality of evidence necessary to support approval. As a result, applications for product candidates granted expedited review or BTD or FTD designation may be ultimately denied based on trial data, trial design or other factors, and even if our product candidates are accepted into such a program, this does not assure ultimate approval by the FDA or the applicable regulatory body. Any accelerated approval received for our products, such as the approvals for EPKINLY, is contingent on successful completion of diligently conducted post-marketing confirmatory trials, and accelerated approval may be withdrawn if post-marketing trials do not verify the product’s benefit or demonstrate sufficient clinical benefit to justify associated risks, other evidence demonstrates that the product is not safe or effective, or the FDA considers promotional materials relating to the product to be false or misleading. The terms and conditions of expedited development and review programs are subject to change as a result of regulatory developments, and any such changes may adversely affect our ability to secure or maintain accelerated approvals or BTD, FTD or similar designations from the FDA or another regulator. See “</w:t>
      </w:r>
      <w:r>
        <w:rPr>
          <w:rFonts w:ascii="Times New Roman" w:cs="Times New Roman" w:eastAsia="Times New Roman" w:hAnsi="Times New Roman"/>
          <w:sz w:val="18"/>
          <w:szCs w:val="18"/>
          <w:i w:val="1"/>
          <w:iCs w:val="1"/>
          <w:color w:val="auto"/>
        </w:rPr>
        <w:t>Item 4 –Information on the Company —Government Regulation</w:t>
      </w:r>
      <w:r>
        <w:rPr>
          <w:rFonts w:ascii="Times New Roman" w:cs="Times New Roman" w:eastAsia="Times New Roman" w:hAnsi="Times New Roman"/>
          <w:sz w:val="18"/>
          <w:szCs w:val="18"/>
          <w:color w:val="auto"/>
        </w:rPr>
        <w:t>” for more information about BTD, FTD and accelerated approval programs for expedited review.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reports of adverse events or safety concerns relating to our products or product candidates.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 with most biological drug products, use of our products and product candidates is associated with undesirable side effects or adverse events which can vary in severity from minor reactions to death and in frequency from infrequent to prevalent. In particular, many of our and our collaboration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 significant adverse event profiles. During the course of treatment, these patients may suffer adverse medical events or die for reasons that may or may not be related to our product candidates. Reports of adverse events or safety concerns could have negative impacts on our or our collaboration partners’ clinical trials, regulatory processes, reputation and results, whether or not actually shown to be related to our product candidates.</w:t>
      </w:r>
    </w:p>
    <w:p>
      <w:pPr>
        <w:spacing w:after="0" w:line="18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Reports of adverse events or safety concerns involving our products or product candidates have sometimes resulted and can in the future result in regulatory authorities interrupting, delaying or halting clinical trials (or otherwise negatively impacting patient enrollment in or completion of clinical trials), limiting, denying, withdrawing approval of or recalling such product for any or all indications, including the use of such product in its previously approved indications, or may require additional clinical trials, updates to the prescribing information, including boxed warnings, contraindications, or other labeling statements, implementation of a Risk Evaluation and Mitigation Strategy (“</w:t>
      </w:r>
      <w:r>
        <w:rPr>
          <w:rFonts w:ascii="Times New Roman" w:cs="Times New Roman" w:eastAsia="Times New Roman" w:hAnsi="Times New Roman"/>
          <w:sz w:val="18"/>
          <w:szCs w:val="18"/>
          <w:b w:val="1"/>
          <w:bCs w:val="1"/>
          <w:color w:val="auto"/>
        </w:rPr>
        <w:t>REMS</w:t>
      </w:r>
      <w:r>
        <w:rPr>
          <w:rFonts w:ascii="Times New Roman" w:cs="Times New Roman" w:eastAsia="Times New Roman" w:hAnsi="Times New Roman"/>
          <w:sz w:val="18"/>
          <w:szCs w:val="18"/>
          <w:color w:val="auto"/>
        </w:rPr>
        <w:t>”) or the issuance of field alerts, warnings or other communications to physicians, pharmacies or patients. In certain cases, regulatory authorities may order us or our collaboration partners to conduct additional trials or to cease further development or commercialization of the product or product candidate entirely. Furthermore, actual or potential drug-related side effects can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has the potential to prevent us or our collaboration partners from developing, commercializing or maintaining market acceptance of the relevant product or product candidate or to substantially increase commercialization costs, which in turn could significantly harm our business, financial condition, results of operations and future growth prospects.</w:t>
      </w:r>
    </w:p>
    <w:p>
      <w:pPr>
        <w:spacing w:after="0" w:line="19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Adverse events may also impact the sales of our products. We may be required to further update the prescribing information for our products, including boxed warnings, limitations of use, contraindications, warnings and precautions, and adverse reactions, based on reports of adverse events or safety concerns, or implement a REMS, which could adversely affect the acceptance of our products in the market, make competition easier or make it more difficult or expensive for us or our collaboration partners to distribute our products. In addition, the reporting of adverse safety events involving our products or product candidates, or public rumors about such events, could cause the price of ADSs to decline or experience periods of volatility.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Several of our products and product candidates are used or proposed to be used in combination with other therapeutic products, which exposes us to risks related to those products.</w:t>
      </w:r>
    </w:p>
    <w:p>
      <w:pPr>
        <w:spacing w:after="0" w:line="159"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Part of the clinical development strategy for certain of our product candidates, including daratumumab, is to seek to identify patients or patient subsets within a disease category whose treatment may benefit from our products in combination with other therapeutic products. Approval of a product for the treatment of a disease indication in combination with other therapeutic products exposes us and our collaboration partners to certain risks related to those other therapeutic products, including the risks that such products will become less competitive or obsolete or will be found to have safety concerns, which could potentially result in removal of such products from the market. Furthermore, seeking to heighten immune or other therapeutic responses through combination treatments carries an inherent risk that the combination may cause unexpected side effects or safety issues not observed in treatment with the individual products alone.</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product liability claims related to the use or misuse of our products or technologies.</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appropriate,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 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damage to our reputation, loss of any potential future revenue and a decline in the market price of our ADSs.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rapid technological change.</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rapidly advancing technologies and intense competition. Many third parties, including pharmaceutical companies, biotechnology companies, academic institutions and other research organizations, compete with us in developing various approaches to antibody therapy and other competing therapies. Many of our competitors have significantly greater financial resources and expertise in research and development, manufacturing, pre-clinical testing, conducting clinical trials, obtaining regulatory approval and marketing than we do, and earlier-stage companies may also prove to be significant competitors, especially through collaborative arrangements with larger collaboration partners. In addition, many of these competitors are active in seeking patent protection and licensing arrangements in anticipation of collecting royalties for use of technology that they have developed.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indications that our products and product candidates are designed for and being developed to treat. In addition, our DuoBody and other technology partners may develop compounds utilizing our technologies that may compete with product candidates that we are developing. See “</w:t>
      </w:r>
      <w:r>
        <w:rPr>
          <w:rFonts w:ascii="Times New Roman" w:cs="Times New Roman" w:eastAsia="Times New Roman" w:hAnsi="Times New Roman"/>
          <w:sz w:val="18"/>
          <w:szCs w:val="18"/>
          <w:i w:val="1"/>
          <w:iCs w:val="1"/>
          <w:color w:val="auto"/>
        </w:rPr>
        <w:t>Item 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Overview—Competition</w:t>
      </w:r>
      <w:r>
        <w:rPr>
          <w:rFonts w:ascii="Times New Roman" w:cs="Times New Roman" w:eastAsia="Times New Roman" w:hAnsi="Times New Roman"/>
          <w:sz w:val="18"/>
          <w:szCs w:val="18"/>
          <w:color w:val="auto"/>
        </w:rPr>
        <w:t>” below for more information about our competitors.</w:t>
      </w:r>
    </w:p>
    <w:p>
      <w:pPr>
        <w:spacing w:after="0" w:line="193"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color w:val="auto"/>
        </w:rPr>
        <w:t>In the U.S., the Biologics Price Competition and Innovation Act of 2009 (“</w:t>
      </w:r>
      <w:r>
        <w:rPr>
          <w:rFonts w:ascii="Times New Roman" w:cs="Times New Roman" w:eastAsia="Times New Roman" w:hAnsi="Times New Roman"/>
          <w:sz w:val="18"/>
          <w:szCs w:val="18"/>
          <w:b w:val="1"/>
          <w:bCs w:val="1"/>
          <w:color w:val="auto"/>
        </w:rPr>
        <w:t>BPCIA</w:t>
      </w:r>
      <w:r>
        <w:rPr>
          <w:rFonts w:ascii="Times New Roman" w:cs="Times New Roman" w:eastAsia="Times New Roman" w:hAnsi="Times New Roman"/>
          <w:sz w:val="18"/>
          <w:szCs w:val="18"/>
          <w:color w:val="auto"/>
        </w:rPr>
        <w:t>”), created an abbreviated approval pathway for biological products that are demonstrated to be “highly similar” or “biosimilar” to or “interchangeable” with an FDA-approved biological product, which may be used by our competitors to receive approval for, and commercialize, product candidates that compete with our products with less effort and expense than would otherwise be required, and any period of exclusivity for which our products qualify may be reduced to a shorter period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839"/>
        <w:spacing w:after="0" w:line="284" w:lineRule="auto"/>
        <w:rPr>
          <w:sz w:val="20"/>
          <w:szCs w:val="20"/>
          <w:color w:val="auto"/>
        </w:rPr>
      </w:pPr>
      <w:r>
        <w:rPr>
          <w:rFonts w:ascii="Times New Roman" w:cs="Times New Roman" w:eastAsia="Times New Roman" w:hAnsi="Times New Roman"/>
          <w:sz w:val="18"/>
          <w:szCs w:val="18"/>
          <w:color w:val="auto"/>
        </w:rPr>
        <w:t>than we expect due to regulatory action or otherwise. See “</w:t>
      </w:r>
      <w:r>
        <w:rPr>
          <w:rFonts w:ascii="Times New Roman" w:cs="Times New Roman" w:eastAsia="Times New Roman" w:hAnsi="Times New Roman"/>
          <w:sz w:val="18"/>
          <w:szCs w:val="18"/>
          <w:i w:val="1"/>
          <w:iCs w:val="1"/>
          <w:color w:val="auto"/>
        </w:rPr>
        <w:t>Item 4B—Business Overview—Competition</w:t>
      </w:r>
      <w:r>
        <w:rPr>
          <w:rFonts w:ascii="Times New Roman" w:cs="Times New Roman" w:eastAsia="Times New Roman" w:hAnsi="Times New Roman"/>
          <w:sz w:val="18"/>
          <w:szCs w:val="18"/>
          <w:color w:val="auto"/>
        </w:rPr>
        <w:t>” for more information on this regulatory pathway.</w:t>
      </w:r>
    </w:p>
    <w:p>
      <w:pPr>
        <w:spacing w:after="0" w:line="16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products and technologies that are more effective than our products and product candidates or that would render our technology obsolete or noncompetitive. It is also possible that our competitors will succeed in developing biosimilar or interchangeable products for our products or our product candidates. Competition is increasing from companies that are utilizing artificial intelligence and other computational approaches for drug discovery, including the development of antibody therapies and other competing therapies. These competitors may incorporate AI into their businesses more quickly or more successfully than us, which could impair our ability to compete effectively and adversely affect our results of operations. We anticipate that we will continue to face increasing competition in the future as new companies enter our market and scientific developments surrounding biosimilars and other cancer therapies continue to accelerate. We cannot predict the extent to which these developments will impact potential future sales of our products or our product candidates.</w:t>
      </w:r>
    </w:p>
    <w:p>
      <w:pPr>
        <w:spacing w:after="0" w:line="19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addition, the pricing of our products depends, and the pricing of our products and product candidates, if and when approved for marketing, will depend, in part, on the pricing strategies adopted by our competitors. If we or our collaboration partners are forced to reduce the prices of our products, or if sales of our products fall due to competitive pricing, our revenue from milestone payments, sales or royalties related to such products will be negatively affected.</w:t>
      </w:r>
    </w:p>
    <w:p>
      <w:pPr>
        <w:spacing w:after="0" w:line="18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Any products we or our collaboration partners are able to commercialize in the U.S. and the EU may be subject to competition from lower-priced imports of those same products, as well as lower-priced imports of competing products from Eastern Europe, Canada, Mexico and other countries with government price controls or other market dynamics that, in each case, reduce prices of products leading to reduced revenues and lower sales margins. The ability of patients to obtain these lower-priced imports has grown significantly. Some of these foreign imports are illegal under current U.S. and European law. However, the volume of imports is now significant, due in part to the limited enforcement resources and the pressure in the current political environment to permit the imports as a mechanism for expanding access to lower-priced medicines. Parallel importation or importation of foreign products could adversely affect our future profitability. This impact potentially could become even greater if there is a further change in relevant protective legislation or if state or local governments take further steps to import products from abroad.</w:t>
      </w:r>
    </w:p>
    <w:p>
      <w:pPr>
        <w:spacing w:after="0" w:line="190" w:lineRule="exact"/>
        <w:rPr>
          <w:sz w:val="20"/>
          <w:szCs w:val="20"/>
          <w:color w:val="auto"/>
        </w:rPr>
      </w:pPr>
    </w:p>
    <w:p>
      <w:pPr>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business applications and IT infrastructure, or those of our collaboration partners, contractors or consultants, may fail or suffer cybersecurity breaches, and the use of novel technologies may subject us to additional risks.</w:t>
      </w:r>
    </w:p>
    <w:p>
      <w:pPr>
        <w:spacing w:after="0" w:line="17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business applications and IT infrastructure, including those hosted by third parties, and those of our collaboration partners, contractors or consultants, may be vulnerable to cybersecurity risks, such as computer viruses and unauthorized access, and natural disasters, terrorism, war and telecommunication and electrical failures, which can lead to damage, loss or leakage of business data or unavailability of computer systems. Our vulnerability to such events may increase while employees work remotely which results in additional cybersecurity threat profiles and an increase in the amount of traffic on secured remote corporate networks and preventing or detecting unauthorized access to internal networks may be more challenging. These and other factors, including the increased use of artificial intelligence within the biopharmaceutical industry, can be exploited to facilitate phishing, malware, ransomware or other attacks on our systems. If such an event were to occur, it could result in a material disruption of our development programs and our business operations. In addition, any loss or disclosure of trade secrets, clinical data, personal data, or other proprietary information as a result of such disruption or breach could subject us to litigation, loss of intellectual property rights, or regulatory review and sanctions and may impact our reputation and our and our collaboration partners’ ability to further develop and commercialize our products and product candidates, any of which could have a material adverse effect on our business, financial condition, results of operations and the market price of our ADSs.</w:t>
      </w:r>
    </w:p>
    <w:p>
      <w:pPr>
        <w:spacing w:after="0" w:line="19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Artificial intelligence-based software is increasingly being used in the biopharmaceutical and global healthcare industries. We have expanded our scientific focus to use data science and artificial intelligence to aid in the discovery of new targets and biomarkers and bolster our in-depth precision medicine and translational laboratory capabilities. As with many developing technologies, artificial intelligence-based software presents risks and challenges. For example, algorithms may be flawed; data sets may be insufficient, of poor quality, or contain biased information;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inappropriate or controversial data practices by data scientists, engineers, and end-users could impair results. If the analyses that artificial intelligence-based applications assist in producing are deficient or inaccurate, we could be subjected to competitive harm, potential legal liability and brand or reputational harm. Furthermore, use of artificial intelligence-based software may lead to the release of confidential information which may impact our ability to realize the benefits of our intellectual property. The integration of artificial technology into our and our vendors’ systems (potentially without the vendor disclosing such use to us) subjects us to the risk that the providers of artificial technology may not meet existing or rapidly evolving regulatory or industry standards with respect to privacy and data protection. Further, regulatory changes or reinterpretations could introduce new compliance risks, including potential government enforcement actions or civil lawsuits.</w:t>
      </w:r>
    </w:p>
    <w:p>
      <w:pPr>
        <w:spacing w:after="0" w:line="400"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regulatory or market measures to address climate change, as well as man-made disasters or infrastructure failures, may materially adversely affect our financial condition and business operations.</w:t>
      </w:r>
    </w:p>
    <w:p>
      <w:pPr>
        <w:spacing w:after="0" w:line="159"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Similar risks could result from man-made disasters or failures, including power shortages, telecommunications or infrastructure failures, cybersecurity incidents or physical security breaches. Some potential impacts to our business include increased operating costs due to additional regulatory requirements, water limitations, disruptions to our supply chain from altered availability of goods and services and physical risks to our facilities, which may result in delays in the development of our product candidates or the interruption of our business operations for a substantial period of time. Being unable to fully use our facilities, or the manufacturing facilities of our third-party CMOs, may have a material and adverse effect on our ability to operate our business and have significant negative consequences on our financial and operating conditions. If these facilities are unable to operate, even for a short period of time, any or all of our research and development programs and our commercialization efforts may be harmed.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or our collaboration partners are unable to or do not adequately protect intellectual property rights or if our intellectual property rights are inadequate.</w:t>
      </w:r>
    </w:p>
    <w:p>
      <w:pPr>
        <w:spacing w:after="0" w:line="15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commercial success and viability depend in part on our and our collaboration partners’ ability to obtain and maintain adequate intellectual property protection in the U.S., Europe and other countries with respect to our existing products, product candidates and processes and related technologies owned by us and to successfully defend these rights against third-party challenges, successfully enforce these rights to prevent third-party infringement, as well as our ability to maintain adequate intellectual property protection for any future technologies and products. If we or our collaboration partners do not adequately protect our intellectual property, competitors may be able to use our technologies or products and erode or negate any competitive advantage we may have, which could materially harm our business, negatively affect our position in the marketplace, limit our ability to commercialize our products and product candidates and significantly reduce our revenues and potential profits.</w:t>
      </w:r>
    </w:p>
    <w:p>
      <w:pPr>
        <w:spacing w:after="0" w:line="18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The uncertainties with respect to the legal system in the U.S., Europe and other countries, including uncertainties regarding the enforcement of laws, and sudden or unexpected changes in laws and regulations with little advance notice, or policies and practices that weaken the intellectual property framework (such as laws or regulations that promote or provide broad discretion to issue a compulsory license) could adversely affect us and limit the legal protections available to us. We and our collaboration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and our collaboration partners’ ability to obtain patent protection for our or their technologies, products and product candidates is uncertain, and the degree of future protection afforded by such intellectual property rights is uncertain due to a number of factors, including, but not limited to:</w:t>
      </w:r>
    </w:p>
    <w:p>
      <w:pPr>
        <w:spacing w:after="0" w:line="187" w:lineRule="exact"/>
        <w:rPr>
          <w:sz w:val="20"/>
          <w:szCs w:val="20"/>
          <w:color w:val="auto"/>
        </w:rPr>
      </w:pPr>
    </w:p>
    <w:p>
      <w:pPr>
        <w:ind w:left="1040" w:right="63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collaboration partners may not have been the first to make or file patent applications for the inventions covered by pending patent applications or issued patents;</w:t>
      </w:r>
    </w:p>
    <w:p>
      <w:pPr>
        <w:spacing w:after="0" w:line="161" w:lineRule="exact"/>
        <w:rPr>
          <w:rFonts w:ascii="Times New Roman" w:cs="Times New Roman" w:eastAsia="Times New Roman" w:hAnsi="Times New Roman"/>
          <w:sz w:val="18"/>
          <w:szCs w:val="18"/>
          <w:color w:val="231F20"/>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identical, similar or alternative technologies, products or compositions and uses thereof;</w:t>
      </w:r>
    </w:p>
    <w:p>
      <w:pPr>
        <w:spacing w:after="0" w:line="161" w:lineRule="exact"/>
        <w:rPr>
          <w:rFonts w:ascii="Times New Roman" w:cs="Times New Roman" w:eastAsia="Times New Roman" w:hAnsi="Times New Roman"/>
          <w:sz w:val="18"/>
          <w:szCs w:val="18"/>
          <w:color w:val="231F20"/>
        </w:rPr>
      </w:pPr>
    </w:p>
    <w:p>
      <w:pPr>
        <w:ind w:left="1040" w:right="35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or all of our or our collaboration partners’ pending, or any future patent applications may not result in issued patents;</w:t>
      </w:r>
    </w:p>
    <w:p>
      <w:pPr>
        <w:spacing w:after="0" w:line="161" w:lineRule="exact"/>
        <w:rPr>
          <w:rFonts w:ascii="Times New Roman" w:cs="Times New Roman" w:eastAsia="Times New Roman" w:hAnsi="Times New Roman"/>
          <w:sz w:val="18"/>
          <w:szCs w:val="18"/>
          <w:color w:val="231F20"/>
        </w:rPr>
      </w:pPr>
    </w:p>
    <w:p>
      <w:pPr>
        <w:ind w:left="1040" w:right="35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patents issued to us or our collaboration partners may not provide a basis for commercially viable products, or may not provide any competitive advantages in countries of significant business opportunity;</w:t>
      </w:r>
    </w:p>
    <w:p>
      <w:pPr>
        <w:spacing w:after="0" w:line="161" w:lineRule="exact"/>
        <w:rPr>
          <w:rFonts w:ascii="Times New Roman" w:cs="Times New Roman" w:eastAsia="Times New Roman" w:hAnsi="Times New Roman"/>
          <w:sz w:val="18"/>
          <w:szCs w:val="18"/>
          <w:color w:val="231F20"/>
        </w:rPr>
      </w:pPr>
    </w:p>
    <w:p>
      <w:pPr>
        <w:ind w:left="1040" w:right="179" w:hanging="315"/>
        <w:spacing w:after="0" w:line="256"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 parties may initiate interference, re-examination, post-grant review, inter partes review, or derivation actions in the U.S. Patent and Trademark Office (“</w:t>
      </w:r>
      <w:r>
        <w:rPr>
          <w:rFonts w:ascii="Times New Roman" w:cs="Times New Roman" w:eastAsia="Times New Roman" w:hAnsi="Times New Roman"/>
          <w:sz w:val="18"/>
          <w:szCs w:val="18"/>
          <w:b w:val="1"/>
          <w:bCs w:val="1"/>
          <w:color w:val="231F20"/>
        </w:rPr>
        <w:t>USPTO</w:t>
      </w:r>
      <w:r>
        <w:rPr>
          <w:rFonts w:ascii="Times New Roman" w:cs="Times New Roman" w:eastAsia="Times New Roman" w:hAnsi="Times New Roman"/>
          <w:sz w:val="18"/>
          <w:szCs w:val="18"/>
          <w:color w:val="231F20"/>
        </w:rPr>
        <w:t>”), or oppositions in the European Patent Office (“</w:t>
      </w:r>
      <w:r>
        <w:rPr>
          <w:rFonts w:ascii="Times New Roman" w:cs="Times New Roman" w:eastAsia="Times New Roman" w:hAnsi="Times New Roman"/>
          <w:sz w:val="18"/>
          <w:szCs w:val="18"/>
          <w:b w:val="1"/>
          <w:bCs w:val="1"/>
          <w:color w:val="231F20"/>
        </w:rPr>
        <w:t>EPO</w:t>
      </w:r>
      <w:r>
        <w:rPr>
          <w:rFonts w:ascii="Times New Roman" w:cs="Times New Roman" w:eastAsia="Times New Roman" w:hAnsi="Times New Roman"/>
          <w:sz w:val="18"/>
          <w:szCs w:val="18"/>
          <w:color w:val="231F20"/>
        </w:rPr>
        <w:t>”), or observations or protests, or any similar actions in other patent administrative or court proceedings worldwide that challenge the validity, enforceability or scope of such patents, which may result in our patent claims being narrowed or invalidated which could limit our ability to prevent competitors from developing and marketing similar products;</w:t>
      </w:r>
    </w:p>
    <w:p>
      <w:pPr>
        <w:spacing w:after="0" w:line="187" w:lineRule="exact"/>
        <w:rPr>
          <w:rFonts w:ascii="Times New Roman" w:cs="Times New Roman" w:eastAsia="Times New Roman" w:hAnsi="Times New Roman"/>
          <w:sz w:val="18"/>
          <w:szCs w:val="18"/>
          <w:color w:val="231F20"/>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or our collaboration partners’ technologies, compositions and methods may not be patentable;</w:t>
      </w:r>
    </w:p>
    <w:p>
      <w:pPr>
        <w:spacing w:after="0" w:line="225" w:lineRule="exact"/>
        <w:rPr>
          <w:rFonts w:ascii="Times New Roman" w:cs="Times New Roman" w:eastAsia="Times New Roman" w:hAnsi="Times New Roman"/>
          <w:sz w:val="18"/>
          <w:szCs w:val="18"/>
          <w:color w:val="231F20"/>
        </w:rPr>
      </w:pPr>
    </w:p>
    <w:p>
      <w:pPr>
        <w:ind w:left="1040" w:right="11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design around our or our collaboration partners’ patent claims to produce competitive products or uses which fall outside of the scope of our patents;</w:t>
      </w:r>
    </w:p>
    <w:p>
      <w:pPr>
        <w:spacing w:after="0" w:line="161" w:lineRule="exact"/>
        <w:rPr>
          <w:rFonts w:ascii="Times New Roman" w:cs="Times New Roman" w:eastAsia="Times New Roman" w:hAnsi="Times New Roman"/>
          <w:sz w:val="18"/>
          <w:szCs w:val="18"/>
          <w:color w:val="231F20"/>
        </w:rPr>
      </w:pPr>
    </w:p>
    <w:p>
      <w:pPr>
        <w:ind w:left="1040" w:right="21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 parties may have blocking patents that could prevent us from marketing our products or practicing our own patented technology;</w:t>
      </w:r>
    </w:p>
    <w:p>
      <w:pPr>
        <w:spacing w:after="0" w:line="161" w:lineRule="exact"/>
        <w:rPr>
          <w:rFonts w:ascii="Times New Roman" w:cs="Times New Roman" w:eastAsia="Times New Roman" w:hAnsi="Times New Roman"/>
          <w:sz w:val="18"/>
          <w:szCs w:val="18"/>
          <w:color w:val="231F20"/>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terms may be inadequate to protect our competitive position on our technologies, products and product candidates for an adequate amount of time;</w:t>
      </w:r>
    </w:p>
    <w:p>
      <w:pPr>
        <w:spacing w:after="0" w:line="161" w:lineRule="exact"/>
        <w:rPr>
          <w:rFonts w:ascii="Times New Roman" w:cs="Times New Roman" w:eastAsia="Times New Roman" w:hAnsi="Times New Roman"/>
          <w:sz w:val="18"/>
          <w:szCs w:val="18"/>
          <w:color w:val="231F20"/>
        </w:rPr>
      </w:pPr>
    </w:p>
    <w:p>
      <w:pPr>
        <w:ind w:left="1040" w:right="139" w:hanging="315"/>
        <w:spacing w:after="0" w:line="266"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Supreme Court of the U.S., other U.S. federal courts, Congress, the USPTO or similar foreign authorities may change the standards of patentability and any such changes could narrow or invalidate, or change the scope of, or change the patent lifetime of, our or our collaboration partners’ patents; and</w:t>
      </w:r>
    </w:p>
    <w:p>
      <w:pPr>
        <w:spacing w:after="0" w:line="175" w:lineRule="exact"/>
        <w:rPr>
          <w:rFonts w:ascii="Times New Roman" w:cs="Times New Roman" w:eastAsia="Times New Roman" w:hAnsi="Times New Roman"/>
          <w:sz w:val="18"/>
          <w:szCs w:val="18"/>
          <w:color w:val="231F20"/>
        </w:rPr>
      </w:pPr>
    </w:p>
    <w:p>
      <w:pPr>
        <w:ind w:left="1040" w:right="119" w:hanging="315"/>
        <w:spacing w:after="0" w:line="255"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applications may be denied or issued patents covering our products and product candidates could be found invalid or unenforceable.</w:t>
      </w:r>
    </w:p>
    <w:p>
      <w:pPr>
        <w:spacing w:after="0" w:line="159"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Even if patents do successfully issue and even if such patents cover our technologies, products, product candidates, compositions and methods of use, third parties may initiate interference, re-examination, post-grant review, inter partes review, or derivation actions in the USPTO, third-party oppositions in the EPO or observations or protests, or similar actions challenging the validity, enforceability or scope of such patents in other patent administrative proceedings worldwide, which may result in our or our collaboration partners’ patent claims being narrowed or invalidated. Such proceedings could result in revocation or amendment of such patents in such a way that they no longer cover our technologies, product candidates or competitive products. Further, if we or our collaboration partners initiate legal proceedings against a third-party to enforce a patent covering our product, product candidate or technology, the defendant could counterclaim that the patent covering our product, product candidate or technology is invalid or unenforceable. In patent litigation in the U.S.,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 Such proceedings could result in revocation or amendment of such patents in such a way that they no longer cover our technologies, product candidates or competitive products.</w:t>
      </w:r>
    </w:p>
    <w:p>
      <w:pPr>
        <w:spacing w:after="0" w:line="19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proprietary technology licensed from third parties and may rely on other third-party licensors in the future. If we lose our existing licenses or are unable to acquire or license additional proprietary rights from these licensors or other third parties, we may not be able to continue developing and commercializing our products.</w:t>
      </w:r>
    </w:p>
    <w:p>
      <w:pPr>
        <w:spacing w:after="0" w:line="175"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We currently in-license certain technology and intellectual property from third parties to be able to use such technology and intellectual property in our products and product candidates and to aid in our research activities. In the future we may in-license technology and intellectual property from additional licensors.</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rely on certain of these licensors to file and prosecute patent applications and maintain patents and otherwise protect the technology and intellectual property we license from them. We have limited control over these activities or any other technology and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technology and intellectual property that is licensed to us.</w:t>
      </w:r>
    </w:p>
    <w:p>
      <w:pPr>
        <w:spacing w:after="0" w:line="189"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7"/>
          <w:szCs w:val="17"/>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 license rights to us. Even if we are able to obtain a license under third-party intellectual property rights, any such license may be non-exclusive, which may allow our competitors to access the same technologies licensed to us. If we are unable to successfully obtain rights to additional technologies or products, our business, financial condition, results of operations and prospects for growth could suffer.</w:t>
      </w:r>
    </w:p>
    <w:p>
      <w:pPr>
        <w:spacing w:after="0" w:line="18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existing in-licenses impose various diligence, milestone payment, royalty and other obligations on us. If we fail to comply with these obligations or otherwise materially breach a license agreement, our licensors or collaboration partners may have the right to terminate the license. Under the terms of some of the relevant agreements,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collaboration partners also have the right to terminate the agreements at their discretion. In the event of termination of any of these agreements, we may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Competitors may infringe our patents, trademarks or other intellectual property. To counter infringement or unauthorized use, we may be required to file infringement claims on a country-by-country basis,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collaboration partners or customers in our markets of interest, thus this could materially harm our business and negatively affect our position in the marketplace.</w:t>
      </w:r>
    </w:p>
    <w:p>
      <w:pPr>
        <w:spacing w:after="0" w:line="19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83" w:lineRule="exact"/>
        <w:rPr>
          <w:sz w:val="20"/>
          <w:szCs w:val="20"/>
          <w:color w:val="auto"/>
        </w:rPr>
      </w:pPr>
    </w:p>
    <w:p>
      <w:pPr>
        <w:ind w:left="60" w:right="139" w:firstLine="324"/>
        <w:spacing w:after="0" w:line="271" w:lineRule="auto"/>
        <w:rPr>
          <w:sz w:val="20"/>
          <w:szCs w:val="20"/>
          <w:color w:val="auto"/>
        </w:rPr>
      </w:pPr>
      <w:r>
        <w:rPr>
          <w:rFonts w:ascii="Times New Roman" w:cs="Times New Roman" w:eastAsia="Times New Roman" w:hAnsi="Times New Roman"/>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69"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Claims that our products or product candidates or their uses infringe the intellectual property rights of third parties could result in the need for third-party licenses with royalty payments or costly litigation with unfavorable outcomes.</w:t>
      </w:r>
    </w:p>
    <w:p>
      <w:pPr>
        <w:spacing w:after="0" w:line="13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Even if we or our collaboration partners have or obtain patents covering our technologies, products, product candidates, compositions or uses, we or our collaboration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For example, in 2024, Chugai filed a lawsuit in the Tokyo District Court, Japan against AbbVie’s and Genmab’s subsidiaries in Japan asserting that their activities with EPKINLY in Japan infringe two Japanese patents held by Chugai. See note 5.7 to our Audited Financial Statements included in our Annual Report 2024 for more information. There are many issued U.S., European and other worldwide patents relating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therapeutic drugs, and some of these may relate to compounds we or our collaboration partners intend to commercialize. Numerous worldwide patents and pending patent applications owned by others exist in the cancer field and may cover products or product candidates which we or our collaboration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third-party patents or other intellectual property rights. Because patent applications usually take</w:t>
      </w:r>
    </w:p>
    <w:p>
      <w:pPr>
        <w:spacing w:after="0" w:line="5"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collaboration partners. We may be required to develop or obtain alternative technologies, review product design or, in the case of claims concerning registered trademarks, rename our products or product candidates.</w:t>
      </w:r>
    </w:p>
    <w:p>
      <w:pPr>
        <w:spacing w:after="0" w:line="19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Claims that our or our collaboration partners’ technologies, products, product candidates, compositions or their uses infringe or interfere with the patent rights of third parties, or that we, our employees, our consultants or our collaboration partners have misappropriated third-party trade secrets, could result in costly litigation and could require substantial time and money to resolve, even if litigation were avoided. If we, our employees, our consultants or our collaboration partners were to face infringement claims or challenges by third parties, an adverse outcome could subject us or our collaboration partners to significant liabilities to such third parties. Litigation or threatened litigation could result in significant demands on the time and attention of our management team. A negative outcome could expose us or our collaboration partners to payment of costs, damages and other financial remedies, including in some jurisdictions, increased damages, such as treble damages and attorneys’ fees, if we were found to have willfully infringed a patent, and equitable remedies such as restraining orders or injunctions. Litigation with third parties concerning alleged infringement of their intellectual property rights could require us and our collaboration partners to bear substantial costs and impose burdens on our and their management and personnel, even if we or our collaboration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collaboration partners to delay, curtail or cease the development and commercialization of some or all of our products and product candidates, or could cause us or our collaboration partners to seek legal or administrative actions against third parties. We or our collaboration partners may need to obtain licenses from third parties and such licenses may not be available on commercially reasonable terms, or at all. Even if we are able to obtain licenses from a third-party to resolve a dispute, such settlement arrangements could involve substantial costs including one-time and/or ongoing royalty payments.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the confidentiality of our trade secrets and know-how.</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our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collaboration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 consuming, and the outcome is unpredictable and may be inadequate. In addition, some courts inside and outside the U.S.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Obtaining and maintaining a patent portfolio entails significant expense and resources. Filing, prosecuting and defending patents on our technologies, products and product candidates in all countries and jurisdictions throughout the world would be prohibitively expensive and, therefore, we typically elect to seek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and our contractual royalty rates on sales of wholly- or partially-partnered products in the relevant jurisdictions may be reduced.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U.S. or in Europe, and thus such protection may not be sufficient to prevent or stop infringing activities.</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or the misappropriation of our 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country-by-country or region-by-region basis, which is an expensive and time-consuming process with uncertain outcomes. If we fail to timely file a patent application in a specific country or major market, we may be precluded from doing so at a later date.</w:t>
      </w:r>
    </w:p>
    <w:p>
      <w:pPr>
        <w:spacing w:after="0" w:line="19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addition, changes in the law and legal decisions by courts in the U.S., Europe and foreign countries may affect our ability to obtain or maintain adequate protection for our technologies, products, product candidates or compositions or uses thereof and the enforcement of intellectual property, and may apply retroactively to affect the term and/or scope of our patents. Additionally, the legal systems of certain countries, particularly China and certain other countries, may not protect patents, trade secrets and other intellectual property to the same extent or in the same manner as the laws of the U.S., particularly those relating to medical devices and biopharmaceutical and biotechnology products, which could make it difficult for us to prevent or stop the infringement of our patents or other violations of our proprietary rights generally.</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 parties may in the future make claims challenging the inventorship or ownership of our intellectual property. We have written agreements with our collaboration partners that provide for the ownership of intellectual property arising from our 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pacing w:after="0" w:line="19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w:t>
      </w:r>
    </w:p>
    <w:p>
      <w:pPr>
        <w:spacing w:after="0" w:line="22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collaboration partners or customers in our markets of interest. 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94"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addition, any proprietary name we propose to use with any of our product candidates in the U.S. or other jurisdictions must be approved by the FDA, the EMA or other governmental authorities,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restrictions on pricing and reimbursement, as well as other healthcare payer cost-containment initiatives, may negatively impact our ability to generate revenue.</w:t>
      </w:r>
    </w:p>
    <w:p>
      <w:pPr>
        <w:spacing w:after="0" w:line="159"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Sales of certain of our products and our product candidates, if and when approved for marketing, have and will depend, in part, on the extent to which our products will be covered by third-party payers, such as U.S. government health care programs like Medicare and Medicaid, commercial insurance and managed healthcare organizations. These third-party payers play an important role in determining the extent to which new drugs, biologics and medical devices will be covered. The Medicare and Medicaid programs increasingly are used as models for how private payers and other governmental payers develop their coverage and reimbursement policies for drugs, biologics and medical devices. It is difficult to predict at this time what third-party payers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Outside the U.S., international operations are generally subject to extensive governmental price controls and other market regulations. Therefore, the reimbursement for our products may be reduced compared with the U.S.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pacing w:after="0" w:line="176"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Further, from time to time, typically on an annual basis, payment rates are updated and revised by third-party payers. Such updates could impact the demand for our products, to the extent that patients who are prescribed our products, if approved, are not separately reimbursed for the cost of the product.</w:t>
      </w:r>
    </w:p>
    <w:p>
      <w:pPr>
        <w:spacing w:after="0" w:line="1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addition, in certain jurisdictions, marketing approval for a product, or the ability to launch an approved product, is subject to determination of pricing and reimbursement levels. In such jurisdictions, even if we or our collaboration partners are able to obtain marketing approval for our products, commercialization of our products may be significantly delayed or prevented altogether if we are unable to secure reimbursement for our products, at competitive levels or at all.</w:t>
      </w:r>
    </w:p>
    <w:p>
      <w:pPr>
        <w:spacing w:after="0" w:line="18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successful commercialization of new products.</w:t>
      </w:r>
    </w:p>
    <w:p>
      <w:pPr>
        <w:spacing w:after="0" w:line="18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addition, any products we or our collaboration partners are able to commercialize may be subject to competition from lower-priced imports of those same products, leading to reduced revenues and lower sales margins, as well as lower-priced imports of competing products from countries with government price controls or other market dynamics that, in each case, reduce prices of products.</w:t>
      </w:r>
    </w:p>
    <w:p>
      <w:pPr>
        <w:spacing w:after="0" w:line="176"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Biologics License Application (“</w:t>
      </w:r>
      <w:r>
        <w:rPr>
          <w:rFonts w:ascii="Times New Roman" w:cs="Times New Roman" w:eastAsia="Times New Roman" w:hAnsi="Times New Roman"/>
          <w:sz w:val="18"/>
          <w:szCs w:val="18"/>
          <w:b w:val="1"/>
          <w:bCs w:val="1"/>
          <w:color w:val="auto"/>
        </w:rPr>
        <w:t>BLA</w:t>
      </w:r>
      <w:r>
        <w:rPr>
          <w:rFonts w:ascii="Times New Roman" w:cs="Times New Roman" w:eastAsia="Times New Roman" w:hAnsi="Times New Roman"/>
          <w:sz w:val="18"/>
          <w:szCs w:val="18"/>
          <w:color w:val="auto"/>
        </w:rPr>
        <w:t>”)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w:t>
      </w:r>
    </w:p>
    <w:p>
      <w:pPr>
        <w:spacing w:after="0" w:line="19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Advertising and promotional materials must comply with FDA rules in addition to other potentially applicable federal and state laws. In addition, we or our collaboration partners may be subject to significant liability if physicians prescribe any of our products to patients in a manner that is inconsistent with the approved label and if we are found to have promoted off-label uses of such products.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collaboration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9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Sales, marketing and scientific/educational grant programs in the U.S. must comply with the U.S. Medicare-Medicaid Anti-Fraud and Abuse Act, as amended, the False Claims Act, also as amended, the federal Anti-Kickback Statute, the Federal Food, Drug and Cosmetic Act,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Within the EU, once a marketing authorization is obtained, numerous post-approval requirements also apply.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requirements are promulgated by both EU regulations (such as reporting of adverse events, etc.) as well as national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regulations (related to, for example, prices and promotional material). In addition, as part of its marketing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authorization process, the EMA may grant marketing authorizations on the basis of less complete data than is normally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required, when, for certain categories of medicinal products, doing so may meet unmet medical needs of patients and serve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interest of public health. In such cases, it is possible for the Committee for Medicinal Products for Human Use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CHMP</w:t>
      </w:r>
      <w:r>
        <w:rPr>
          <w:rFonts w:ascii="Times New Roman" w:cs="Times New Roman" w:eastAsia="Times New Roman" w:hAnsi="Times New Roman"/>
          <w:sz w:val="18"/>
          <w:szCs w:val="18"/>
          <w:color w:val="auto"/>
        </w:rPr>
        <w:t>”), to recommend the granting of a marketing authorization, subject to certain specific obligations to be reviewed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annually, which is referred to as a conditional marketing authorization. This may apply to medicinal products for human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use that fall under the jurisdiction of the EMA, including those that target the treatment, prevention, or medical diagnosis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seriously debilitating diseases or life-threatening diseases and those designated as orphan medicinal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products. 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2"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Other jurisdictions also impose certain post-approval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collaboration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collaboration partners to expend significant time and resources in response and could generate negative publicity. Any failure to comply with ongoing regulatory requirements may significantly and adversely affect our and our collaboration partners’ ability to commercialize and generate revenue from our products. If regulatory sanctions are applied or if regulatory approval is withdrawn, the value of our company and our operating results could be adversely affected.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laws and regulations and changes to existing ones may have an adverse impact on our business.</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U.S., the EU or in other countries. If we or our collaboration partners are slow or unable to adapt to changes in existing requirements or the adoption of new requirements or policies, or if we and our collaboration partners are not able to maintain regulatory compliance, we or they may lose any marketing approval that we or they may have obtained, which could adversely impact our business and financial results.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Inflation Reduction Act of 2022 (“</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was signed into law on August 16, 2022. The IRA, among other things,</w:t>
      </w:r>
    </w:p>
    <w:p>
      <w:pPr>
        <w:spacing w:after="0" w:line="31" w:lineRule="exact"/>
        <w:rPr>
          <w:sz w:val="20"/>
          <w:szCs w:val="20"/>
          <w:color w:val="auto"/>
        </w:rPr>
      </w:pPr>
    </w:p>
    <w:p>
      <w:pPr>
        <w:ind w:left="260" w:hanging="210"/>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the U.S. Department of Health and Human Services to negotiate prices for certain single-source drugs and</w:t>
      </w:r>
    </w:p>
    <w:p>
      <w:pPr>
        <w:spacing w:after="0" w:line="9" w:lineRule="exact"/>
        <w:rPr>
          <w:rFonts w:ascii="Times New Roman" w:cs="Times New Roman" w:eastAsia="Times New Roman" w:hAnsi="Times New Roman"/>
          <w:sz w:val="18"/>
          <w:szCs w:val="18"/>
          <w:color w:val="auto"/>
        </w:rPr>
      </w:pPr>
    </w:p>
    <w:p>
      <w:pPr>
        <w:ind w:left="60" w:right="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biologics covered under Medicare Part B and Part D, and subjects drug manufacturers to civil monetary penalties and a potential excise tax for failing to comply with the legislation by offering a price that is not equal to or less than the negotiated “maximum fair price” under the law; and (ii) establishes rebates under Medicare to penalize drug price increases that outpace inflation. Negotiations will begin with ten high-cost drugs paid for by Medicare Part D, and the negotiated prices will take effect in 2026. The effect of the IRA on the biopharmaceutical industry is uncertain, and the IRA could have a material effect on our business and results of operations in the future.</w:t>
      </w:r>
    </w:p>
    <w:p>
      <w:pPr>
        <w:spacing w:after="0" w:line="19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and our partners’ activities in certain non-U.S. countries, may also be subject to or affected by various U.S. legislation, executive orders, regulations, or investigations targeting certain development or economic activities involving those countries. This includes, but is not limited to, the proposed BIOSECURE Act, which could increase costs, reduce the supply of available materials, delay procurement or clinical trials, hinder our ability to secure significant government commitments for potential therapies, and adversely affect our financial condition and business prospects.</w:t>
      </w:r>
    </w:p>
    <w:p>
      <w:pPr>
        <w:spacing w:after="0" w:line="183"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179"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protecting the privacy, security and confidentiality of certain information and failure to comply with these data ethics and privacy regulations could adversely affect our business and reputation.</w:t>
      </w:r>
    </w:p>
    <w:p>
      <w:pPr>
        <w:spacing w:after="0" w:line="15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operate in an environment that relies on the collection, processing, analysis, and interpretation of large sets of patients’ and other individuals’ personal data, including from our employees and third parties with whom we conduct business. Numerous countries in which we, our collaboration partners and our third-party contractors, including CROs and CMOs, operate, manufacture and sell our products have, or are developing, laws protecting personal data and the individual’s right to privacy and security as well as the transparent and responsible processing of certain personal data and patient health information.</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legal and regulatory environment of data privacy is diversified, with regional legislation such as the General Data Protection Regulation in Europe, the Personal Information Protection Law enacted in 2021 and Regulations on the Administration of Human Genetic Resources of the PRC in China, and other significant privacy legislation, including the California Consumer Privacy Act and other similar comprehensive state data privacy laws in the U.S. As the framework continues to evolve, uncertainty remains due to the absence of clear guidance or case law. This uncertainty, combined with limited global harmonization or simplification, makes it challenging for multinational companies to standardize their approach to privacy and data protection compliance.</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Increases in the volume of data processed and advances in technology have resulted in greater focus on data privacy and the ethical use of personal data, over and above data privacy laws. Companies seeking to foster innovation in artificial intelligence and other new technologies are faced with evolving decisions from global policymakers on how best to promote trust in these systems and avoid unintended outcomes or harmful impacts. Failure in our data privacy and ethical use of personal data could affect our business and reputation.</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Additionally, there are several emerging laws concerning the localization of data, restrictions on international transfers, and data security, which are changing the existing frameworks with which we previously complied. The increasing trend for data sovereignty affects our ability to drive medical innovation and to effectively operate internationally. Regulatory uncertainty could result in an operational risk limiting or preventing the transfer of personal data across borders, which may have an impact on our activities (e.g. clinical trials). Breach of the regulations described above could also carry financial sanctions, may cause us to become subject to audits, inquiries, whistleblower complaints, adverse media coverage, investigations, criminal or civil sanctions, damage our reputation and adversely affect our business operations, including, in particular, our activities that rely on personal data processing.</w:t>
      </w:r>
    </w:p>
    <w:p>
      <w:pPr>
        <w:spacing w:after="0" w:line="188"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business arrangements with third parties are subject to fraud, abuse and other healthcare laws and regulations.​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Healthcare providers, such as physicians and others, play a primary role in the recommendation and prescription of our products. Our or our collaboration partners’ arrangements with such persons and third-party payers and our general business operations expose us or our collaboration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HIPAA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Ensuring that our business arrangements with third parties comply with applicable healthcare laws and regulations will likely continue to be time-consuming and costly. It is possible that governmental authorities will conclude that our business practices do not comply with current or future statutes, regulations or case law involving applicable fraud and abuse or other healthcare laws and regulations, in which case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business. For more information about these and other applicable regulations, see ‘‘</w:t>
      </w:r>
      <w:r>
        <w:rPr>
          <w:rFonts w:ascii="Times New Roman" w:cs="Times New Roman" w:eastAsia="Times New Roman" w:hAnsi="Times New Roman"/>
          <w:sz w:val="17"/>
          <w:szCs w:val="17"/>
          <w:i w:val="1"/>
          <w:iCs w:val="1"/>
          <w:color w:val="auto"/>
        </w:rPr>
        <w:t>Item 4 – Information on the Company —Government Regulation</w:t>
      </w:r>
      <w:r>
        <w:rPr>
          <w:rFonts w:ascii="Times New Roman" w:cs="Times New Roman" w:eastAsia="Times New Roman" w:hAnsi="Times New Roman"/>
          <w:sz w:val="17"/>
          <w:szCs w:val="17"/>
          <w:color w:val="auto"/>
        </w:rPr>
        <w:t>’’ below.</w:t>
      </w:r>
    </w:p>
    <w:p>
      <w:pPr>
        <w:spacing w:after="0" w:line="16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scrutiny of pharmaceutical manufacturer donations to and support of patient assistance programs offered by charitable foundations may affect us or our collaboration partners.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To help patients afford our products, we and our collaboration partners have implemented, and may implement or further expand in the future, patient assistance programs. We or our collaboration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collaboration partners’ or own patient assistance programs and support of independent charitable foundations could become the target of similar litigation.</w:t>
      </w:r>
    </w:p>
    <w:p>
      <w:pPr>
        <w:spacing w:after="0" w:line="188"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In addition, there has been regulatory review and enhanced government scrutiny of donations by pharmaceutical companies to patient assistance programs operated by charitable foundations. If we, our collaboration partners or our vendors or donation recipients are deemed to fail to comply with laws or regulations in the operation of these programs, we or such collaboration partner could be subject to damages, fines, penalties or other criminal, civil or administrative sanctions or enforcement actions. Further, numerous organizations, including pharmaceutical manufacturers, have received subpoenas from government authorities seeking information related to their patient assistance programs and support. We cannot ensure that our compliance controls, policies and procedures will be sufficient to protect against acts of our collaboration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73"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involve hazardous materials and we and third parties with whom we contract must comply with environmental laws and regulations.</w:t>
      </w:r>
    </w:p>
    <w:p>
      <w:pPr>
        <w:spacing w:after="0" w:line="15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subject to environmental and safety laws and regulations, including those governing the use of hazardous materials, and the cost of compliance is substantial. Our business activities involve the controlled storage, use and disposal of hazardous materials. In some cases, these hazardous materials and various wastes resulting from their use are stored at our and our manufacturers’ facilities pending their use and disposal. We cannot eliminate the risk of accidental contamination or injury from these materials in our manufacturing process. We cannot guarantee that the safety procedures utilized by our collaboration partners and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face an interruption of our commercialization efforts, research and development efforts and business operations, and cause environmental damage resulting in costly clean-up and liabilities under applicable laws and regulations governing the use, storage, handling and disposal of these materials and specified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waste products, which may exceed our financial resources and may materially adversely affect our business, financial condition, results of operations and future growth prospects and the value of our ADSs.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 ADSs and Foreign Private Issuer Status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lose our foreign private issuer status in the future, we would incur significant additional costs and expenses.</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not required to comply with all the periodic disclosure and current reporting requirements of the Exchange Act and related rules and regulations. We currently qualify as a foreign private issuer, and will continue to qualify as a foreign private issuer until, as of June 30 of our most recent fiscal year, (i) more than 50% of our shares are directly or indirectly owned of record by U.S. residents, and (ii) either (x) the majority of our executive officers or directors are U.S. citizens or residents, (y) more than 50% of our assets are located in the U.S., or (z) our business is administered principally in the U.S. We estimate that as of the latest determination date, approximately 44% of our outstanding shares, or 29.2 million shares, were beneficially held by U.S. residents.</w:t>
      </w:r>
    </w:p>
    <w:p>
      <w:pPr>
        <w:spacing w:after="0" w:line="189" w:lineRule="exact"/>
        <w:rPr>
          <w:sz w:val="20"/>
          <w:szCs w:val="20"/>
          <w:color w:val="auto"/>
        </w:rPr>
      </w:pPr>
    </w:p>
    <w:p>
      <w:pPr>
        <w:ind w:left="60" w:right="219" w:firstLine="369"/>
        <w:spacing w:after="0" w:line="282" w:lineRule="auto"/>
        <w:rPr>
          <w:sz w:val="20"/>
          <w:szCs w:val="20"/>
          <w:color w:val="auto"/>
        </w:rPr>
      </w:pPr>
      <w:r>
        <w:rPr>
          <w:rFonts w:ascii="Times New Roman" w:cs="Times New Roman" w:eastAsia="Times New Roman" w:hAnsi="Times New Roman"/>
          <w:sz w:val="18"/>
          <w:szCs w:val="18"/>
          <w:color w:val="auto"/>
        </w:rPr>
        <w:t>Our foreign private issuer status will next be determined as of June 30, 2025. There can be no assurance that we will not lose our foreign private issuer status in the future.</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regulatory and compliance costs to us under U.S. securities laws if we lose our foreign private issuer status would be significantly more than the costs we incur as a foreign private issuer, and we would need to devote significantly more financial, management and other resources to compliance with U.S. securities laws than we currently do, particularly in the year in which we lose our foreign private issuer status. If we lose our foreign private issuer status, we would be required to report as a U.S. domestic issuer and be subject to other U.S. securities laws applicable to U.S. domestic issuers.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In addition, we may lose our ability to rely upon exemptions from certain corporate governance requirements on U.S. stock exchanges that are available to foreign private issuers, which could also increase our costs.</w:t>
      </w:r>
    </w:p>
    <w:p>
      <w:pPr>
        <w:spacing w:after="0" w:line="188"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do not directly hold our shares, and Holders may not be able to exercise their right to vote the shares underlying their ADSs.</w:t>
      </w:r>
    </w:p>
    <w:p>
      <w:pPr>
        <w:spacing w:after="0" w:line="15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Holders of our ADSs are not treated as our shareholders and do not have shareholder rights. Our depositary, Deutsche Bank Trust Company Americas, is the holder of the shares underlying our ADSs. The deposit agreement among us, the depositary, and all other persons directly and indirectly holding ADSs, sets out ADS holder rights as well as the rights and obligations of the depositary.</w:t>
      </w:r>
    </w:p>
    <w:p>
      <w:pPr>
        <w:spacing w:after="0" w:line="18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Accordingly, ADS holders may only exercise voting rights with respect to the shares underlying their respective ADSs 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holders may not know about the meeting far enough in advance to withdraw the underlying shares, and after such withdrawal, holders would no longer hold ADSs, but would instead hold the underlying shares directly.</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depositary will try, as far as practicable, to vote the shares underlying the ADSs as instructed by the ADS holders. In such an instance, if we ask for holders’ instructions, the depositary, upon timely notice from us, will notify holders of the upcoming vote and arrange to deliver our voting materials to holders. We cannot guarantee that holders will receive the voting materials in time to ensure that holders will be able to instruct the depositary to vote their shares or to withdraw their shares so that they can vote such shares themselves. If the depositary does not receive timely voting instructions from holders, it may give a proxy to a person designated by us to vote the shares underlying their ADSs. Voting instructions may be given only in respect of a number of ADSs representing an integral number of shares or other deposited securities. In addition, the depositary and its agents are not responsible for failing to carry out voting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instructions or for the manner of carrying out voting instructions. This means that holders may not be able to exercise any right to vote that they may have with respect to the underlying shares, and there may be nothing they can do if the shares underlying their ADSs are not voted as they requested. In addition, the depositary is only required to notify holders of any particular vote if it receives timely notice from holders in advance of the scheduled meeting. Our articles of association permit, in the case of general meetings, notice to be delivered within a relatively short time span, in which case the depositary would not be required to provide holders with notice of and access to such vote.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be subject to limitations on the transfer of their ADSs and the withdrawal of the underlying shares.</w:t>
      </w:r>
    </w:p>
    <w:p>
      <w:pPr>
        <w:spacing w:after="0" w:line="225"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Holders’ ADSs, which will be evidenced by American depositary receipts (“</w:t>
      </w:r>
      <w:r>
        <w:rPr>
          <w:rFonts w:ascii="Times New Roman" w:cs="Times New Roman" w:eastAsia="Times New Roman" w:hAnsi="Times New Roman"/>
          <w:sz w:val="17"/>
          <w:szCs w:val="17"/>
          <w:b w:val="1"/>
          <w:bCs w:val="1"/>
          <w:color w:val="auto"/>
        </w:rPr>
        <w:t>ADRs</w:t>
      </w:r>
      <w:r>
        <w:rPr>
          <w:rFonts w:ascii="Times New Roman" w:cs="Times New Roman" w:eastAsia="Times New Roman" w:hAnsi="Times New Roman"/>
          <w:sz w:val="17"/>
          <w:szCs w:val="17"/>
          <w:color w:val="auto"/>
        </w:rPr>
        <w:t>”), are transferable on the books of the depositary. However, the depositary may close its books at any time or from time to time when it deems expedient in connection with the performance of its duties. The depositary may refuse to deliver, transfer or register transfers of holders’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holders’ right to cancel their ADSs and withdraw the underlying shares. Temporary delays in the cancellation of holders’ ADSs and withdrawal of the underlying shares may arise because the depositary has closed its transfer books or we have closed our transfer books, the transfer of shares is blocked to permit voting at a shareholders’ meeting, or we are paying a dividend on our shares. In addition, holders may not be able to cancel their ADSs and withdraw the underlying shares when the holders owe money for fees, taxes and similar charges and when it is necessary to prohibit withdrawals in order to comply with any laws or governmental regulations that apply to ADSs or to the withdrawal of shares or other deposited securities. For more information, see the description of our securities registered under Section 12 of the Exchange Act included as an exhibit to this Annual Report on Form 20-F.</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ADS holders’ rights to pursue claims against the depositary are limited by the terms of the deposit agreement.</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deposit agreement governing the ADSs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the holder from pursuing claims under U.S. federal securities laws in federal courts. Furthermore, if a holder is unsuccessful in such arbitration, the holder may be responsible for the fees of the arbitrator and other costs in connection with such arbitration pursuant to the deposit agreement.</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addition, the deposit agreement provides that, subject to the depositary’s right to require a claim to be submitted to arbitration, the federal or state courts in the City of New York have non-exclusive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3"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pre-dispute jury trial waiver in connection with claims arising under the U.S. federal securities laws has not been finally adjudicated by the U.S.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potential holders consult legal counsel regarding the jury waiver provision before investing in the ADSs.</w:t>
      </w:r>
    </w:p>
    <w:p>
      <w:pPr>
        <w:spacing w:after="0" w:line="18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If any holders or beneficial owners of ADSs bring a claim against us or the depositary in connection with matters arising under the deposit agreement or the ADSs, including claims under U.S. federal securities laws, a holder or beneficial owner may not be entitled to a jury trial with respect to such claims, which may have the effect of limiting and discouraging lawsuits against us and/or the depositary. If a lawsuit is brought against us and/or the depositary under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7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the price of the ADSs and their trading volume could decline.</w:t>
      </w:r>
    </w:p>
    <w:p>
      <w:pPr>
        <w:spacing w:after="0" w:line="159" w:lineRule="exact"/>
        <w:rPr>
          <w:sz w:val="20"/>
          <w:szCs w:val="20"/>
          <w:color w:val="auto"/>
        </w:rPr>
      </w:pPr>
    </w:p>
    <w:p>
      <w:pPr>
        <w:ind w:left="60" w:right="119" w:firstLine="324"/>
        <w:spacing w:after="0" w:line="274" w:lineRule="auto"/>
        <w:rPr>
          <w:sz w:val="20"/>
          <w:szCs w:val="20"/>
          <w:color w:val="auto"/>
        </w:rPr>
      </w:pPr>
      <w:r>
        <w:rPr>
          <w:rFonts w:ascii="Times New Roman" w:cs="Times New Roman" w:eastAsia="Times New Roman" w:hAnsi="Times New Roman"/>
          <w:sz w:val="17"/>
          <w:szCs w:val="17"/>
          <w:color w:val="auto"/>
        </w:rPr>
        <w:t>The trading market for the ADSs and shares will depend in part on the research and reports that securities or industry analysts publish about us or our business. If one or more of the analysts who covers us downgrades our equity securities, publishes inaccurate or unfavorable research about our business or expresses a negative opinion regarding the performance of our securities, or if our clinical trial results or operating performance fail to meet analyst expectations, the price of the ADSs would likely decline. If one or more of these analysts fails to publish reports on us regularly, or downgrades our securities, demand for ADSs could decrease, which could cause the price of the ADSs and their trading volume to decline.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Denmark. Although our wholly owned subsidiary, Genmab US, Inc., has an office and laboratory space in the U.S., substantially all of our assets are located outside the U.S. The majority of our directors and Executive Management reside outside the U.S. As a result, it may not be possible to effect service of process within the U.S. upon such persons or to enforce judgments against them or us in U.S. courts, including judgments predicated upon the civil liability provisions of the U.S. securities laws.</w:t>
      </w:r>
    </w:p>
    <w:p>
      <w:pPr>
        <w:spacing w:after="0" w:line="18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U.S.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 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 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18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Based on the lack of a treaty as described above, U.S. investors may not be able to enforce any judgments obtained in U.S. courts in civil and commercial matters, including judgments under the U.S. federal securities laws, against us or members of our Board of Directors or our Executive Management, or certain experts named herein who are residents of Denmark or countries other than the U.S.</w:t>
      </w:r>
    </w:p>
    <w:p>
      <w:pPr>
        <w:spacing w:after="0" w:line="176" w:lineRule="exact"/>
        <w:rPr>
          <w:sz w:val="20"/>
          <w:szCs w:val="20"/>
          <w:color w:val="auto"/>
        </w:rPr>
      </w:pPr>
    </w:p>
    <w:p>
      <w:pPr>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“foreign private issuer,” as defined in the SEC’s rules and regulations, and, consequently, we are not subject to all of the disclosure and corporate governance requirements applicable to public companies organized within the U.S.</w:t>
      </w:r>
    </w:p>
    <w:p>
      <w:pPr>
        <w:spacing w:after="0" w:line="13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are a “foreign private issuer,” as defined in the SEC’s rules and regulations, and, consequently, we are not subject to all of the disclosure requirements applicable to public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directors and Executive Management are exempt from the reporting and “short-swing” profit recovery provisions of Section 16 of the Exchange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Act and related rules with respect to their purchases and sales of our securities. Moreover, while we currently publish annual and quarterly reports on our website pursuant to the rules of Nasdaq Copenhagen and expect to file such financial reports on an annual and quarterly basis with the SEC, we are not required to file such reports with the SEC as frequently or as promptly as U.S. public companies and are not required to file quarterly reports on Form 10-Q or current reports on Form 8-K that a U.S. domestic company would be required to file under the Exchange Act. Accordingly, there may be less publicly available information concerning our company than there would be if we were not a foreign private issuer. In addition, as a foreign private issuer and as permitted by the listing requirements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we will comply with certain home country corporate governance practices rather than the corporate governance requirements of the Nasdaq Stock Market.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for U.S. federal income tax purposes for any taxable year, U.S. holders of our ADSs could be subject to adverse U.S. federal income tax consequences.</w:t>
      </w:r>
    </w:p>
    <w:p>
      <w:pPr>
        <w:spacing w:after="0" w:line="15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for any taxable year if either (i) at least 75% of its gross income for such taxable year is “passive income” (as defined in the relevant provisions of the U.S. Internal Revenue Code of 1986, as amended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(ii) at least 50% of the value of its assets (generally,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2025, or in the foreseeable future. However, the determination of whether we are a PFIC or not according to the PFIC rules is made on an annual basis and will depend on the nature and composition of our income and assets and the value of our assets from time to time. Therefore, changes in 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spacing w:after="0" w:line="194"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we are a PFIC for any taxable year during which a U.S. person holds ADSs, certain adverse U.S. federal income tax consequences could apply to such U.S. person. See </w:t>
      </w:r>
      <w:r>
        <w:rPr>
          <w:rFonts w:ascii="Times New Roman" w:cs="Times New Roman" w:eastAsia="Times New Roman" w:hAnsi="Times New Roman"/>
          <w:sz w:val="18"/>
          <w:szCs w:val="18"/>
          <w:i w:val="1"/>
          <w:iCs w:val="1"/>
          <w:color w:val="auto"/>
        </w:rPr>
        <w:t>“Item 10.E—Taxation—Material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Considerations—Passive Foreign Investment Company Considerations.”</w:t>
      </w:r>
    </w:p>
    <w:p>
      <w:pPr>
        <w:spacing w:after="0" w:line="172"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Danish, U.S. or other foreign tax laws or compliance requirements, or the practical interpretation and administration thereof, could have a material adverse effect on our business, financial condition and results of operations.</w:t>
      </w:r>
    </w:p>
    <w:p>
      <w:pPr>
        <w:spacing w:after="0" w:line="175"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are affected by various Danish, U.S. and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spacing w:after="0" w:line="180"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spacing w:after="0" w:line="172"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5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As the tax landscape is evolving and our business model is evolving, Danish, U.S., or another tax authority could challenge our allocation of income by tax jurisdiction and the amounts paid between our subsidiaries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such an assertion, if successful, could increase our expected tax liability in one or more jurisdictions. A tax authority may take the position that material income tax liabilities, interest and penalties are payable by us, in which case, we expect that we might contest such an assessment. Contesting such an assessment may be lengthy and costly, and if we were unsuccessful in disputing the assessment, the implications could increase our anticipated effective tax 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5" w:lineRule="exact"/>
        <w:rPr>
          <w:sz w:val="20"/>
          <w:szCs w:val="20"/>
          <w:color w:val="auto"/>
        </w:rPr>
      </w:pPr>
    </w:p>
    <w:p>
      <w:pPr>
        <w:ind w:left="60" w:right="79" w:firstLine="324"/>
        <w:spacing w:after="0" w:line="259" w:lineRule="auto"/>
        <w:rPr>
          <w:sz w:val="20"/>
          <w:szCs w:val="20"/>
          <w:color w:val="auto"/>
        </w:rPr>
      </w:pPr>
      <w:r>
        <w:rPr>
          <w:rFonts w:ascii="Times New Roman" w:cs="Times New Roman" w:eastAsia="Times New Roman" w:hAnsi="Times New Roman"/>
          <w:sz w:val="18"/>
          <w:szCs w:val="18"/>
          <w:color w:val="auto"/>
        </w:rPr>
        <w:t>We were incorporated on June 11, 1998, as a private limited liability company (“</w:t>
      </w:r>
      <w:r>
        <w:rPr>
          <w:rFonts w:ascii="Times New Roman" w:cs="Times New Roman" w:eastAsia="Times New Roman" w:hAnsi="Times New Roman"/>
          <w:sz w:val="18"/>
          <w:szCs w:val="18"/>
          <w:b w:val="1"/>
          <w:bCs w:val="1"/>
          <w:color w:val="auto"/>
        </w:rPr>
        <w:t>Anpartsselskab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ApS</w:t>
      </w:r>
      <w:r>
        <w:rPr>
          <w:rFonts w:ascii="Times New Roman" w:cs="Times New Roman" w:eastAsia="Times New Roman" w:hAnsi="Times New Roman"/>
          <w:sz w:val="18"/>
          <w:szCs w:val="18"/>
          <w:color w:val="auto"/>
        </w:rPr>
        <w:t>”) under Danish law as a shelf company and are registered with the Danish Business Authority (Erhvervsstyrelsen) in Copenhagen, Denmark under registration number (CVR) no. 21023884. Our name was changed to Genmab ApS on November 17, 1998, and we commenced operations in February 1999. On May 31, 1999, we were converted into a public limited liability company (“</w:t>
      </w:r>
      <w:r>
        <w:rPr>
          <w:rFonts w:ascii="Times New Roman" w:cs="Times New Roman" w:eastAsia="Times New Roman" w:hAnsi="Times New Roman"/>
          <w:sz w:val="18"/>
          <w:szCs w:val="18"/>
          <w:b w:val="1"/>
          <w:bCs w:val="1"/>
          <w:color w:val="auto"/>
        </w:rPr>
        <w:t>Aktieselskab</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A/S</w:t>
      </w:r>
      <w:r>
        <w:rPr>
          <w:rFonts w:ascii="Times New Roman" w:cs="Times New Roman" w:eastAsia="Times New Roman" w:hAnsi="Times New Roman"/>
          <w:sz w:val="18"/>
          <w:szCs w:val="18"/>
          <w:color w:val="auto"/>
        </w:rPr>
        <w:t>”) and changed our name to Genmab A/S.</w:t>
      </w:r>
    </w:p>
    <w:p>
      <w:pPr>
        <w:spacing w:after="0" w:line="183"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shares are listed on Nasdaq Copenhagen under the symbol “GMAB.” Our ADSs are listed on the NASDAQ in the U.S. under the symbol “GMAB.”</w:t>
      </w:r>
    </w:p>
    <w:p>
      <w:pPr>
        <w:spacing w:after="0" w:line="175"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Legal name:</w:t>
      </w:r>
      <w:r>
        <w:rPr>
          <w:sz w:val="20"/>
          <w:szCs w:val="20"/>
          <w:color w:val="auto"/>
        </w:rPr>
        <w:tab/>
      </w:r>
      <w:r>
        <w:rPr>
          <w:rFonts w:ascii="Times New Roman" w:cs="Times New Roman" w:eastAsia="Times New Roman" w:hAnsi="Times New Roman"/>
          <w:sz w:val="18"/>
          <w:szCs w:val="18"/>
          <w:color w:val="auto"/>
        </w:rPr>
        <w:t>Genmab A/S</w:t>
      </w:r>
    </w:p>
    <w:p>
      <w:pPr>
        <w:spacing w:after="0" w:line="27"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Commercial name:</w:t>
      </w:r>
      <w:r>
        <w:rPr>
          <w:sz w:val="20"/>
          <w:szCs w:val="20"/>
          <w:color w:val="auto"/>
        </w:rPr>
        <w:tab/>
      </w:r>
      <w:r>
        <w:rPr>
          <w:rFonts w:ascii="Times New Roman" w:cs="Times New Roman" w:eastAsia="Times New Roman" w:hAnsi="Times New Roman"/>
          <w:sz w:val="18"/>
          <w:szCs w:val="18"/>
          <w:color w:val="auto"/>
        </w:rPr>
        <w:t>Genmab</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Domicile:</w:t>
      </w:r>
      <w:r>
        <w:rPr>
          <w:sz w:val="20"/>
          <w:szCs w:val="20"/>
          <w:color w:val="auto"/>
        </w:rPr>
        <w:tab/>
      </w:r>
      <w:r>
        <w:rPr>
          <w:rFonts w:ascii="Times New Roman" w:cs="Times New Roman" w:eastAsia="Times New Roman" w:hAnsi="Times New Roman"/>
          <w:sz w:val="18"/>
          <w:szCs w:val="18"/>
          <w:color w:val="auto"/>
        </w:rPr>
        <w:t>Carl Jacobsens Vej 30, 2500 Valby, Denmark</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Tel:</w:t>
      </w:r>
      <w:r>
        <w:rPr>
          <w:sz w:val="20"/>
          <w:szCs w:val="20"/>
          <w:color w:val="auto"/>
        </w:rPr>
        <w:tab/>
      </w:r>
      <w:r>
        <w:rPr>
          <w:rFonts w:ascii="Times New Roman" w:cs="Times New Roman" w:eastAsia="Times New Roman" w:hAnsi="Times New Roman"/>
          <w:sz w:val="18"/>
          <w:szCs w:val="18"/>
          <w:color w:val="auto"/>
        </w:rPr>
        <w:t>+45 70 20 27 28</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Website:</w:t>
      </w:r>
      <w:r>
        <w:rPr>
          <w:sz w:val="20"/>
          <w:szCs w:val="20"/>
          <w:color w:val="auto"/>
        </w:rPr>
        <w:tab/>
      </w:r>
      <w:r>
        <w:rPr>
          <w:rFonts w:ascii="Times New Roman" w:cs="Times New Roman" w:eastAsia="Times New Roman" w:hAnsi="Times New Roman"/>
          <w:sz w:val="18"/>
          <w:szCs w:val="18"/>
          <w:color w:val="auto"/>
        </w:rPr>
        <w:t>www.genmab.com</w:t>
      </w:r>
    </w:p>
    <w:p>
      <w:pPr>
        <w:spacing w:after="0" w:line="9" w:lineRule="exact"/>
        <w:rPr>
          <w:sz w:val="20"/>
          <w:szCs w:val="20"/>
          <w:color w:val="auto"/>
        </w:rPr>
      </w:pPr>
    </w:p>
    <w:p>
      <w:pPr>
        <w:ind w:left="3400" w:right="1099"/>
        <w:spacing w:after="0" w:line="250" w:lineRule="auto"/>
        <w:rPr>
          <w:sz w:val="20"/>
          <w:szCs w:val="20"/>
          <w:color w:val="auto"/>
        </w:rPr>
      </w:pPr>
      <w:r>
        <w:rPr>
          <w:rFonts w:ascii="Times New Roman" w:cs="Times New Roman" w:eastAsia="Times New Roman" w:hAnsi="Times New Roman"/>
          <w:sz w:val="18"/>
          <w:szCs w:val="18"/>
          <w:color w:val="auto"/>
        </w:rPr>
        <w:t>(The contents of this website are not incorporated by reference into this Annual Report on Form 20-F.)</w:t>
      </w:r>
    </w:p>
    <w:p>
      <w:pPr>
        <w:spacing w:after="0" w:line="1"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Date of incorporation:</w:t>
      </w:r>
      <w:r>
        <w:rPr>
          <w:sz w:val="20"/>
          <w:szCs w:val="20"/>
          <w:color w:val="auto"/>
        </w:rPr>
        <w:tab/>
      </w:r>
      <w:r>
        <w:rPr>
          <w:rFonts w:ascii="Times New Roman" w:cs="Times New Roman" w:eastAsia="Times New Roman" w:hAnsi="Times New Roman"/>
          <w:sz w:val="17"/>
          <w:szCs w:val="17"/>
          <w:color w:val="auto"/>
        </w:rPr>
        <w:t>June 11, 1998</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Legal form of the Company:</w:t>
      </w:r>
      <w:r>
        <w:rPr>
          <w:sz w:val="20"/>
          <w:szCs w:val="20"/>
          <w:color w:val="auto"/>
        </w:rPr>
        <w:tab/>
      </w:r>
      <w:r>
        <w:rPr>
          <w:rFonts w:ascii="Times New Roman" w:cs="Times New Roman" w:eastAsia="Times New Roman" w:hAnsi="Times New Roman"/>
          <w:sz w:val="17"/>
          <w:szCs w:val="17"/>
          <w:color w:val="auto"/>
        </w:rPr>
        <w:t>A Danish public limited liability company</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Legislation under which the</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Company operates:</w:t>
      </w:r>
      <w:r>
        <w:rPr>
          <w:sz w:val="20"/>
          <w:szCs w:val="20"/>
          <w:color w:val="auto"/>
        </w:rPr>
        <w:tab/>
      </w:r>
      <w:r>
        <w:rPr>
          <w:rFonts w:ascii="Times New Roman" w:cs="Times New Roman" w:eastAsia="Times New Roman" w:hAnsi="Times New Roman"/>
          <w:sz w:val="18"/>
          <w:szCs w:val="18"/>
          <w:color w:val="auto"/>
        </w:rPr>
        <w:t>Danish law</w:t>
      </w:r>
    </w:p>
    <w:p>
      <w:pPr>
        <w:spacing w:after="0" w:line="9" w:lineRule="exact"/>
        <w:rPr>
          <w:sz w:val="20"/>
          <w:szCs w:val="20"/>
          <w:color w:val="auto"/>
        </w:rPr>
      </w:pPr>
    </w:p>
    <w:p>
      <w:pPr>
        <w:ind w:left="940"/>
        <w:spacing w:after="0"/>
        <w:tabs>
          <w:tab w:leader="none" w:pos="3380" w:val="left"/>
        </w:tabs>
        <w:rPr>
          <w:sz w:val="20"/>
          <w:szCs w:val="20"/>
          <w:color w:val="auto"/>
        </w:rPr>
      </w:pPr>
      <w:r>
        <w:rPr>
          <w:rFonts w:ascii="Times New Roman" w:cs="Times New Roman" w:eastAsia="Times New Roman" w:hAnsi="Times New Roman"/>
          <w:sz w:val="18"/>
          <w:szCs w:val="18"/>
          <w:color w:val="auto"/>
        </w:rPr>
        <w:t>Country of incorporation:</w:t>
      </w:r>
      <w:r>
        <w:rPr>
          <w:sz w:val="20"/>
          <w:szCs w:val="20"/>
          <w:color w:val="auto"/>
        </w:rPr>
        <w:tab/>
      </w: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www.sec.gov that contains reports, proxy and information statements, and other information regarding issuers that file electronically with the SEC.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 description of our acquisition of ProfoundBio Inc. (“</w:t>
      </w:r>
      <w:r>
        <w:rPr>
          <w:rFonts w:ascii="Times New Roman" w:cs="Times New Roman" w:eastAsia="Times New Roman" w:hAnsi="Times New Roman"/>
          <w:sz w:val="18"/>
          <w:szCs w:val="18"/>
          <w:b w:val="1"/>
          <w:bCs w:val="1"/>
          <w:color w:val="auto"/>
        </w:rPr>
        <w:t>ProfoundBio</w:t>
      </w:r>
      <w:r>
        <w:rPr>
          <w:rFonts w:ascii="Times New Roman" w:cs="Times New Roman" w:eastAsia="Times New Roman" w:hAnsi="Times New Roman"/>
          <w:sz w:val="18"/>
          <w:szCs w:val="18"/>
          <w:color w:val="auto"/>
        </w:rPr>
        <w:t xml:space="preserve">”), please refer to </w:t>
      </w:r>
      <w:r>
        <w:rPr>
          <w:rFonts w:ascii="Times New Roman" w:cs="Times New Roman" w:eastAsia="Times New Roman" w:hAnsi="Times New Roman"/>
          <w:sz w:val="18"/>
          <w:szCs w:val="18"/>
          <w:i w:val="1"/>
          <w:iCs w:val="1"/>
          <w:color w:val="auto"/>
        </w:rPr>
        <w:t>“Item 5.A—Operating Results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0" w:right="7179" w:hanging="10"/>
        <w:spacing w:after="0" w:line="503" w:lineRule="auto"/>
        <w:tabs>
          <w:tab w:leader="none" w:pos="40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are an international biotechnology company with a pipeline of novel antibody-based products and product candidates designed to address unmet medical needs and improve treatment outcomes for patients with cancer and other serious diseases. Our goal in building our pipeline is to bring medicines to market ourselves in geographic areas where we believe we will be able to maximize their value.</w:t>
      </w:r>
    </w:p>
    <w:p>
      <w:pPr>
        <w:spacing w:after="0" w:line="180"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current priorities are the commercial or late-stage programs epcoritamab, Rina-S and acasunlimab. Epcoritamab, marketed as EPKINLY in the US and Japan and as TEPKINLY outside of those territories, is being developed and commercialized in collaboration with AbbVie. Epcoritamab is the first and only bispecific antibody approved in the US and Europe to treat both relapsed or refractory (“</w:t>
      </w:r>
      <w:r>
        <w:rPr>
          <w:rFonts w:ascii="Times New Roman" w:cs="Times New Roman" w:eastAsia="Times New Roman" w:hAnsi="Times New Roman"/>
          <w:sz w:val="18"/>
          <w:szCs w:val="18"/>
          <w:b w:val="1"/>
          <w:bCs w:val="1"/>
          <w:color w:val="auto"/>
        </w:rPr>
        <w:t>R/R</w:t>
      </w:r>
      <w:r>
        <w:rPr>
          <w:rFonts w:ascii="Times New Roman" w:cs="Times New Roman" w:eastAsia="Times New Roman" w:hAnsi="Times New Roman"/>
          <w:sz w:val="18"/>
          <w:szCs w:val="18"/>
          <w:color w:val="auto"/>
        </w:rPr>
        <w:t>”) diffuse large b-cell lymphoma (“</w:t>
      </w:r>
      <w:r>
        <w:rPr>
          <w:rFonts w:ascii="Times New Roman" w:cs="Times New Roman" w:eastAsia="Times New Roman" w:hAnsi="Times New Roman"/>
          <w:sz w:val="18"/>
          <w:szCs w:val="18"/>
          <w:b w:val="1"/>
          <w:bCs w:val="1"/>
          <w:color w:val="auto"/>
        </w:rPr>
        <w:t>DLBCL</w:t>
      </w:r>
      <w:r>
        <w:rPr>
          <w:rFonts w:ascii="Times New Roman" w:cs="Times New Roman" w:eastAsia="Times New Roman" w:hAnsi="Times New Roman"/>
          <w:sz w:val="18"/>
          <w:szCs w:val="18"/>
          <w:color w:val="auto"/>
        </w:rPr>
        <w:t>”) and R/R follicular lymphoma (“</w:t>
      </w:r>
      <w:r>
        <w:rPr>
          <w:rFonts w:ascii="Times New Roman" w:cs="Times New Roman" w:eastAsia="Times New Roman" w:hAnsi="Times New Roman"/>
          <w:sz w:val="18"/>
          <w:szCs w:val="18"/>
          <w:b w:val="1"/>
          <w:bCs w:val="1"/>
          <w:color w:val="auto"/>
        </w:rPr>
        <w:t>FL</w:t>
      </w:r>
      <w:r>
        <w:rPr>
          <w:rFonts w:ascii="Times New Roman" w:cs="Times New Roman" w:eastAsia="Times New Roman" w:hAnsi="Times New Roman"/>
          <w:sz w:val="18"/>
          <w:szCs w:val="18"/>
          <w:color w:val="auto"/>
        </w:rPr>
        <w:t>”). It is also approved in Japan for R/R DLBCL. Rina-S and acasunlimab are wholly owned by Genmab and entered Phase III clinical development in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full pipeline includes bispecific T-cell engagers, next-generation immune checkpoint modulators, effector function enhanced antibodies and ADCs. We currently have 12 proprietary products or product candidates in clinical development, which comprise programs where we retain at least 50% of product rights in collaboration with partners. These also include our first proprietary commercial product, tisotumab vedotin, marketed as Tivdak. This is being developed and commercialized in collaboration with Pfizer. In 2024, Tivdak was granted full approval by the FDA for the treatment of adult patients with recurrent or metastatic cervical cancer with disease progression on or after chemotherapy. Tivdak is the first and only FDA approved ADC in this indication. In addition to our marketed products and clinical product candidates, we have multiple in-house and partnered pre-clinical programs.</w:t>
      </w:r>
    </w:p>
    <w:p>
      <w:pPr>
        <w:spacing w:after="0" w:line="192"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7"/>
          <w:szCs w:val="17"/>
          <w:color w:val="auto"/>
        </w:rPr>
        <w:t>In addition to Genmab’s own pipeline of product candidates, our innovation and proprietary technology platforms are applied in the pipelines of global pharmaceutical and biotechnology companies. These companies are running clinical development programs with antibodies created by Genmab or created using Genmab’s proprietary DuoBody bispecific antibody technology platform. The six approved medicines created by Genmab or that incorporate Genmab’s innovation or technology platforms are daratumumab, marketed by J&amp;J as DARZALEX (intravenous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formulation) and DARZALEX </w:t>
      </w:r>
      <w:r>
        <w:rPr>
          <w:rFonts w:ascii="Times New Roman" w:cs="Times New Roman" w:eastAsia="Times New Roman" w:hAnsi="Times New Roman"/>
          <w:sz w:val="17"/>
          <w:szCs w:val="17"/>
          <w:i w:val="1"/>
          <w:iCs w:val="1"/>
          <w:color w:val="auto"/>
        </w:rPr>
        <w:t>FASPRO</w:t>
      </w:r>
      <w:r>
        <w:rPr>
          <w:rFonts w:ascii="Times New Roman" w:cs="Times New Roman" w:eastAsia="Times New Roman" w:hAnsi="Times New Roman"/>
          <w:sz w:val="17"/>
          <w:szCs w:val="17"/>
          <w:color w:val="auto"/>
        </w:rPr>
        <w:t xml:space="preserve"> or DARZALEX SC (SC formulation), approved in the U.S., Europe, Japan and other territories for the treatment of certain indications of MM and AL amyloidosis; amivantamab, marketed in the U.S., Europe and other territories by J&amp;J as RYBREVANT for the treatment of certain adult patients with locally-advanced or metastatic non-small cell lung cancer (“</w:t>
      </w:r>
      <w:r>
        <w:rPr>
          <w:rFonts w:ascii="Times New Roman" w:cs="Times New Roman" w:eastAsia="Times New Roman" w:hAnsi="Times New Roman"/>
          <w:sz w:val="17"/>
          <w:szCs w:val="17"/>
          <w:b w:val="1"/>
          <w:bCs w:val="1"/>
          <w:color w:val="auto"/>
        </w:rPr>
        <w:t>NSCLC</w:t>
      </w:r>
      <w:r>
        <w:rPr>
          <w:rFonts w:ascii="Times New Roman" w:cs="Times New Roman" w:eastAsia="Times New Roman" w:hAnsi="Times New Roman"/>
          <w:sz w:val="17"/>
          <w:szCs w:val="17"/>
          <w:color w:val="auto"/>
        </w:rPr>
        <w:t>”) with epidermal growth factor receptor (“</w:t>
      </w:r>
      <w:r>
        <w:rPr>
          <w:rFonts w:ascii="Times New Roman" w:cs="Times New Roman" w:eastAsia="Times New Roman" w:hAnsi="Times New Roman"/>
          <w:sz w:val="17"/>
          <w:szCs w:val="17"/>
          <w:b w:val="1"/>
          <w:bCs w:val="1"/>
          <w:color w:val="auto"/>
        </w:rPr>
        <w:t>EGFR</w:t>
      </w:r>
      <w:r>
        <w:rPr>
          <w:rFonts w:ascii="Times New Roman" w:cs="Times New Roman" w:eastAsia="Times New Roman" w:hAnsi="Times New Roman"/>
          <w:sz w:val="17"/>
          <w:szCs w:val="17"/>
          <w:color w:val="auto"/>
        </w:rPr>
        <w:t>”) exon 20 insertion mutations; teclistamab, marketed in the U.S. and Europe by J&amp;J as TECVAYLI for certain indications of MM; talquetamab, marketed in the U.S., Europe and other territories by J&amp;J as TALVEY for certain indications of MM; SC ofatumumab, marketed in the U.S., Europe, Japan and other territories as Kesimpta by Novartis for the treatment of relapsing multiple sclerosis (“</w:t>
      </w:r>
      <w:r>
        <w:rPr>
          <w:rFonts w:ascii="Times New Roman" w:cs="Times New Roman" w:eastAsia="Times New Roman" w:hAnsi="Times New Roman"/>
          <w:sz w:val="17"/>
          <w:szCs w:val="17"/>
          <w:b w:val="1"/>
          <w:bCs w:val="1"/>
          <w:color w:val="auto"/>
        </w:rPr>
        <w:t>RMS</w:t>
      </w:r>
      <w:r>
        <w:rPr>
          <w:rFonts w:ascii="Times New Roman" w:cs="Times New Roman" w:eastAsia="Times New Roman" w:hAnsi="Times New Roman"/>
          <w:sz w:val="17"/>
          <w:szCs w:val="17"/>
          <w:color w:val="auto"/>
        </w:rPr>
        <w:t>”); and teprotumumab, marketed in the U.S. and Japan as TEPEZZA by Amgen for the treatment of thyroid eye disease (“</w:t>
      </w:r>
      <w:r>
        <w:rPr>
          <w:rFonts w:ascii="Times New Roman" w:cs="Times New Roman" w:eastAsia="Times New Roman" w:hAnsi="Times New Roman"/>
          <w:sz w:val="17"/>
          <w:szCs w:val="17"/>
          <w:b w:val="1"/>
          <w:bCs w:val="1"/>
          <w:color w:val="auto"/>
        </w:rPr>
        <w:t>TED</w:t>
      </w:r>
      <w:r>
        <w:rPr>
          <w:rFonts w:ascii="Times New Roman" w:cs="Times New Roman" w:eastAsia="Times New Roman" w:hAnsi="Times New Roman"/>
          <w:sz w:val="17"/>
          <w:szCs w:val="17"/>
          <w:color w:val="auto"/>
        </w:rPr>
        <w:t>”). Under the agreements for these products Genmab is entitled to certain potential milestones and royalties.</w:t>
      </w:r>
    </w:p>
    <w:p>
      <w:pPr>
        <w:spacing w:after="0" w:line="18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portfolio includes five proprietary antibody technology platforms: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(iv) our HexElect platform, which combines two HexaBody molecules to maximize potential potency while minimizing potential toxicity by more selective binding to desired target cells; and (v) our ADC platforms, which we acquired through the purchase of ProfoundBio in May 2024. Antibody products created with these technologies may be used in a wide variety of indications including cancer and autoimmune, central nervous system and infectious diseases. These platforms play a key role in building our product pipeline, enhancing our collaborations and generating revenue. We selectively enter into collaborations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strategy to achieve our vision and fulfill our core purpose include:</w:t>
      </w:r>
    </w:p>
    <w:p>
      <w:pPr>
        <w:spacing w:after="0" w:line="221" w:lineRule="exact"/>
        <w:rPr>
          <w:sz w:val="20"/>
          <w:szCs w:val="20"/>
          <w:color w:val="auto"/>
        </w:rPr>
      </w:pPr>
    </w:p>
    <w:p>
      <w:pPr>
        <w:ind w:left="720" w:right="219" w:hanging="319"/>
        <w:spacing w:after="0" w:line="26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Actively advance and expand our proprietary product pipeline. </w:t>
      </w:r>
      <w:r>
        <w:rPr>
          <w:rFonts w:ascii="Times New Roman" w:cs="Times New Roman" w:eastAsia="Times New Roman" w:hAnsi="Times New Roman"/>
          <w:sz w:val="18"/>
          <w:szCs w:val="18"/>
          <w:color w:val="auto"/>
        </w:rPr>
        <w:t>We are actively advancing our promising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product candidates, and specifically our commercial or late-stage programs epcoritamab, Rina-S and acasunlimab, through development and commercialization.</w:t>
      </w:r>
    </w:p>
    <w:p>
      <w:pPr>
        <w:spacing w:after="0" w:line="170" w:lineRule="exact"/>
        <w:rPr>
          <w:rFonts w:ascii="Times New Roman" w:cs="Times New Roman" w:eastAsia="Times New Roman" w:hAnsi="Times New Roman"/>
          <w:sz w:val="18"/>
          <w:szCs w:val="18"/>
          <w:color w:val="auto"/>
        </w:rPr>
      </w:pPr>
    </w:p>
    <w:p>
      <w:pPr>
        <w:ind w:left="720" w:right="239" w:hanging="319"/>
        <w:spacing w:after="0" w:line="26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commercialization capabilities. </w:t>
      </w:r>
      <w:r>
        <w:rPr>
          <w:rFonts w:ascii="Times New Roman" w:cs="Times New Roman" w:eastAsia="Times New Roman" w:hAnsi="Times New Roman"/>
          <w:sz w:val="18"/>
          <w:szCs w:val="18"/>
          <w:color w:val="auto"/>
        </w:rPr>
        <w:t>We are continuing to develop and expand our commercialization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to allow us to bring our own products to market for the indications and in the geographies we determine would create value for patients and our shareholders. Our initial focus for commercialization is in the U.S. and in Japan, with the commercialization of Tivdak and EPKINLY.</w:t>
      </w:r>
    </w:p>
    <w:p>
      <w:pPr>
        <w:spacing w:after="0" w:line="176" w:lineRule="exact"/>
        <w:rPr>
          <w:rFonts w:ascii="Times New Roman" w:cs="Times New Roman" w:eastAsia="Times New Roman" w:hAnsi="Times New Roman"/>
          <w:sz w:val="18"/>
          <w:szCs w:val="18"/>
          <w:color w:val="auto"/>
        </w:rPr>
      </w:pPr>
    </w:p>
    <w:p>
      <w:pPr>
        <w:ind w:left="720" w:right="79" w:hanging="319"/>
        <w:spacing w:after="0" w:line="26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Strengthen our product portfolio with strategic collaborations and potential acquisitions. </w:t>
      </w:r>
      <w:r>
        <w:rPr>
          <w:rFonts w:ascii="Times New Roman" w:cs="Times New Roman" w:eastAsia="Times New Roman" w:hAnsi="Times New Roman"/>
          <w:sz w:val="18"/>
          <w:szCs w:val="18"/>
          <w:color w:val="auto"/>
        </w:rPr>
        <w:t>We enter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product and technology collaborations to build our network in the biotechnology space, to strengthen our portfolio with complementary technologies or products and seek to expand our proprietary product pipeline by developing new products in-house and through selective collaborations. We monitor for potential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879"/>
        <w:spacing w:after="0" w:line="282" w:lineRule="auto"/>
        <w:rPr>
          <w:sz w:val="20"/>
          <w:szCs w:val="20"/>
          <w:color w:val="auto"/>
        </w:rPr>
      </w:pPr>
      <w:r>
        <w:rPr>
          <w:rFonts w:ascii="Times New Roman" w:cs="Times New Roman" w:eastAsia="Times New Roman" w:hAnsi="Times New Roman"/>
          <w:sz w:val="18"/>
          <w:szCs w:val="18"/>
          <w:color w:val="auto"/>
        </w:rPr>
        <w:t>collaborations and acquisitions that would advance our overall strategy, such as the 2024 acquisition of ProfoundBio.</w:t>
      </w:r>
    </w:p>
    <w:p>
      <w:pPr>
        <w:spacing w:after="0" w:line="158" w:lineRule="exact"/>
        <w:rPr>
          <w:sz w:val="20"/>
          <w:szCs w:val="20"/>
          <w:color w:val="auto"/>
        </w:rPr>
      </w:pPr>
    </w:p>
    <w:p>
      <w:pPr>
        <w:ind w:left="720" w:right="299" w:hanging="319"/>
        <w:spacing w:after="0" w:line="257"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proprietary technology platforms. </w:t>
      </w:r>
      <w:r>
        <w:rPr>
          <w:rFonts w:ascii="Times New Roman" w:cs="Times New Roman" w:eastAsia="Times New Roman" w:hAnsi="Times New Roman"/>
          <w:sz w:val="18"/>
          <w:szCs w:val="18"/>
          <w:color w:val="auto"/>
        </w:rPr>
        <w:t>Our leading proprietary antibody technology platforms play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role in building our product pipeline, enhancing our collaborations and generating revenue. Multiple new product candidates are currently being developed by us and our collaboration partners using our technology platforms, including proprietary product candidates created with our DuoBody, HexaBody and ADC technologies. We actively seek collaboration partners interested in developing potential antibody therapeutics using our technologies.</w:t>
      </w:r>
    </w:p>
    <w:p>
      <w:pPr>
        <w:spacing w:after="0" w:line="182" w:lineRule="exact"/>
        <w:rPr>
          <w:rFonts w:ascii="Times New Roman" w:cs="Times New Roman" w:eastAsia="Times New Roman" w:hAnsi="Times New Roman"/>
          <w:sz w:val="18"/>
          <w:szCs w:val="18"/>
          <w:color w:val="auto"/>
        </w:rPr>
      </w:pPr>
    </w:p>
    <w:p>
      <w:pPr>
        <w:ind w:left="720" w:right="419" w:hanging="319"/>
        <w:spacing w:after="0" w:line="26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our translational research capabilities. </w:t>
      </w:r>
      <w:r>
        <w:rPr>
          <w:rFonts w:ascii="Times New Roman" w:cs="Times New Roman" w:eastAsia="Times New Roman" w:hAnsi="Times New Roman"/>
          <w:sz w:val="18"/>
          <w:szCs w:val="18"/>
          <w:color w:val="auto"/>
        </w:rPr>
        <w:t>Leveraging our expertise in antibody technologies and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are expanding our translational research capabilities with the goal of building a library of antibody therapeutics that can be tailored to patients.</w:t>
      </w:r>
    </w:p>
    <w:p>
      <w:pPr>
        <w:spacing w:after="0" w:line="170" w:lineRule="exact"/>
        <w:rPr>
          <w:rFonts w:ascii="Times New Roman" w:cs="Times New Roman" w:eastAsia="Times New Roman" w:hAnsi="Times New Roman"/>
          <w:sz w:val="18"/>
          <w:szCs w:val="18"/>
          <w:color w:val="auto"/>
        </w:rPr>
      </w:pPr>
    </w:p>
    <w:p>
      <w:pPr>
        <w:jc w:val="both"/>
        <w:ind w:left="720" w:right="179" w:hanging="319"/>
        <w:spacing w:after="0" w:line="26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Generate recurring revenue streams from collaborations. </w:t>
      </w:r>
      <w:r>
        <w:rPr>
          <w:rFonts w:ascii="Times New Roman" w:cs="Times New Roman" w:eastAsia="Times New Roman" w:hAnsi="Times New Roman"/>
          <w:sz w:val="18"/>
          <w:szCs w:val="18"/>
          <w:color w:val="auto"/>
        </w:rPr>
        <w:t>There are six medicines on the market developed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commercialized by partners, that were created by Genmab or created using our DuoBody technology. Under the agreements for these medicines, Genmab is entitled to certain potential milestones and royalties.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 and Product Candidates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≥50% Genmab owned medicines or product candidates in ongoing clinical development are discussed below.</w:t>
      </w:r>
    </w:p>
    <w:p>
      <w:pPr>
        <w:spacing w:after="0" w:line="225" w:lineRule="exact"/>
        <w:rPr>
          <w:sz w:val="20"/>
          <w:szCs w:val="20"/>
          <w:color w:val="auto"/>
        </w:rPr>
      </w:pPr>
    </w:p>
    <w:p>
      <w:pPr>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The following charts summarize the disease indications and most advanced development status of medicines or product candidates in development by Genmab or by collaborators who are leveraging Genmab’s innovation and technology.</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Approved Medicines</w:t>
            </w:r>
          </w:p>
        </w:tc>
        <w:tc>
          <w:tcPr>
            <w:tcW w:w="1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80" w:type="dxa"/>
            <w:vAlign w:val="bottom"/>
            <w:tcBorders>
              <w:bottom w:val="single" w:sz="8" w:color="5B9BD5"/>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Approved Product</w:t>
            </w:r>
          </w:p>
        </w:tc>
        <w:tc>
          <w:tcPr>
            <w:tcW w:w="1500" w:type="dxa"/>
            <w:vAlign w:val="bottom"/>
            <w:tcBorders>
              <w:bottom w:val="single" w:sz="8" w:color="5B9BD5"/>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940" w:type="dxa"/>
            <w:vAlign w:val="bottom"/>
            <w:tcBorders>
              <w:bottom w:val="single" w:sz="8" w:color="5B9BD5"/>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Developed By</w:t>
            </w:r>
          </w:p>
        </w:tc>
        <w:tc>
          <w:tcPr>
            <w:tcW w:w="3240" w:type="dxa"/>
            <w:vAlign w:val="bottom"/>
            <w:tcBorders>
              <w:bottom w:val="single" w:sz="8" w:color="5B9BD5"/>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Disease Indication</w:t>
            </w:r>
            <w:r>
              <w:rPr>
                <w:rFonts w:ascii="Times New Roman" w:cs="Times New Roman" w:eastAsia="Times New Roman" w:hAnsi="Times New Roman"/>
                <w:sz w:val="26"/>
                <w:szCs w:val="26"/>
                <w:b w:val="1"/>
                <w:bCs w:val="1"/>
                <w:color w:val="auto"/>
                <w:vertAlign w:val="superscript"/>
              </w:rPr>
              <w:t>1</w:t>
            </w:r>
          </w:p>
        </w:tc>
        <w:tc>
          <w:tcPr>
            <w:tcW w:w="0" w:type="dxa"/>
            <w:vAlign w:val="bottom"/>
          </w:tcPr>
          <w:p>
            <w:pPr>
              <w:spacing w:after="0"/>
              <w:rPr>
                <w:sz w:val="1"/>
                <w:szCs w:val="1"/>
                <w:color w:val="auto"/>
              </w:rPr>
            </w:pPr>
          </w:p>
        </w:tc>
      </w:tr>
      <w:tr>
        <w:trPr>
          <w:trHeight w:val="218"/>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EPKINLY</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CD3xCD20</w:t>
            </w: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Co-development</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in multiple territories including</w:t>
            </w:r>
          </w:p>
        </w:tc>
        <w:tc>
          <w:tcPr>
            <w:tcW w:w="0" w:type="dxa"/>
            <w:vAlign w:val="bottom"/>
          </w:tcPr>
          <w:p>
            <w:pPr>
              <w:spacing w:after="0"/>
              <w:rPr>
                <w:sz w:val="1"/>
                <w:szCs w:val="1"/>
                <w:color w:val="auto"/>
              </w:rPr>
            </w:pPr>
          </w:p>
        </w:tc>
      </w:tr>
      <w:tr>
        <w:trPr>
          <w:trHeight w:val="216"/>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(epcoritamab-bysp,</w:t>
            </w:r>
          </w:p>
        </w:tc>
        <w:tc>
          <w:tcPr>
            <w:tcW w:w="1500" w:type="dxa"/>
            <w:vAlign w:val="bottom"/>
          </w:tcPr>
          <w:p>
            <w:pPr>
              <w:spacing w:after="0"/>
              <w:rPr>
                <w:sz w:val="18"/>
                <w:szCs w:val="18"/>
                <w:color w:val="auto"/>
              </w:rPr>
            </w:pP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Genmab/AbbVie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U.S. and Europe for adult patients</w:t>
            </w:r>
          </w:p>
        </w:tc>
        <w:tc>
          <w:tcPr>
            <w:tcW w:w="0" w:type="dxa"/>
            <w:vAlign w:val="bottom"/>
          </w:tcPr>
          <w:p>
            <w:pPr>
              <w:spacing w:after="0"/>
              <w:rPr>
                <w:sz w:val="1"/>
                <w:szCs w:val="1"/>
                <w:color w:val="auto"/>
              </w:rPr>
            </w:pPr>
          </w:p>
        </w:tc>
      </w:tr>
      <w:tr>
        <w:trPr>
          <w:trHeight w:val="216"/>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epcoritamab)</w:t>
            </w: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relapsed or refractory DLBCL after</w:t>
            </w:r>
          </w:p>
        </w:tc>
        <w:tc>
          <w:tcPr>
            <w:tcW w:w="0" w:type="dxa"/>
            <w:vAlign w:val="bottom"/>
          </w:tcPr>
          <w:p>
            <w:pPr>
              <w:spacing w:after="0"/>
              <w:rPr>
                <w:sz w:val="1"/>
                <w:szCs w:val="1"/>
                <w:color w:val="auto"/>
              </w:rPr>
            </w:pPr>
          </w:p>
        </w:tc>
      </w:tr>
      <w:tr>
        <w:trPr>
          <w:trHeight w:val="216"/>
        </w:trPr>
        <w:tc>
          <w:tcPr>
            <w:tcW w:w="2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TEPKINLY</w:t>
            </w: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two or more lines of systemic therapy and</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Japan for adult patients with certain</w:t>
            </w:r>
          </w:p>
        </w:tc>
        <w:tc>
          <w:tcPr>
            <w:tcW w:w="0" w:type="dxa"/>
            <w:vAlign w:val="bottom"/>
          </w:tcPr>
          <w:p>
            <w:pPr>
              <w:spacing w:after="0"/>
              <w:rPr>
                <w:sz w:val="1"/>
                <w:szCs w:val="1"/>
                <w:color w:val="auto"/>
              </w:rPr>
            </w:pPr>
          </w:p>
        </w:tc>
      </w:tr>
      <w:tr>
        <w:trPr>
          <w:trHeight w:val="212"/>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(epcoritamab)</w:t>
            </w: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types of relapsed or refractory large B-</w:t>
            </w:r>
          </w:p>
        </w:tc>
        <w:tc>
          <w:tcPr>
            <w:tcW w:w="0" w:type="dxa"/>
            <w:vAlign w:val="bottom"/>
          </w:tcPr>
          <w:p>
            <w:pPr>
              <w:spacing w:after="0"/>
              <w:rPr>
                <w:sz w:val="1"/>
                <w:szCs w:val="1"/>
                <w:color w:val="auto"/>
              </w:rPr>
            </w:pPr>
          </w:p>
        </w:tc>
      </w:tr>
      <w:tr>
        <w:trPr>
          <w:trHeight w:val="220"/>
        </w:trPr>
        <w:tc>
          <w:tcPr>
            <w:tcW w:w="2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cell lymphoma (“</w:t>
            </w:r>
            <w:r>
              <w:rPr>
                <w:rFonts w:ascii="Times New Roman" w:cs="Times New Roman" w:eastAsia="Times New Roman" w:hAnsi="Times New Roman"/>
                <w:sz w:val="18"/>
                <w:szCs w:val="18"/>
                <w:b w:val="1"/>
                <w:bCs w:val="1"/>
                <w:color w:val="auto"/>
              </w:rPr>
              <w:t>LBCL</w:t>
            </w:r>
            <w:r>
              <w:rPr>
                <w:rFonts w:ascii="Times New Roman" w:cs="Times New Roman" w:eastAsia="Times New Roman" w:hAnsi="Times New Roman"/>
                <w:sz w:val="18"/>
                <w:szCs w:val="18"/>
                <w:color w:val="auto"/>
              </w:rPr>
              <w:t>”) after two or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more lines of systemic therapy</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40" w:type="dxa"/>
            <w:vAlign w:val="bottom"/>
            <w:tcBorders>
              <w:bottom w:val="single" w:sz="8" w:color="5B9BD5"/>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in multiple territories including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U.S. and Europe for adult patients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relapsed or refractory FL after two</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more lines of systemic therapy</w:t>
            </w:r>
          </w:p>
        </w:tc>
        <w:tc>
          <w:tcPr>
            <w:tcW w:w="0" w:type="dxa"/>
            <w:vAlign w:val="bottom"/>
          </w:tcPr>
          <w:p>
            <w:pPr>
              <w:spacing w:after="0"/>
              <w:rPr>
                <w:sz w:val="1"/>
                <w:szCs w:val="1"/>
                <w:color w:val="auto"/>
              </w:rPr>
            </w:pPr>
          </w:p>
        </w:tc>
      </w:tr>
      <w:tr>
        <w:trPr>
          <w:trHeight w:val="27"/>
        </w:trPr>
        <w:tc>
          <w:tcPr>
            <w:tcW w:w="2080" w:type="dxa"/>
            <w:vAlign w:val="bottom"/>
            <w:tcBorders>
              <w:bottom w:val="single" w:sz="8" w:color="5B9BD5"/>
            </w:tcBorders>
          </w:tcPr>
          <w:p>
            <w:pPr>
              <w:spacing w:after="0"/>
              <w:rPr>
                <w:sz w:val="2"/>
                <w:szCs w:val="2"/>
                <w:color w:val="auto"/>
              </w:rPr>
            </w:pPr>
          </w:p>
        </w:tc>
        <w:tc>
          <w:tcPr>
            <w:tcW w:w="1500" w:type="dxa"/>
            <w:vAlign w:val="bottom"/>
            <w:tcBorders>
              <w:bottom w:val="single" w:sz="8" w:color="5B9BD5"/>
            </w:tcBorders>
          </w:tcPr>
          <w:p>
            <w:pPr>
              <w:spacing w:after="0"/>
              <w:rPr>
                <w:sz w:val="2"/>
                <w:szCs w:val="2"/>
                <w:color w:val="auto"/>
              </w:rPr>
            </w:pPr>
          </w:p>
        </w:tc>
        <w:tc>
          <w:tcPr>
            <w:tcW w:w="1940" w:type="dxa"/>
            <w:vAlign w:val="bottom"/>
            <w:tcBorders>
              <w:bottom w:val="single" w:sz="8" w:color="5B9BD5"/>
            </w:tcBorders>
          </w:tcPr>
          <w:p>
            <w:pPr>
              <w:spacing w:after="0"/>
              <w:rPr>
                <w:sz w:val="2"/>
                <w:szCs w:val="2"/>
                <w:color w:val="auto"/>
              </w:rPr>
            </w:pPr>
          </w:p>
        </w:tc>
        <w:tc>
          <w:tcPr>
            <w:tcW w:w="3240" w:type="dxa"/>
            <w:vAlign w:val="bottom"/>
            <w:tcBorders>
              <w:bottom w:val="single" w:sz="8" w:color="5B9BD5"/>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Tivdak</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TF</w:t>
            </w: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Co-development</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Approved in the U.S. for adult patients</w:t>
            </w:r>
          </w:p>
        </w:tc>
        <w:tc>
          <w:tcPr>
            <w:tcW w:w="0" w:type="dxa"/>
            <w:vAlign w:val="bottom"/>
          </w:tcPr>
          <w:p>
            <w:pPr>
              <w:spacing w:after="0"/>
              <w:rPr>
                <w:sz w:val="1"/>
                <w:szCs w:val="1"/>
                <w:color w:val="auto"/>
              </w:rPr>
            </w:pPr>
          </w:p>
        </w:tc>
      </w:tr>
      <w:tr>
        <w:trPr>
          <w:trHeight w:val="216"/>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(tisotumab vedotin-tftv)</w:t>
            </w:r>
          </w:p>
        </w:tc>
        <w:tc>
          <w:tcPr>
            <w:tcW w:w="1500" w:type="dxa"/>
            <w:vAlign w:val="bottom"/>
          </w:tcPr>
          <w:p>
            <w:pPr>
              <w:spacing w:after="0"/>
              <w:rPr>
                <w:sz w:val="18"/>
                <w:szCs w:val="18"/>
                <w:color w:val="auto"/>
              </w:rPr>
            </w:pP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Genmab/Pfizer</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recurrent/metastatic cervical cancer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disease progression on or after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chemotherapy</w:t>
            </w:r>
          </w:p>
        </w:tc>
        <w:tc>
          <w:tcPr>
            <w:tcW w:w="0" w:type="dxa"/>
            <w:vAlign w:val="bottom"/>
          </w:tcPr>
          <w:p>
            <w:pPr>
              <w:spacing w:after="0"/>
              <w:rPr>
                <w:sz w:val="1"/>
                <w:szCs w:val="1"/>
                <w:color w:val="auto"/>
              </w:rPr>
            </w:pPr>
          </w:p>
        </w:tc>
      </w:tr>
      <w:tr>
        <w:trPr>
          <w:trHeight w:val="27"/>
        </w:trPr>
        <w:tc>
          <w:tcPr>
            <w:tcW w:w="2080" w:type="dxa"/>
            <w:vAlign w:val="bottom"/>
            <w:tcBorders>
              <w:bottom w:val="single" w:sz="8" w:color="5B9BD5"/>
            </w:tcBorders>
          </w:tcPr>
          <w:p>
            <w:pPr>
              <w:spacing w:after="0"/>
              <w:rPr>
                <w:sz w:val="2"/>
                <w:szCs w:val="2"/>
                <w:color w:val="auto"/>
              </w:rPr>
            </w:pPr>
          </w:p>
        </w:tc>
        <w:tc>
          <w:tcPr>
            <w:tcW w:w="1500" w:type="dxa"/>
            <w:vAlign w:val="bottom"/>
            <w:tcBorders>
              <w:bottom w:val="single" w:sz="8" w:color="5B9BD5"/>
            </w:tcBorders>
          </w:tcPr>
          <w:p>
            <w:pPr>
              <w:spacing w:after="0"/>
              <w:rPr>
                <w:sz w:val="2"/>
                <w:szCs w:val="2"/>
                <w:color w:val="auto"/>
              </w:rPr>
            </w:pPr>
          </w:p>
        </w:tc>
        <w:tc>
          <w:tcPr>
            <w:tcW w:w="1940" w:type="dxa"/>
            <w:vAlign w:val="bottom"/>
            <w:tcBorders>
              <w:bottom w:val="single" w:sz="8" w:color="5B9BD5"/>
            </w:tcBorders>
          </w:tcPr>
          <w:p>
            <w:pPr>
              <w:spacing w:after="0"/>
              <w:rPr>
                <w:sz w:val="2"/>
                <w:szCs w:val="2"/>
                <w:color w:val="auto"/>
              </w:rPr>
            </w:pPr>
          </w:p>
        </w:tc>
        <w:tc>
          <w:tcPr>
            <w:tcW w:w="3240" w:type="dxa"/>
            <w:vAlign w:val="bottom"/>
            <w:tcBorders>
              <w:bottom w:val="single" w:sz="8" w:color="5B9BD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Pipeline, Including Further Development for Approved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19685</wp:posOffset>
            </wp:positionV>
            <wp:extent cx="5554980" cy="2648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55498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2024, Genmab discontinued the GEN1047 (DuoBody-CD3xB7H4), GEN3017 (DuoBody-CD3xCD30) and GEN1056 (with BioNTech, BNT322) programs following a strategic re-evaluation of Genmab’s portfolio. For similar reasons, Genmab and BioNTech took the decision to discontinue the clinical development of GEN1053 (HexaBody-CD27, BNT313) including the Phase I/II clinical trial (NCT05435339) in solid tumors.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Epcoritamab</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Epcoritamab is a proprietary bispecific antibody therapeutic created using our proprietary DuoBody technology platform. Epcoritamab targets CD3, which is expressed on T-cells, and CD20, a clinically validated target on malignant B-cells. We used technology licensed from Medarex, Inc. (“</w:t>
      </w:r>
      <w:r>
        <w:rPr>
          <w:rFonts w:ascii="Times New Roman" w:cs="Times New Roman" w:eastAsia="Times New Roman" w:hAnsi="Times New Roman"/>
          <w:sz w:val="18"/>
          <w:szCs w:val="18"/>
          <w:b w:val="1"/>
          <w:bCs w:val="1"/>
          <w:color w:val="auto"/>
        </w:rPr>
        <w:t>Medarex</w:t>
      </w:r>
      <w:r>
        <w:rPr>
          <w:rFonts w:ascii="Times New Roman" w:cs="Times New Roman" w:eastAsia="Times New Roman" w:hAnsi="Times New Roman"/>
          <w:sz w:val="18"/>
          <w:szCs w:val="18"/>
          <w:color w:val="auto"/>
        </w:rPr>
        <w:t>”) to generate the CD20 antibody forming part of epcoritamab. We are co-developing, and co-commercializing in the U.S. and Japan, epcoritamab in collaboration with AbbVie. The companies have a broad clinical development program for epcoritamab including five ongoing Phase III trials and additional trials in planning. Epcoritamab is marketed as EPKINLY in the U.S., Japan, and other regions, and as TEPKINLY in Europe and other regions.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Epcoritamab for the Treatment of B-cell Malignancies</w:t>
      </w:r>
    </w:p>
    <w:p>
      <w:pPr>
        <w:spacing w:after="0" w:line="223"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DLBCL is the most common type of B-cell non-Hodgkin lymphoma (“</w:t>
      </w:r>
      <w:r>
        <w:rPr>
          <w:rFonts w:ascii="Times New Roman" w:cs="Times New Roman" w:eastAsia="Times New Roman" w:hAnsi="Times New Roman"/>
          <w:sz w:val="18"/>
          <w:szCs w:val="18"/>
          <w:b w:val="1"/>
          <w:bCs w:val="1"/>
          <w:color w:val="auto"/>
        </w:rPr>
        <w:t>B-NHL</w:t>
      </w:r>
      <w:r>
        <w:rPr>
          <w:rFonts w:ascii="Times New Roman" w:cs="Times New Roman" w:eastAsia="Times New Roman" w:hAnsi="Times New Roman"/>
          <w:sz w:val="18"/>
          <w:szCs w:val="18"/>
          <w:color w:val="auto"/>
        </w:rPr>
        <w:t>”) worldwide, accounting for approximately 25% - 30% of all NHL cases. In the U.S. there are approximately 25,000 new cases of DLBCL diagnosed each year. DLBCL can arise in lymph nodes as well as in organs outside of the lymphatic system, occurs more commonly in the elderly and is slightly more prevalent in men. DLBCL is a fast-growing type of NHL, a cancer that develops in the lymphatic system and affects B-cell lymphocytes, a type of white blood cell. For many people living with DLBCL, their cancer either relapses, which means it may return after treatment, or becomes refractory, meaning it does not respond to treatment. Although new therapies have become available, treatment management can remain a challenge.</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FL is typically a slow-growing form NHL of that arises from B-cell lymphocytes. FL is the second most common form of NHL overall, accounting for 20-30 percent of all NHL cases, and represents 10-20 percent of all lymphomas in the western world. FL is considered incurable, and there is no standard of care treatment for third-line or later FL. Patients who achieve remission also often experience relapse. In March 2022, November 2023 and September 2024, the FDA granted orphan-drug designation and BTD respectively to epcoritamab for the treatment of FL.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Approvals and Results</w:t>
      </w:r>
    </w:p>
    <w:p>
      <w:pPr>
        <w:spacing w:after="0" w:line="225" w:lineRule="exact"/>
        <w:rPr>
          <w:sz w:val="20"/>
          <w:szCs w:val="20"/>
          <w:color w:val="auto"/>
        </w:rPr>
      </w:pPr>
    </w:p>
    <w:p>
      <w:pPr>
        <w:ind w:left="60" w:right="119" w:firstLine="324"/>
        <w:spacing w:after="0" w:line="218" w:lineRule="exact"/>
        <w:rPr>
          <w:sz w:val="20"/>
          <w:szCs w:val="20"/>
          <w:color w:val="auto"/>
        </w:rPr>
      </w:pPr>
      <w:r>
        <w:rPr>
          <w:rFonts w:ascii="Times New Roman" w:cs="Times New Roman" w:eastAsia="Times New Roman" w:hAnsi="Times New Roman"/>
          <w:sz w:val="18"/>
          <w:szCs w:val="18"/>
          <w:i w:val="1"/>
          <w:iCs w:val="1"/>
          <w:color w:val="auto"/>
        </w:rPr>
        <w:t>R/R DLBCL</w:t>
      </w:r>
      <w:r>
        <w:rPr>
          <w:rFonts w:ascii="Times New Roman" w:cs="Times New Roman" w:eastAsia="Times New Roman" w:hAnsi="Times New Roman"/>
          <w:sz w:val="18"/>
          <w:szCs w:val="18"/>
          <w:color w:val="auto"/>
        </w:rPr>
        <w:t>. Epcoritamab received accelerated FDA approval in May 2023, as EPKINLY, for the treatment of adult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R/R DLBCL, not otherwise specified, including DLBCL arising from indolent lymphoma, and high-grade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lymphoma, after two or more lines of systemic therapy. EPKINLY was approved under accelerated approval based on response rate and durability of response. Continued approval for this indication is contingent upon verification and description of clinical benefit in a confirmatory trial. In June 2023, epcoritamab was added to the National Comprehensive Cancer Network (“</w:t>
      </w:r>
      <w:r>
        <w:rPr>
          <w:rFonts w:ascii="Times New Roman" w:cs="Times New Roman" w:eastAsia="Times New Roman" w:hAnsi="Times New Roman"/>
          <w:sz w:val="18"/>
          <w:szCs w:val="18"/>
          <w:b w:val="1"/>
          <w:bCs w:val="1"/>
          <w:color w:val="auto"/>
        </w:rPr>
        <w:t>NCCN</w:t>
      </w:r>
      <w:r>
        <w:rPr>
          <w:rFonts w:ascii="Times New Roman" w:cs="Times New Roman" w:eastAsia="Times New Roman" w:hAnsi="Times New Roman"/>
          <w:sz w:val="18"/>
          <w:szCs w:val="18"/>
          <w:color w:val="auto"/>
        </w:rPr>
        <w:t>”) Clinical Practice Guidelines in Oncology for “B-cell Lymphomas” (Version 4.2023) for third-line and subsequent therapy for patients with DLBCL, including patients with disease progression after transplant or chimeric antigen receptor (“</w:t>
      </w:r>
      <w:r>
        <w:rPr>
          <w:rFonts w:ascii="Times New Roman" w:cs="Times New Roman" w:eastAsia="Times New Roman" w:hAnsi="Times New Roman"/>
          <w:sz w:val="18"/>
          <w:szCs w:val="18"/>
          <w:b w:val="1"/>
          <w:bCs w:val="1"/>
          <w:color w:val="auto"/>
        </w:rPr>
        <w:t>CAR-T</w:t>
      </w:r>
      <w:r>
        <w:rPr>
          <w:rFonts w:ascii="Times New Roman" w:cs="Times New Roman" w:eastAsia="Times New Roman" w:hAnsi="Times New Roman"/>
          <w:sz w:val="18"/>
          <w:szCs w:val="18"/>
          <w:color w:val="auto"/>
        </w:rPr>
        <w:t>”) cell therapy and as a Category 2A, preferred regimen for patients with histologic transformation of indolent lymphomas to DLBCL and no intention to proceed to transplant, including patients with disease progression after transplant or CAR-T cell therapy.</w:t>
      </w:r>
    </w:p>
    <w:p>
      <w:pPr>
        <w:spacing w:after="0" w:line="20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September 2023, epcoritamab was granted both conditional marketing authorization by the European Commission and approval by the Japanese Ministry of Health, Labor and Welfare (“</w:t>
      </w:r>
      <w:r>
        <w:rPr>
          <w:rFonts w:ascii="Times New Roman" w:cs="Times New Roman" w:eastAsia="Times New Roman" w:hAnsi="Times New Roman"/>
          <w:sz w:val="18"/>
          <w:szCs w:val="18"/>
          <w:b w:val="1"/>
          <w:bCs w:val="1"/>
          <w:color w:val="auto"/>
        </w:rPr>
        <w:t>MHLW”</w:t>
      </w:r>
      <w:r>
        <w:rPr>
          <w:rFonts w:ascii="Times New Roman" w:cs="Times New Roman" w:eastAsia="Times New Roman" w:hAnsi="Times New Roman"/>
          <w:sz w:val="18"/>
          <w:szCs w:val="18"/>
          <w:color w:val="auto"/>
        </w:rPr>
        <w:t>). In Europe epcoritamab, marketed as TEPKINLY, was approved as a monotherapy for the treatment of adult patients with R/R DLBCL after two or more lines of systemic therapy. Similar to the accelerated FDA approval in the U.S., this marketing authorization is contingent upon verification and description of clinical benefit in a confirmatory trial. In Japan, epcoritamab, marketed as EPKINLY, was approved for the treatment of adult patients with certain types of R/R LBCL, including DLBCL, high-grade B-cell lymphoma (“</w:t>
      </w:r>
      <w:r>
        <w:rPr>
          <w:rFonts w:ascii="Times New Roman" w:cs="Times New Roman" w:eastAsia="Times New Roman" w:hAnsi="Times New Roman"/>
          <w:sz w:val="18"/>
          <w:szCs w:val="18"/>
          <w:b w:val="1"/>
          <w:bCs w:val="1"/>
          <w:color w:val="auto"/>
        </w:rPr>
        <w:t>HGBCL</w:t>
      </w:r>
      <w:r>
        <w:rPr>
          <w:rFonts w:ascii="Times New Roman" w:cs="Times New Roman" w:eastAsia="Times New Roman" w:hAnsi="Times New Roman"/>
          <w:sz w:val="18"/>
          <w:szCs w:val="18"/>
          <w:color w:val="auto"/>
        </w:rPr>
        <w:t>”), primary mediastinal large B-cell lymphoma (“</w:t>
      </w:r>
      <w:r>
        <w:rPr>
          <w:rFonts w:ascii="Times New Roman" w:cs="Times New Roman" w:eastAsia="Times New Roman" w:hAnsi="Times New Roman"/>
          <w:sz w:val="18"/>
          <w:szCs w:val="18"/>
          <w:b w:val="1"/>
          <w:bCs w:val="1"/>
          <w:color w:val="auto"/>
        </w:rPr>
        <w:t>PMBCL</w:t>
      </w:r>
      <w:r>
        <w:rPr>
          <w:rFonts w:ascii="Times New Roman" w:cs="Times New Roman" w:eastAsia="Times New Roman" w:hAnsi="Times New Roman"/>
          <w:sz w:val="18"/>
          <w:szCs w:val="18"/>
          <w:color w:val="auto"/>
        </w:rPr>
        <w:t>”) and follicular lymphoma grade 3B (“</w:t>
      </w:r>
      <w:r>
        <w:rPr>
          <w:rFonts w:ascii="Times New Roman" w:cs="Times New Roman" w:eastAsia="Times New Roman" w:hAnsi="Times New Roman"/>
          <w:sz w:val="18"/>
          <w:szCs w:val="18"/>
          <w:b w:val="1"/>
          <w:bCs w:val="1"/>
          <w:color w:val="auto"/>
        </w:rPr>
        <w:t>FL3B</w:t>
      </w:r>
      <w:r>
        <w:rPr>
          <w:rFonts w:ascii="Times New Roman" w:cs="Times New Roman" w:eastAsia="Times New Roman" w:hAnsi="Times New Roman"/>
          <w:sz w:val="18"/>
          <w:szCs w:val="18"/>
          <w:color w:val="auto"/>
        </w:rPr>
        <w:t>”), after two or more lines of systemic therapy.</w:t>
      </w:r>
    </w:p>
    <w:p>
      <w:pPr>
        <w:spacing w:after="0" w:line="19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7"/>
          <w:szCs w:val="17"/>
          <w:color w:val="auto"/>
        </w:rPr>
        <w:t>The approvals were supported by results from the LBCL cohort of the pivotal Phase II EPCORE NHL-1 open-label, multi-center trial evaluating the safety and preliminary efficacy of epcoritamab in patients with relapsed, progressive or refractory CD20+ mature B-NHL, including DLBCL. Approval in Japan was also based on the EPCORE NHL-3 clinical trial. Data from the EPCORE NHL-1 trial was presented as part of a late-breaking oral presentation selected for the Presidential Symposium at the European Hematology Association Annual Congress in June 2022. In the trial, treatment with epcoritamab demonstrated deep and durable responses with an objective response rate (“</w:t>
      </w:r>
      <w:r>
        <w:rPr>
          <w:rFonts w:ascii="Times New Roman" w:cs="Times New Roman" w:eastAsia="Times New Roman" w:hAnsi="Times New Roman"/>
          <w:sz w:val="17"/>
          <w:szCs w:val="17"/>
          <w:b w:val="1"/>
          <w:bCs w:val="1"/>
          <w:color w:val="auto"/>
        </w:rPr>
        <w:t>ORR</w:t>
      </w:r>
      <w:r>
        <w:rPr>
          <w:rFonts w:ascii="Times New Roman" w:cs="Times New Roman" w:eastAsia="Times New Roman" w:hAnsi="Times New Roman"/>
          <w:sz w:val="17"/>
          <w:szCs w:val="17"/>
          <w:color w:val="auto"/>
        </w:rPr>
        <w:t>”) of 63% and a CR of 39% in patients who had previously received at least two prior lines of systemic anti-lymphoma therapy. Additionally, patients naïve to treatment with CAR-T achieved 69% ORR and 42% CR and patients previously treated with CAR-T achieved a 54% ORR and 34% CR. After a median follow up of 10.7 months, the median duration of response (“</w:t>
      </w:r>
      <w:r>
        <w:rPr>
          <w:rFonts w:ascii="Times New Roman" w:cs="Times New Roman" w:eastAsia="Times New Roman" w:hAnsi="Times New Roman"/>
          <w:sz w:val="17"/>
          <w:szCs w:val="17"/>
          <w:b w:val="1"/>
          <w:bCs w:val="1"/>
          <w:color w:val="auto"/>
        </w:rPr>
        <w:t>mDoR</w:t>
      </w:r>
      <w:r>
        <w:rPr>
          <w:rFonts w:ascii="Times New Roman" w:cs="Times New Roman" w:eastAsia="Times New Roman" w:hAnsi="Times New Roman"/>
          <w:sz w:val="17"/>
          <w:szCs w:val="17"/>
          <w:color w:val="auto"/>
        </w:rPr>
        <w:t>”) was estimated to be 12 months, while the mDoR among patients achieving a CR was not reached, with 89% still in CR at nine months. The safety profile of epcoritamab was manageable and consistent with previous findings. The treatment emergent adverse events (”</w:t>
      </w:r>
      <w:r>
        <w:rPr>
          <w:rFonts w:ascii="Times New Roman" w:cs="Times New Roman" w:eastAsia="Times New Roman" w:hAnsi="Times New Roman"/>
          <w:sz w:val="17"/>
          <w:szCs w:val="17"/>
          <w:b w:val="1"/>
          <w:bCs w:val="1"/>
          <w:color w:val="auto"/>
        </w:rPr>
        <w:t>TEAEs</w:t>
      </w:r>
      <w:r>
        <w:rPr>
          <w:rFonts w:ascii="Times New Roman" w:cs="Times New Roman" w:eastAsia="Times New Roman" w:hAnsi="Times New Roman"/>
          <w:sz w:val="17"/>
          <w:szCs w:val="17"/>
          <w:color w:val="auto"/>
        </w:rPr>
        <w:t>”) occurred during the first 12 weeks of treatment and resolved. The most common TEAEs of any grade (greater than or equal to 15%) included cytokine release syndrome (“</w:t>
      </w:r>
      <w:r>
        <w:rPr>
          <w:rFonts w:ascii="Times New Roman" w:cs="Times New Roman" w:eastAsia="Times New Roman" w:hAnsi="Times New Roman"/>
          <w:sz w:val="17"/>
          <w:szCs w:val="17"/>
          <w:b w:val="1"/>
          <w:bCs w:val="1"/>
          <w:color w:val="auto"/>
        </w:rPr>
        <w:t>CRS</w:t>
      </w:r>
      <w:r>
        <w:rPr>
          <w:rFonts w:ascii="Times New Roman" w:cs="Times New Roman" w:eastAsia="Times New Roman" w:hAnsi="Times New Roman"/>
          <w:sz w:val="17"/>
          <w:szCs w:val="17"/>
          <w:color w:val="auto"/>
        </w:rPr>
        <w:t>”) (49.7%), pyrexia</w:t>
      </w:r>
    </w:p>
    <w:p>
      <w:pPr>
        <w:spacing w:after="0" w:line="10" w:lineRule="exact"/>
        <w:rPr>
          <w:sz w:val="20"/>
          <w:szCs w:val="20"/>
          <w:color w:val="auto"/>
        </w:rPr>
      </w:pPr>
    </w:p>
    <w:p>
      <w:pPr>
        <w:ind w:left="60" w:right="399"/>
        <w:spacing w:after="0" w:line="253" w:lineRule="auto"/>
        <w:rPr>
          <w:sz w:val="20"/>
          <w:szCs w:val="20"/>
          <w:color w:val="auto"/>
        </w:rPr>
      </w:pPr>
      <w:r>
        <w:rPr>
          <w:rFonts w:ascii="Times New Roman" w:cs="Times New Roman" w:eastAsia="Times New Roman" w:hAnsi="Times New Roman"/>
          <w:sz w:val="18"/>
          <w:szCs w:val="18"/>
          <w:color w:val="auto"/>
        </w:rPr>
        <w:t>(23.6%), fatigue (22.9%), neutropenia (21.7%), diarrhea (20.4%), injection site reaction (19.7%), nausea (19.7%), and anemia (17.8%). The most common Grade 3 or 4 TEAEs (greater than or equal to 5%) included neutropenia (14.6%), anemia (10.2%), neutrophil count decrease (6.4%), and thrombocytopenia (5.7%). The observed Grade 3 CRS was low (2.5%). No Grade 4/5 CRS was observed.</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R/R FL</w:t>
      </w:r>
      <w:r>
        <w:rPr>
          <w:rFonts w:ascii="Times New Roman" w:cs="Times New Roman" w:eastAsia="Times New Roman" w:hAnsi="Times New Roman"/>
          <w:sz w:val="18"/>
          <w:szCs w:val="18"/>
          <w:color w:val="auto"/>
        </w:rPr>
        <w:t>. Epcoritamab also received accelerated FDA approval in June 2024, as EPKINLY, for the treatment of adults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R/R FL after two or more lines of systemic therapy. With this approval, EPKINLY is the first and only T-cell engaging bispecific antibody administered subcutaneously approved in the U.S. to treat this patient population. This indication is approved under accelerated approval based on response rate. Continued approval for this indication may be contingent upon verification and description of clinical benefit in a confirmatory clinical trial(s). In May 2024, epcoritamab was added to the NCCN Clinical Practice Guidelines in Oncology for “B-cell Lymphomas” (Version 2.2024) for third-line and subsequent therapy for patients with FL as a Category 2A preferred regimen.</w:t>
      </w:r>
    </w:p>
    <w:p>
      <w:pPr>
        <w:spacing w:after="0" w:line="185"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In August 2024, epcoritamab was granted conditional marketing authorization by the European Commission as a monotherapy for the treatment of adult patients with R/R FL after two or more lines of systemic therapy. In March 2024, Genmab submitted a supplemental Japan New Drug Application ("</w:t>
      </w:r>
      <w:r>
        <w:rPr>
          <w:rFonts w:ascii="Times New Roman" w:cs="Times New Roman" w:eastAsia="Times New Roman" w:hAnsi="Times New Roman"/>
          <w:sz w:val="18"/>
          <w:szCs w:val="18"/>
          <w:b w:val="1"/>
          <w:bCs w:val="1"/>
          <w:color w:val="auto"/>
        </w:rPr>
        <w:t>J-NDA</w:t>
      </w:r>
      <w:r>
        <w:rPr>
          <w:rFonts w:ascii="Times New Roman" w:cs="Times New Roman" w:eastAsia="Times New Roman" w:hAnsi="Times New Roman"/>
          <w:sz w:val="18"/>
          <w:szCs w:val="18"/>
          <w:color w:val="auto"/>
        </w:rPr>
        <w:t>") to the MHLW in Japan for the same indication.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approvals were supported by results from the FL cohort of the pivotal Phase II EPCORE NHL-1 trial. In June 2023 we announced positive topline results from this cohort. The study cohort included 128 adult patients with R/R FL who received at least two prior lines of systemic therapy. 70.3% of patients were double refractory to an anti-CD20 monoclonal antibody and an alkylating agent. The topline results from this cohort showed an ORR of 82% as confirmed by an independent review committee, which exceeded the protocol prespecified threshold for efficacy. The observed mDoR was not reached. No new safety signals were observed with epcoritamab in this study at the time of analysis. The most common treatment-emergent adverse event was CRS with 66.4% (1.6% grade &gt;2). Aligned with the FDA’s Project Optimus, the optimization part of the trial continued to evaluate alternative step-up dosing regimens to mitigate the risk of CRS; preliminary data on the initial patients enrolled indicate a clinical improvement in CRS rate. The results from this cohort, along with the results from the optimization part of the trial, were presented during the American Society of Hematology (“</w:t>
      </w:r>
      <w:r>
        <w:rPr>
          <w:rFonts w:ascii="Times New Roman" w:cs="Times New Roman" w:eastAsia="Times New Roman" w:hAnsi="Times New Roman"/>
          <w:sz w:val="18"/>
          <w:szCs w:val="18"/>
          <w:b w:val="1"/>
          <w:bCs w:val="1"/>
          <w:color w:val="auto"/>
        </w:rPr>
        <w:t>ASH</w:t>
      </w:r>
      <w:r>
        <w:rPr>
          <w:rFonts w:ascii="Times New Roman" w:cs="Times New Roman" w:eastAsia="Times New Roman" w:hAnsi="Times New Roman"/>
          <w:sz w:val="18"/>
          <w:szCs w:val="18"/>
          <w:color w:val="auto"/>
        </w:rPr>
        <w:t>”) Annual Meeting in December 2023.</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Ongoing Phase III Trials</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Along with our collaboration partner, AbbVie, we are currently evaluating SC epcoritamab for the treatment of B-cell malignancies including DLBCL, FL and CLL in multiple clinical trials. Additional trials, including Phase III trials, are expected. Following are the ongoing Phase III trials:</w:t>
      </w:r>
    </w:p>
    <w:p>
      <w:pPr>
        <w:spacing w:after="0" w:line="17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EPCORE DLBCL-1 was the first Phase III trial of epcoritamab. The purpose of the open label, randomized, multi-center trial is to evaluate the efficacy of epcoritamab compared to investigator’s choice of chemotherapy in patients with R/R DLBCL who have failed or are ineligible for autologous stem cell transplant (“ASCT.”) The trial is fully recruited and currently ongoing.</w:t>
      </w:r>
    </w:p>
    <w:p>
      <w:pPr>
        <w:spacing w:after="0" w:line="180"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EPCORE DLBCL-2 is a Phase III randomized, open-label trial to evaluate the safety and efficacy of epcoritamab in combination with rituximab, cyclophosphamide, doxorubicin hydrochloride, vincristine, and prednisone (“</w:t>
      </w:r>
      <w:r>
        <w:rPr>
          <w:rFonts w:ascii="Times New Roman" w:cs="Times New Roman" w:eastAsia="Times New Roman" w:hAnsi="Times New Roman"/>
          <w:sz w:val="17"/>
          <w:szCs w:val="17"/>
          <w:b w:val="1"/>
          <w:bCs w:val="1"/>
          <w:color w:val="auto"/>
        </w:rPr>
        <w:t>R-CHOP</w:t>
      </w:r>
      <w:r>
        <w:rPr>
          <w:rFonts w:ascii="Times New Roman" w:cs="Times New Roman" w:eastAsia="Times New Roman" w:hAnsi="Times New Roman"/>
          <w:sz w:val="17"/>
          <w:szCs w:val="17"/>
          <w:color w:val="auto"/>
        </w:rPr>
        <w:t>”) compared to R-CHOP in patients with newly diagnosed DLBCL. The trial is fully recruited and currently ongoing.</w:t>
      </w:r>
    </w:p>
    <w:p>
      <w:pPr>
        <w:spacing w:after="0" w:line="158"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EPCORE DLBCL-4 is a Phase III, open-label trial to evaluate the safety and efficacy of epcoritamab in combination with lenalidomide compared to rituximab plus gemcitabine and oxaliplatin in patients with R/R DLBCL. The trial is currently recruiting.</w:t>
      </w:r>
    </w:p>
    <w:p>
      <w:pPr>
        <w:spacing w:after="0" w:line="1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EPCORE FL-1 is a Phase III, open-label trial to evaluate the safety and efficacy of epcoritamab in combination with rituximab and lenalidomide (“</w:t>
      </w:r>
      <w:r>
        <w:rPr>
          <w:rFonts w:ascii="Times New Roman" w:cs="Times New Roman" w:eastAsia="Times New Roman" w:hAnsi="Times New Roman"/>
          <w:sz w:val="18"/>
          <w:szCs w:val="18"/>
          <w:b w:val="1"/>
          <w:bCs w:val="1"/>
          <w:color w:val="auto"/>
        </w:rPr>
        <w:t>R2</w:t>
      </w:r>
      <w:r>
        <w:rPr>
          <w:rFonts w:ascii="Times New Roman" w:cs="Times New Roman" w:eastAsia="Times New Roman" w:hAnsi="Times New Roman"/>
          <w:sz w:val="18"/>
          <w:szCs w:val="18"/>
          <w:color w:val="auto"/>
        </w:rPr>
        <w:t>”) compared to R2 in patients with R/R FL. The trial is fully recruited and currently ongoing.</w:t>
      </w:r>
    </w:p>
    <w:p>
      <w:pPr>
        <w:spacing w:after="0" w:line="1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EPCORE FL-2 is a Phase III, open-label trial to evaluate the safety and efficacy of epcoritamab in combination with R2 compared to chemoimmunotherapy in patients with previously untreated FL. The trial is currently recruiting.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Tisotumab Vedotin</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Tisotumab vedotin is an ADC directed to TF, a protein involved in tumor signaling and angiogenesis. TF is expressed in many solid tumors, including cervical, head and neck, lung, pancreatic, colon, endometrial, prostate, esophageal, ovarian and bladder tumors. Tisotumab vedotin combines our human monoclonal antibodies (“</w:t>
      </w:r>
      <w:r>
        <w:rPr>
          <w:rFonts w:ascii="Times New Roman" w:cs="Times New Roman" w:eastAsia="Times New Roman" w:hAnsi="Times New Roman"/>
          <w:sz w:val="18"/>
          <w:szCs w:val="18"/>
          <w:b w:val="1"/>
          <w:bCs w:val="1"/>
          <w:color w:val="auto"/>
        </w:rPr>
        <w:t>mAb</w:t>
      </w:r>
      <w:r>
        <w:rPr>
          <w:rFonts w:ascii="Times New Roman" w:cs="Times New Roman" w:eastAsia="Times New Roman" w:hAnsi="Times New Roman"/>
          <w:sz w:val="18"/>
          <w:szCs w:val="18"/>
          <w:color w:val="auto"/>
        </w:rPr>
        <w:t>”) that binds to TF and Pfizer’s ADC technology that utilizes a cleavable linker and the cytotoxic drug monomethyl auristatin E. We used technology licensed from Medarex to generate the TF antibody forming part of tisotumab vedotin. We are co-developing, and co-commercializing in the U.S., tisotumab vedotin in collaboration with Pfizer. In October 2024 we decided, upon further strategic evaluation, to discontinue preparation for a Phase III study in second/third line squamous cell carcinoma of the head and neck.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Tisotumab vedotin for the Treatment of Cervical Cancer</w:t>
      </w:r>
    </w:p>
    <w:p>
      <w:pPr>
        <w:spacing w:after="0" w:line="227" w:lineRule="exact"/>
        <w:rPr>
          <w:sz w:val="20"/>
          <w:szCs w:val="20"/>
          <w:color w:val="auto"/>
        </w:rPr>
      </w:pPr>
    </w:p>
    <w:p>
      <w:pPr>
        <w:jc w:val="both"/>
        <w:ind w:left="60" w:right="419" w:firstLine="324"/>
        <w:spacing w:after="0" w:line="289" w:lineRule="auto"/>
        <w:rPr>
          <w:sz w:val="20"/>
          <w:szCs w:val="20"/>
          <w:color w:val="auto"/>
        </w:rPr>
      </w:pPr>
      <w:r>
        <w:rPr>
          <w:rFonts w:ascii="Times New Roman" w:cs="Times New Roman" w:eastAsia="Times New Roman" w:hAnsi="Times New Roman"/>
          <w:sz w:val="17"/>
          <w:szCs w:val="17"/>
          <w:color w:val="auto"/>
        </w:rPr>
        <w:t>Cervical cancer remains a disease with high unmet need despite advances in effective vaccination and screening practices to prevent and diagnose pre-/early-stage cancers for curative treatment. Recurrent and/or metastatic cervical cancer is a particularly devastating and mostly incurable disease; up to 15% of adults with cervical cancer present with</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metastatic disease at diagnosis and, for adults diagnosed at earlier stages who receive treatment, up to 61% will experience disease recurrence. It was estimated that in 2023, more than 13,960 new cases of invasive cervical cancer were diagnosed in the U.S. and 4,310 adults would die from the disease.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Approvals and Results</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September 2021, the FDA granted Genmab and Pfizer accelerated approval for tisotumab vedotin-tftv as Tivdak, the first and only approved ADC for the treatment of adult patients with recurrent or metastatic cervical cancer with disease progression on or after chemotherapy. Tisotumab vedotin was approved under the FDA’s Accelerated Approval Program based on tumor response, durability of the response and the safety profile. The initial approval was based on the Phase II innovaTV 204 single arm trial in 101 patients with recurrent or metastatic cervical cancer who had received no more than two prior systemic regimens in the recurrent or metastatic setting, including at least one prior platinum-based chemotherapy regimen. Favorable topline results from the innovaTV 204 trial were announced in July 2020; results from the trial showed a 24% confirmed ORR by independent central review (95% Confidence Interval: 15.9% - 33.3%) with a median DoR of 8.3 months. The most common TEAEs (greater than or equal to 20%) included alopecia, epistaxis (nose bleeds), nausea, conjunctivitis, fatigue and dry eye. In March 2024, tisotumab vedotin-tftv was added to the NCCN Clinical Practice Guidelines in Oncology for Vaginal Cancer under ‘Other Recommended Regimens’ as second-line or subsequent systemic therapy for patients with recurrent or metastatic squamous cell carcinoma/adenocarcinoma primary vaginal cancer.</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April 2024, the FDA granted approval to the supplemental BLA (“</w:t>
      </w:r>
      <w:r>
        <w:rPr>
          <w:rFonts w:ascii="Times New Roman" w:cs="Times New Roman" w:eastAsia="Times New Roman" w:hAnsi="Times New Roman"/>
          <w:sz w:val="18"/>
          <w:szCs w:val="18"/>
          <w:b w:val="1"/>
          <w:bCs w:val="1"/>
          <w:color w:val="auto"/>
        </w:rPr>
        <w:t>sBLA</w:t>
      </w:r>
      <w:r>
        <w:rPr>
          <w:rFonts w:ascii="Times New Roman" w:cs="Times New Roman" w:eastAsia="Times New Roman" w:hAnsi="Times New Roman"/>
          <w:sz w:val="18"/>
          <w:szCs w:val="18"/>
          <w:color w:val="auto"/>
        </w:rPr>
        <w:t>”) for tisotumab vedotin-tftv for the treatment of patients with recurrent or metastatic cervical cancer with disease progression on or after chemotherapy. This FDA action converts the September 2021 accelerated approval of tisotumab vedotin to a full approval. Tisotumab vedotin is the first ADC with demonstrated overall survival data to be granted full FDA approval in this patient population. The approval was based on the Phase III innovaTV 301 (ENGOT cx-12/GOG 3057) confirmatory trial in recurrent or metastatic cervical cancer patients with disease progression on or after front-line therapy who received tisotumab vedotin, compared with chemotherapy alone. Favorable top line results from the innovaTV 301 trial were announced in September 2023. An Independent Data Monitoring Committee determined that overall survival (“</w:t>
      </w:r>
      <w:r>
        <w:rPr>
          <w:rFonts w:ascii="Times New Roman" w:cs="Times New Roman" w:eastAsia="Times New Roman" w:hAnsi="Times New Roman"/>
          <w:sz w:val="18"/>
          <w:szCs w:val="18"/>
          <w:b w:val="1"/>
          <w:bCs w:val="1"/>
          <w:color w:val="auto"/>
        </w:rPr>
        <w:t>OS</w:t>
      </w:r>
      <w:r>
        <w:rPr>
          <w:rFonts w:ascii="Times New Roman" w:cs="Times New Roman" w:eastAsia="Times New Roman" w:hAnsi="Times New Roman"/>
          <w:sz w:val="18"/>
          <w:szCs w:val="18"/>
          <w:color w:val="auto"/>
        </w:rPr>
        <w:t>”) crossed the pre-specified efficacy boundary at the interim analysis. The key secondary endpoints of investigator-assessed progression-free survival and ORR also demonstrated statistical significance. The safety profile of tisotumab vedotin in innovaTV 301 was consistent with the known safety profile of tisotumab vedotin as presented in the U.S. prescribing information, and no new safety signals were observed. Based on these results, regulatory submissions were also made in Europe and Japan in 2024. In December 2024, the U.S. NCCN updated its Clinical Practice Guidelines in Oncology for Cervical Cancer with tisotumab vedotin-tftv changing from a category 2A to a category 1. Tisotumab vedotin-tftv plus pembrolizumab was also added as an option for PD-L1 positive tumors.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Acasunlimab (GEN1046, DuoBody-PD-L1x4-1BB)</w:t>
      </w:r>
    </w:p>
    <w:p>
      <w:pPr>
        <w:spacing w:after="0" w:line="22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Acasunlimab is a proprietary bispecific antibody designed to target programmed death ligand 1 (“</w:t>
      </w:r>
      <w:r>
        <w:rPr>
          <w:rFonts w:ascii="Times New Roman" w:cs="Times New Roman" w:eastAsia="Times New Roman" w:hAnsi="Times New Roman"/>
          <w:sz w:val="18"/>
          <w:szCs w:val="18"/>
          <w:b w:val="1"/>
          <w:bCs w:val="1"/>
          <w:color w:val="auto"/>
        </w:rPr>
        <w:t>PD-L1</w:t>
      </w:r>
      <w:r>
        <w:rPr>
          <w:rFonts w:ascii="Times New Roman" w:cs="Times New Roman" w:eastAsia="Times New Roman" w:hAnsi="Times New Roman"/>
          <w:sz w:val="18"/>
          <w:szCs w:val="18"/>
          <w:color w:val="auto"/>
        </w:rPr>
        <w:t>”)-and 4-1BB. PD-L1 is a validated target that is expressed on tumor cells. 4-1BB is a trans-membrane receptor belonging to the tumor necrosis factor (“</w:t>
      </w:r>
      <w:r>
        <w:rPr>
          <w:rFonts w:ascii="Times New Roman" w:cs="Times New Roman" w:eastAsia="Times New Roman" w:hAnsi="Times New Roman"/>
          <w:sz w:val="18"/>
          <w:szCs w:val="18"/>
          <w:b w:val="1"/>
          <w:bCs w:val="1"/>
          <w:color w:val="auto"/>
        </w:rPr>
        <w:t>TNF</w:t>
      </w:r>
      <w:r>
        <w:rPr>
          <w:rFonts w:ascii="Times New Roman" w:cs="Times New Roman" w:eastAsia="Times New Roman" w:hAnsi="Times New Roman"/>
          <w:sz w:val="18"/>
          <w:szCs w:val="18"/>
          <w:color w:val="auto"/>
        </w:rPr>
        <w:t>”) receptor super-family and is expressed predominantly on activated T-cells. In pre-clinical settings, acasunlimab promoted conditional T-cell activation in a tumor-specific manner by simultaneous activation and release of the key inhibitory brake. Pre-clinical trials also indicated a release of T-cell inhibition through the programmed cell death protein (“</w:t>
      </w:r>
      <w:r>
        <w:rPr>
          <w:rFonts w:ascii="Times New Roman" w:cs="Times New Roman" w:eastAsia="Times New Roman" w:hAnsi="Times New Roman"/>
          <w:sz w:val="18"/>
          <w:szCs w:val="18"/>
          <w:b w:val="1"/>
          <w:bCs w:val="1"/>
          <w:color w:val="auto"/>
        </w:rPr>
        <w:t>PD-1</w:t>
      </w:r>
      <w:r>
        <w:rPr>
          <w:rFonts w:ascii="Times New Roman" w:cs="Times New Roman" w:eastAsia="Times New Roman" w:hAnsi="Times New Roman"/>
          <w:sz w:val="18"/>
          <w:szCs w:val="18"/>
          <w:color w:val="auto"/>
        </w:rPr>
        <w:t>”)//PD-L1 axis, including in the absence of 4-1BB, strong co-stimulation via the agonistic activity of 4-1BB and T-cell clonal expansion. Acasunlimab was co-developed in collaboration with BioNTech SE (“</w:t>
      </w:r>
      <w:r>
        <w:rPr>
          <w:rFonts w:ascii="Times New Roman" w:cs="Times New Roman" w:eastAsia="Times New Roman" w:hAnsi="Times New Roman"/>
          <w:sz w:val="18"/>
          <w:szCs w:val="18"/>
          <w:b w:val="1"/>
          <w:bCs w:val="1"/>
          <w:color w:val="auto"/>
        </w:rPr>
        <w:t>BioNTech</w:t>
      </w:r>
      <w:r>
        <w:rPr>
          <w:rFonts w:ascii="Times New Roman" w:cs="Times New Roman" w:eastAsia="Times New Roman" w:hAnsi="Times New Roman"/>
          <w:sz w:val="18"/>
          <w:szCs w:val="18"/>
          <w:color w:val="auto"/>
        </w:rPr>
        <w:t>”) under an agreement in which the companies shared all costs and future potential profits for acasunlimab on a 50:50 basis. In August 2024, BioNTech opted not to participate in the further development of the acasunlimab program under the parties’ existing License and Collaboration Agreement for reasons related to BioNTech’s portfolio strategy. Genmab assumed sole responsibility for the continued development and potential commercialization of acasunlimab and the program will be subject to payment of certain milestones and a tiered single-digit royalty on net sales by Genmab to BioNTech. Acasunlimab is being developed for the treatment of solid tumors using our proprietary DuoBody technology platform and PD-L1 antibody and BioNTech’s 4-1BB antibody. Phase II data was presented at the 2024 American Society of Clinical Oncology (“</w:t>
      </w:r>
      <w:r>
        <w:rPr>
          <w:rFonts w:ascii="Times New Roman" w:cs="Times New Roman" w:eastAsia="Times New Roman" w:hAnsi="Times New Roman"/>
          <w:sz w:val="18"/>
          <w:szCs w:val="18"/>
          <w:b w:val="1"/>
          <w:bCs w:val="1"/>
          <w:color w:val="auto"/>
        </w:rPr>
        <w:t>ASCO</w:t>
      </w:r>
      <w:r>
        <w:rPr>
          <w:rFonts w:ascii="Times New Roman" w:cs="Times New Roman" w:eastAsia="Times New Roman" w:hAnsi="Times New Roman"/>
          <w:sz w:val="18"/>
          <w:szCs w:val="18"/>
          <w:color w:val="auto"/>
        </w:rPr>
        <w:t>”) Annual Meeting of acasunlimab as a single agent or in combination with pembrolizumab for the treatment of relapsed/refractory metastatic NSCLC after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treatment with standard of care therapy with an immune checkpoint inhibitor (“CPI”). In PD-L1 positive patients with metastatic NSCLC following progression on prior CPI treatment, acasunlimab plus pembrolizumab dosed every six weeks (“</w:t>
      </w:r>
      <w:r>
        <w:rPr>
          <w:rFonts w:ascii="Times New Roman" w:cs="Times New Roman" w:eastAsia="Times New Roman" w:hAnsi="Times New Roman"/>
          <w:sz w:val="18"/>
          <w:szCs w:val="18"/>
          <w:b w:val="1"/>
          <w:bCs w:val="1"/>
          <w:color w:val="auto"/>
        </w:rPr>
        <w:t>Q6W</w:t>
      </w:r>
      <w:r>
        <w:rPr>
          <w:rFonts w:ascii="Times New Roman" w:cs="Times New Roman" w:eastAsia="Times New Roman" w:hAnsi="Times New Roman"/>
          <w:sz w:val="18"/>
          <w:szCs w:val="18"/>
          <w:color w:val="auto"/>
        </w:rPr>
        <w:t>”) showed a manageable safety profile and promising efficacy, with durable disease control and median overall survival of 17.5 months and a 12-month overall survival rate of 69%.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Ongoing Phase III Trial</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first Phase III trial of acasunlimab was initiated in November 2024. The objective of this randomized, open-label, multicenter trial is to determine the efficacy and safety of acasunlimab in combination with pembrolizumab versus docetaxel (standard of care) in patients with PD-L1-positive metastatic NSCLC who have been treated with PD-1/PD-L1 inhibitor and platinum-containing chemotherapy, administered either in combination or sequentially in the metastatic setting. The trial is currently recruiting.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Rina-S</w:t>
      </w:r>
    </w:p>
    <w:p>
      <w:pPr>
        <w:spacing w:after="0" w:line="225" w:lineRule="exact"/>
        <w:rPr>
          <w:sz w:val="20"/>
          <w:szCs w:val="20"/>
          <w:color w:val="auto"/>
        </w:rPr>
      </w:pPr>
    </w:p>
    <w:p>
      <w:pPr>
        <w:ind w:left="60" w:right="79" w:firstLine="324"/>
        <w:spacing w:after="0" w:line="262" w:lineRule="auto"/>
        <w:rPr>
          <w:sz w:val="20"/>
          <w:szCs w:val="20"/>
          <w:color w:val="auto"/>
        </w:rPr>
      </w:pPr>
      <w:r>
        <w:rPr>
          <w:rFonts w:ascii="Times New Roman" w:cs="Times New Roman" w:eastAsia="Times New Roman" w:hAnsi="Times New Roman"/>
          <w:sz w:val="18"/>
          <w:szCs w:val="18"/>
          <w:color w:val="auto"/>
        </w:rPr>
        <w:t>Rina-S, acquired as part of the purchase of ProfoundBio, is a novel folate receptor α (“</w:t>
      </w:r>
      <w:r>
        <w:rPr>
          <w:rFonts w:ascii="Times New Roman" w:cs="Times New Roman" w:eastAsia="Times New Roman" w:hAnsi="Times New Roman"/>
          <w:sz w:val="18"/>
          <w:szCs w:val="18"/>
          <w:b w:val="1"/>
          <w:bCs w:val="1"/>
          <w:color w:val="auto"/>
        </w:rPr>
        <w:t>FRα</w:t>
      </w:r>
      <w:r>
        <w:rPr>
          <w:rFonts w:ascii="Times New Roman" w:cs="Times New Roman" w:eastAsia="Times New Roman" w:hAnsi="Times New Roman"/>
          <w:sz w:val="18"/>
          <w:szCs w:val="18"/>
          <w:color w:val="auto"/>
        </w:rPr>
        <w:t>”)-targeted topoisomerase 1 (“</w:t>
      </w:r>
      <w:r>
        <w:rPr>
          <w:rFonts w:ascii="Times New Roman" w:cs="Times New Roman" w:eastAsia="Times New Roman" w:hAnsi="Times New Roman"/>
          <w:sz w:val="18"/>
          <w:szCs w:val="18"/>
          <w:b w:val="1"/>
          <w:bCs w:val="1"/>
          <w:color w:val="auto"/>
        </w:rPr>
        <w:t>TOPO1</w:t>
      </w:r>
      <w:r>
        <w:rPr>
          <w:rFonts w:ascii="Times New Roman" w:cs="Times New Roman" w:eastAsia="Times New Roman" w:hAnsi="Times New Roman"/>
          <w:sz w:val="18"/>
          <w:szCs w:val="18"/>
          <w:color w:val="auto"/>
        </w:rPr>
        <w:t>”) ADC being evaluated for the potential treatment of ovarian cancer and other FRα-expressing cancers. Dose escalation data suggests that Rina-S has robust single agent activity in various cancers across a broad range of FRα expression levels.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Platinum-Resistant Ovarian Cancer. </w:t>
      </w:r>
      <w:r>
        <w:rPr>
          <w:rFonts w:ascii="Times New Roman" w:cs="Times New Roman" w:eastAsia="Times New Roman" w:hAnsi="Times New Roman"/>
          <w:sz w:val="18"/>
          <w:szCs w:val="18"/>
          <w:color w:val="auto"/>
        </w:rPr>
        <w:t>In January 2024, Rina-S was granted FTD by the FDA for the treatment of FRα-</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expressing high-grade serous or endometrioid platinum-resistant ovarian cancer. Phase II data of Rina-S in platinum-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resistant ovarian cancer (“</w:t>
      </w:r>
      <w:r>
        <w:rPr>
          <w:rFonts w:ascii="Times New Roman" w:cs="Times New Roman" w:eastAsia="Times New Roman" w:hAnsi="Times New Roman"/>
          <w:sz w:val="18"/>
          <w:szCs w:val="18"/>
          <w:b w:val="1"/>
          <w:bCs w:val="1"/>
          <w:color w:val="auto"/>
        </w:rPr>
        <w:t>PROC</w:t>
      </w:r>
      <w:r>
        <w:rPr>
          <w:rFonts w:ascii="Times New Roman" w:cs="Times New Roman" w:eastAsia="Times New Roman" w:hAnsi="Times New Roman"/>
          <w:sz w:val="18"/>
          <w:szCs w:val="18"/>
          <w:color w:val="auto"/>
        </w:rPr>
        <w:t>”) was presented at the European Society of Medical Oncology Congress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ESMO</w:t>
      </w:r>
      <w:r>
        <w:rPr>
          <w:rFonts w:ascii="Times New Roman" w:cs="Times New Roman" w:eastAsia="Times New Roman" w:hAnsi="Times New Roman"/>
          <w:sz w:val="17"/>
          <w:szCs w:val="17"/>
          <w:color w:val="auto"/>
        </w:rPr>
        <w:t>”). Rina-S showed manageable safety with no signals of ocular toxicities, neuropathy or interstitial lung disease. It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also showed encouraging antitumor activity with a confirmed overall response rate of 50% at the recommended Phase II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dose of 120mg/m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Solid Tumors</w:t>
      </w:r>
      <w:r>
        <w:rPr>
          <w:rFonts w:ascii="Times New Roman" w:cs="Times New Roman" w:eastAsia="Times New Roman" w:hAnsi="Times New Roman"/>
          <w:sz w:val="18"/>
          <w:szCs w:val="18"/>
          <w:color w:val="auto"/>
        </w:rPr>
        <w:t>. A Phase I/II trial of Rina-S in advanced solid tumors is ongoing.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Ongoing Phase III Trial</w:t>
      </w:r>
    </w:p>
    <w:p>
      <w:pPr>
        <w:spacing w:after="0" w:line="227"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first Phase III trial of Rina-S was initiated in December 2024. The randomized open-label trial is evaluating Rina-S versus treatment of investigator's choice chemotherapy in patients with PROC. The trial is currently recruiting.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DuoBody-CD40x4-1BB (GEN1042/BNT312)</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DuoBody-CD40x4-1BB is a proprietary bispecific antibody designed to conditionally activate both CD40-expressing antigen-presenting cells and 4-1BB-expressing T-cells using an inert DuoBody format. In pre-clinical settings DuoBody-CD40x4-1BB was shown to conditionally increase proliferation of activated T cells in the presence of CD40-expressing cells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DuoBody-CD40x4-1BB induced T-cell proliferation upon crosslinking of CD40- and 4-1BB-expressing cells and the binding of only the CD40 arm or the 4-1BB arm had no effect on T-cell proliferation. We are co-developing DuoBody-CD40x4-1BB in collaboration with BioNTech under an agreement in which the companies share all costs and future potential profits for DuoBody-CD40x4-1BB on a 50:50 basis. DuoBody-CD40x4-1BB is being developed for the treatment of solid tumor malignancies using Genmab’s proprietary DuoBody technology platform and BioNTech’s CD40 and 4-1BB antibodies.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HexaBody-CD38 (GEN3014)</w:t>
      </w:r>
    </w:p>
    <w:p>
      <w:pPr>
        <w:spacing w:after="0" w:line="22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HexaBody-CD38 is a novel human CD38 monoclonal antibody product incorporating our HexaBody technology. In pre-clinical models of hematological malignancies HexaBody-CD38 demonstrated enhanced complement-dependent cytotoxicity (“</w:t>
      </w:r>
      <w:r>
        <w:rPr>
          <w:rFonts w:ascii="Times New Roman" w:cs="Times New Roman" w:eastAsia="Times New Roman" w:hAnsi="Times New Roman"/>
          <w:sz w:val="18"/>
          <w:szCs w:val="18"/>
          <w:b w:val="1"/>
          <w:bCs w:val="1"/>
          <w:color w:val="auto"/>
        </w:rPr>
        <w:t>CDC</w:t>
      </w:r>
      <w:r>
        <w:rPr>
          <w:rFonts w:ascii="Times New Roman" w:cs="Times New Roman" w:eastAsia="Times New Roman" w:hAnsi="Times New Roman"/>
          <w:sz w:val="18"/>
          <w:szCs w:val="18"/>
          <w:color w:val="auto"/>
        </w:rPr>
        <w:t>”) and showed potent anti-tumor activity.</w:t>
      </w:r>
    </w:p>
    <w:p>
      <w:pPr>
        <w:spacing w:after="0" w:line="176" w:lineRule="exact"/>
        <w:rPr>
          <w:sz w:val="20"/>
          <w:szCs w:val="20"/>
          <w:color w:val="auto"/>
        </w:rPr>
      </w:pPr>
    </w:p>
    <w:p>
      <w:pPr>
        <w:ind w:left="60" w:right="379" w:firstLine="369"/>
        <w:spacing w:after="0" w:line="282" w:lineRule="auto"/>
        <w:rPr>
          <w:sz w:val="20"/>
          <w:szCs w:val="20"/>
          <w:color w:val="auto"/>
        </w:rPr>
      </w:pPr>
      <w:r>
        <w:rPr>
          <w:rFonts w:ascii="Times New Roman" w:cs="Times New Roman" w:eastAsia="Times New Roman" w:hAnsi="Times New Roman"/>
          <w:sz w:val="18"/>
          <w:szCs w:val="18"/>
          <w:color w:val="auto"/>
        </w:rPr>
        <w:t>In June 2019, Genmab entered into an exclusive worldwide license and option agreement with J&amp;J to develop and commercialize HexaBody-CD38. In March 2021 we initiated a Phase I/II clinical trial of HexaBody-CD38 for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treatment of hematologic malignancies. Preliminary dose-escalation results from the trial were presented at the ASH Annual Meeting in December 2022. This was followed by preliminary results from a dose-expansion cohort, which was presented at the ASH Annual Meeting in December 2023. This study includes an arm comparing HexaBody-CD38 to daratumumab in CD38 monoclonal antibody-naïve R/R MM patients.</w:t>
      </w:r>
    </w:p>
    <w:p>
      <w:pPr>
        <w:spacing w:after="0" w:line="180"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December 2024, per the terms of the agreement between Genmab and J&amp;J, Genmab submitted a data package to J&amp;J, comparing HexaBody-CD38 to daratumumab in CD38 monoclonal antibody-naïve R/R MM patients. This data will be used to inform J&amp;J’s decision on whether to exercise its option to receive a worldwide license to develop, manufacture and commercialize HexaBody-CD38.</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DuoBody-EpCAMx4-1BB (GEN1059/BNT314)</w:t>
      </w:r>
    </w:p>
    <w:p>
      <w:pPr>
        <w:spacing w:after="0" w:line="229" w:lineRule="exact"/>
        <w:rPr>
          <w:sz w:val="20"/>
          <w:szCs w:val="20"/>
          <w:color w:val="auto"/>
        </w:rPr>
      </w:pPr>
    </w:p>
    <w:p>
      <w:pPr>
        <w:ind w:left="60" w:right="239" w:firstLine="324"/>
        <w:spacing w:after="0" w:line="276" w:lineRule="auto"/>
        <w:rPr>
          <w:sz w:val="20"/>
          <w:szCs w:val="20"/>
          <w:color w:val="auto"/>
        </w:rPr>
      </w:pPr>
      <w:r>
        <w:rPr>
          <w:rFonts w:ascii="Times New Roman" w:cs="Times New Roman" w:eastAsia="Times New Roman" w:hAnsi="Times New Roman"/>
          <w:sz w:val="17"/>
          <w:szCs w:val="17"/>
          <w:color w:val="auto"/>
        </w:rPr>
        <w:t>DuoBody-EpCAMx4-1BB, jointly owned by Genmab and BioNTech and created using Genmab’s DuoBody technology platform, is a bispecific antibody aimed at boosting antitumor immune responses through EpCAM-dependent</w:t>
      </w:r>
    </w:p>
    <w:p>
      <w:pPr>
        <w:spacing w:after="0" w:line="1" w:lineRule="exact"/>
        <w:rPr>
          <w:sz w:val="20"/>
          <w:szCs w:val="20"/>
          <w:color w:val="auto"/>
        </w:rPr>
      </w:pPr>
    </w:p>
    <w:p>
      <w:pPr>
        <w:jc w:val="both"/>
        <w:ind w:left="60" w:right="99"/>
        <w:spacing w:after="0" w:line="255" w:lineRule="auto"/>
        <w:rPr>
          <w:sz w:val="20"/>
          <w:szCs w:val="20"/>
          <w:color w:val="auto"/>
        </w:rPr>
      </w:pPr>
      <w:r>
        <w:rPr>
          <w:rFonts w:ascii="Times New Roman" w:cs="Times New Roman" w:eastAsia="Times New Roman" w:hAnsi="Times New Roman"/>
          <w:sz w:val="18"/>
          <w:szCs w:val="18"/>
          <w:color w:val="auto"/>
        </w:rPr>
        <w:t>4-1BB agonistic activity. DuoBody-EpCAMx4-1BB is being co-developed by Genmab and BioNTech under an agreement in which the companies share all costs and future potential profits for DuoBody-EpCAMx4-1BB on a 50:50 basis. A Phase I/II clinical trial of DuoBody-EpCAMx4-1BB in solid tumors is recruiting.</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HexaBody-OX40 (GEN1055/BNT315)</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HexaBody-OX40, jointly owned by Genmab and BioNTech and created using Genmab’s HexaBody technology platform, is an immune-modulating OX40 agonist antibody designed to promote immunity by enhancing T-cell responses through FcγR-independent OX40 clustering on T cells. HexaBody-OX40is being co-developed by Genmab and BioNTech under an agreement in which the companies share all costs and future potential profits for HexaBody-OX40 on a 50:50 basis. A Phase I/II clinical trial of HexaBody-OX40 in solid tumors is recruiting.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GEN1160</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GEN1160 was acquired as part of our purchase of ProfoundBio. It is a CD70-targeted ADC. CD70 is a protein expressed on both solid tumors and hematological malignancies. A Phase I/II clinical study of GEN1160 in advanced renal cell carcinoma, nasopharyngeal carcinoma and NHL is recruiting.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GEN1107</w:t>
      </w:r>
    </w:p>
    <w:p>
      <w:pPr>
        <w:spacing w:after="0" w:line="229" w:lineRule="exact"/>
        <w:rPr>
          <w:sz w:val="20"/>
          <w:szCs w:val="20"/>
          <w:color w:val="auto"/>
        </w:rPr>
      </w:pPr>
    </w:p>
    <w:p>
      <w:pPr>
        <w:ind w:left="60" w:right="439" w:firstLine="324"/>
        <w:spacing w:after="0" w:line="312" w:lineRule="auto"/>
        <w:rPr>
          <w:sz w:val="20"/>
          <w:szCs w:val="20"/>
          <w:color w:val="auto"/>
        </w:rPr>
      </w:pPr>
      <w:r>
        <w:rPr>
          <w:rFonts w:ascii="Times New Roman" w:cs="Times New Roman" w:eastAsia="Times New Roman" w:hAnsi="Times New Roman"/>
          <w:sz w:val="17"/>
          <w:szCs w:val="17"/>
          <w:color w:val="auto"/>
        </w:rPr>
        <w:t>GEN1107 is a PTK7-targeted ADC. PTK7 is a clinically validated ADC target with broad solid tumor expression, particularly in tumor-initiating cells. A Phase I/II clinical study of GEN1107 in advanced solid tumors is recruiting.</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 FAPαxDR4 (GEN1057)</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DuoBody-FAPαxDR4 is a bispecific antibody-based investigational medicine created using Genmab’s DuoBody technology platform. DuoBody-FAPαxDR4 is designed for the conditional transactivation of DR4 and thereby induction of apoptosis. A Phase I/II clinical trial of DuoBody-FAPαxDR4 in malignant solid tumors is recruiting.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GEN1286</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GEN1286 is an ADC targeting EGFR and cMet, two validated cancer targets. A Phase I/II clinical study of GEN1286 in advanced solid tumors is recruiting.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Partnered programs Incorporating Genmab’s Innovation and Technology</w:t>
      </w:r>
      <w:r>
        <w:rPr>
          <w:rFonts w:ascii="Times New Roman" w:cs="Times New Roman" w:eastAsia="Times New Roman" w:hAnsi="Times New Roman"/>
          <w:sz w:val="26"/>
          <w:szCs w:val="26"/>
          <w:b w:val="1"/>
          <w:bCs w:val="1"/>
          <w:color w:val="auto"/>
          <w:vertAlign w:val="superscript"/>
        </w:rPr>
        <w:t>1</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Approved Medicines</w:t>
            </w:r>
          </w:p>
        </w:tc>
        <w:tc>
          <w:tcPr>
            <w:tcW w:w="28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37"/>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Approved Product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Discovered and/or Developed &amp;</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Disease Indication(s) </w:t>
            </w:r>
            <w:r>
              <w:rPr>
                <w:rFonts w:ascii="Times New Roman" w:cs="Times New Roman" w:eastAsia="Times New Roman" w:hAnsi="Times New Roman"/>
                <w:sz w:val="26"/>
                <w:szCs w:val="26"/>
                <w:color w:val="auto"/>
                <w:vertAlign w:val="superscript"/>
              </w:rPr>
              <w:t>2</w:t>
            </w:r>
          </w:p>
        </w:tc>
      </w:tr>
      <w:tr>
        <w:trPr>
          <w:trHeight w:val="238"/>
        </w:trPr>
        <w:tc>
          <w:tcPr>
            <w:tcW w:w="286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Marketed By</w:t>
            </w:r>
          </w:p>
        </w:tc>
        <w:tc>
          <w:tcPr>
            <w:tcW w:w="2900" w:type="dxa"/>
            <w:vAlign w:val="bottom"/>
          </w:tcPr>
          <w:p>
            <w:pPr>
              <w:spacing w:after="0"/>
              <w:rPr>
                <w:sz w:val="20"/>
                <w:szCs w:val="20"/>
                <w:color w:val="auto"/>
              </w:rPr>
            </w:pPr>
          </w:p>
        </w:tc>
      </w:tr>
      <w:tr>
        <w:trPr>
          <w:trHeight w:val="27"/>
        </w:trPr>
        <w:tc>
          <w:tcPr>
            <w:tcW w:w="2860" w:type="dxa"/>
            <w:vAlign w:val="bottom"/>
            <w:tcBorders>
              <w:bottom w:val="single" w:sz="8" w:color="5B9BD5"/>
            </w:tcBorders>
          </w:tcPr>
          <w:p>
            <w:pPr>
              <w:spacing w:after="0"/>
              <w:rPr>
                <w:sz w:val="2"/>
                <w:szCs w:val="2"/>
                <w:color w:val="auto"/>
              </w:rPr>
            </w:pPr>
          </w:p>
        </w:tc>
        <w:tc>
          <w:tcPr>
            <w:tcW w:w="2840" w:type="dxa"/>
            <w:vAlign w:val="bottom"/>
            <w:tcBorders>
              <w:bottom w:val="single" w:sz="8" w:color="5B9BD5"/>
            </w:tcBorders>
          </w:tcPr>
          <w:p>
            <w:pPr>
              <w:spacing w:after="0"/>
              <w:rPr>
                <w:sz w:val="2"/>
                <w:szCs w:val="2"/>
                <w:color w:val="auto"/>
              </w:rPr>
            </w:pPr>
          </w:p>
        </w:tc>
        <w:tc>
          <w:tcPr>
            <w:tcW w:w="2900" w:type="dxa"/>
            <w:vAlign w:val="bottom"/>
            <w:tcBorders>
              <w:bottom w:val="single" w:sz="8" w:color="5B9BD5"/>
            </w:tcBorders>
          </w:tcPr>
          <w:p>
            <w:pPr>
              <w:spacing w:after="0"/>
              <w:rPr>
                <w:sz w:val="2"/>
                <w:szCs w:val="2"/>
                <w:color w:val="auto"/>
              </w:rPr>
            </w:pPr>
          </w:p>
        </w:tc>
      </w:tr>
      <w:tr>
        <w:trPr>
          <w:trHeight w:val="214"/>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DARZALEX</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J&amp;J (Royalties to Genmab on net</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MM</w:t>
            </w:r>
          </w:p>
        </w:tc>
      </w:tr>
      <w:tr>
        <w:trPr>
          <w:trHeight w:val="216"/>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(daratumumab)/</w:t>
            </w:r>
            <w:r>
              <w:rPr>
                <w:rFonts w:ascii="Times New Roman" w:cs="Times New Roman" w:eastAsia="Times New Roman" w:hAnsi="Times New Roman"/>
                <w:sz w:val="18"/>
                <w:szCs w:val="18"/>
                <w:b w:val="1"/>
                <w:bCs w:val="1"/>
                <w:color w:val="auto"/>
              </w:rPr>
              <w:t>DARZALEX</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sales)</w:t>
            </w:r>
          </w:p>
        </w:tc>
        <w:tc>
          <w:tcPr>
            <w:tcW w:w="2900" w:type="dxa"/>
            <w:vAlign w:val="bottom"/>
          </w:tcPr>
          <w:p>
            <w:pPr>
              <w:spacing w:after="0"/>
              <w:rPr>
                <w:sz w:val="18"/>
                <w:szCs w:val="18"/>
                <w:color w:val="auto"/>
              </w:rPr>
            </w:pPr>
          </w:p>
        </w:tc>
      </w:tr>
      <w:tr>
        <w:trPr>
          <w:trHeight w:val="220"/>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FASPRO </w:t>
            </w:r>
            <w:r>
              <w:rPr>
                <w:rFonts w:ascii="Times New Roman" w:cs="Times New Roman" w:eastAsia="Times New Roman" w:hAnsi="Times New Roman"/>
                <w:sz w:val="18"/>
                <w:szCs w:val="18"/>
                <w:color w:val="auto"/>
              </w:rPr>
              <w:t>(daratumumab and</w:t>
            </w:r>
          </w:p>
        </w:tc>
        <w:tc>
          <w:tcPr>
            <w:tcW w:w="284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 Amyloidosis</w:t>
            </w:r>
          </w:p>
        </w:tc>
      </w:tr>
      <w:tr>
        <w:trPr>
          <w:trHeight w:val="234"/>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hyaluronidase-fihj)</w:t>
            </w:r>
          </w:p>
        </w:tc>
        <w:tc>
          <w:tcPr>
            <w:tcW w:w="28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7"/>
        </w:trPr>
        <w:tc>
          <w:tcPr>
            <w:tcW w:w="2860" w:type="dxa"/>
            <w:vAlign w:val="bottom"/>
            <w:tcBorders>
              <w:bottom w:val="single" w:sz="8" w:color="5B9BD5"/>
            </w:tcBorders>
          </w:tcPr>
          <w:p>
            <w:pPr>
              <w:spacing w:after="0"/>
              <w:rPr>
                <w:sz w:val="2"/>
                <w:szCs w:val="2"/>
                <w:color w:val="auto"/>
              </w:rPr>
            </w:pPr>
          </w:p>
        </w:tc>
        <w:tc>
          <w:tcPr>
            <w:tcW w:w="2840" w:type="dxa"/>
            <w:vAlign w:val="bottom"/>
            <w:tcBorders>
              <w:bottom w:val="single" w:sz="8" w:color="5B9BD5"/>
            </w:tcBorders>
          </w:tcPr>
          <w:p>
            <w:pPr>
              <w:spacing w:after="0"/>
              <w:rPr>
                <w:sz w:val="2"/>
                <w:szCs w:val="2"/>
                <w:color w:val="auto"/>
              </w:rPr>
            </w:pPr>
          </w:p>
        </w:tc>
        <w:tc>
          <w:tcPr>
            <w:tcW w:w="2900" w:type="dxa"/>
            <w:vAlign w:val="bottom"/>
            <w:tcBorders>
              <w:bottom w:val="single" w:sz="8" w:color="5B9BD5"/>
            </w:tcBorders>
          </w:tcPr>
          <w:p>
            <w:pPr>
              <w:spacing w:after="0"/>
              <w:rPr>
                <w:sz w:val="2"/>
                <w:szCs w:val="2"/>
                <w:color w:val="auto"/>
              </w:rPr>
            </w:pPr>
          </w:p>
        </w:tc>
      </w:tr>
      <w:tr>
        <w:trPr>
          <w:trHeight w:val="218"/>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RYBREVANT</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J&amp;J (Royalties to Genmab on net</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NSCLC</w:t>
            </w:r>
          </w:p>
        </w:tc>
      </w:tr>
      <w:tr>
        <w:trPr>
          <w:trHeight w:val="234"/>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(amivantamab/amivantamab-vmjw)</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sales)</w:t>
            </w:r>
          </w:p>
        </w:tc>
        <w:tc>
          <w:tcPr>
            <w:tcW w:w="2900" w:type="dxa"/>
            <w:vAlign w:val="bottom"/>
          </w:tcPr>
          <w:p>
            <w:pPr>
              <w:spacing w:after="0"/>
              <w:rPr>
                <w:sz w:val="20"/>
                <w:szCs w:val="20"/>
                <w:color w:val="auto"/>
              </w:rPr>
            </w:pPr>
          </w:p>
        </w:tc>
      </w:tr>
      <w:tr>
        <w:trPr>
          <w:trHeight w:val="27"/>
        </w:trPr>
        <w:tc>
          <w:tcPr>
            <w:tcW w:w="2860" w:type="dxa"/>
            <w:vAlign w:val="bottom"/>
            <w:tcBorders>
              <w:bottom w:val="single" w:sz="8" w:color="5B9BD5"/>
            </w:tcBorders>
          </w:tcPr>
          <w:p>
            <w:pPr>
              <w:spacing w:after="0"/>
              <w:rPr>
                <w:sz w:val="2"/>
                <w:szCs w:val="2"/>
                <w:color w:val="auto"/>
              </w:rPr>
            </w:pPr>
          </w:p>
        </w:tc>
        <w:tc>
          <w:tcPr>
            <w:tcW w:w="2840" w:type="dxa"/>
            <w:vAlign w:val="bottom"/>
            <w:tcBorders>
              <w:bottom w:val="single" w:sz="8" w:color="5B9BD5"/>
            </w:tcBorders>
          </w:tcPr>
          <w:p>
            <w:pPr>
              <w:spacing w:after="0"/>
              <w:rPr>
                <w:sz w:val="2"/>
                <w:szCs w:val="2"/>
                <w:color w:val="auto"/>
              </w:rPr>
            </w:pPr>
          </w:p>
        </w:tc>
        <w:tc>
          <w:tcPr>
            <w:tcW w:w="2900" w:type="dxa"/>
            <w:vAlign w:val="bottom"/>
            <w:tcBorders>
              <w:bottom w:val="single" w:sz="8" w:color="5B9BD5"/>
            </w:tcBorders>
          </w:tcPr>
          <w:p>
            <w:pPr>
              <w:spacing w:after="0"/>
              <w:rPr>
                <w:sz w:val="2"/>
                <w:szCs w:val="2"/>
                <w:color w:val="auto"/>
              </w:rPr>
            </w:pPr>
          </w:p>
        </w:tc>
      </w:tr>
      <w:tr>
        <w:trPr>
          <w:trHeight w:val="218"/>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TECVAYLI</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J&amp;J (Royalties to Genmab on net</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R/R MM</w:t>
            </w:r>
          </w:p>
        </w:tc>
      </w:tr>
      <w:tr>
        <w:trPr>
          <w:trHeight w:val="234"/>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(teclistamab/teclistamab-cqyv)</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sales)</w:t>
            </w:r>
          </w:p>
        </w:tc>
        <w:tc>
          <w:tcPr>
            <w:tcW w:w="2900" w:type="dxa"/>
            <w:vAlign w:val="bottom"/>
          </w:tcPr>
          <w:p>
            <w:pPr>
              <w:spacing w:after="0"/>
              <w:rPr>
                <w:sz w:val="20"/>
                <w:szCs w:val="20"/>
                <w:color w:val="auto"/>
              </w:rPr>
            </w:pPr>
          </w:p>
        </w:tc>
      </w:tr>
      <w:tr>
        <w:trPr>
          <w:trHeight w:val="27"/>
        </w:trPr>
        <w:tc>
          <w:tcPr>
            <w:tcW w:w="2860" w:type="dxa"/>
            <w:vAlign w:val="bottom"/>
            <w:tcBorders>
              <w:bottom w:val="single" w:sz="8" w:color="5B9BD5"/>
            </w:tcBorders>
          </w:tcPr>
          <w:p>
            <w:pPr>
              <w:spacing w:after="0"/>
              <w:rPr>
                <w:sz w:val="2"/>
                <w:szCs w:val="2"/>
                <w:color w:val="auto"/>
              </w:rPr>
            </w:pPr>
          </w:p>
        </w:tc>
        <w:tc>
          <w:tcPr>
            <w:tcW w:w="2840" w:type="dxa"/>
            <w:vAlign w:val="bottom"/>
            <w:tcBorders>
              <w:bottom w:val="single" w:sz="8" w:color="5B9BD5"/>
            </w:tcBorders>
          </w:tcPr>
          <w:p>
            <w:pPr>
              <w:spacing w:after="0"/>
              <w:rPr>
                <w:sz w:val="2"/>
                <w:szCs w:val="2"/>
                <w:color w:val="auto"/>
              </w:rPr>
            </w:pPr>
          </w:p>
        </w:tc>
        <w:tc>
          <w:tcPr>
            <w:tcW w:w="2900" w:type="dxa"/>
            <w:vAlign w:val="bottom"/>
            <w:tcBorders>
              <w:bottom w:val="single" w:sz="8" w:color="5B9BD5"/>
            </w:tcBorders>
          </w:tcPr>
          <w:p>
            <w:pPr>
              <w:spacing w:after="0"/>
              <w:rPr>
                <w:sz w:val="2"/>
                <w:szCs w:val="2"/>
                <w:color w:val="auto"/>
              </w:rPr>
            </w:pPr>
          </w:p>
        </w:tc>
      </w:tr>
      <w:tr>
        <w:trPr>
          <w:trHeight w:val="218"/>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TALVEY</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J&amp;J (Royalties to Genmab on net</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R/R MM</w:t>
            </w:r>
          </w:p>
        </w:tc>
      </w:tr>
      <w:tr>
        <w:trPr>
          <w:trHeight w:val="234"/>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(talquetamab/talquetamab-tgvs)</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sales)</w:t>
            </w:r>
          </w:p>
        </w:tc>
        <w:tc>
          <w:tcPr>
            <w:tcW w:w="2900" w:type="dxa"/>
            <w:vAlign w:val="bottom"/>
          </w:tcPr>
          <w:p>
            <w:pPr>
              <w:spacing w:after="0"/>
              <w:rPr>
                <w:sz w:val="20"/>
                <w:szCs w:val="20"/>
                <w:color w:val="auto"/>
              </w:rPr>
            </w:pPr>
          </w:p>
        </w:tc>
      </w:tr>
      <w:tr>
        <w:trPr>
          <w:trHeight w:val="27"/>
        </w:trPr>
        <w:tc>
          <w:tcPr>
            <w:tcW w:w="2860" w:type="dxa"/>
            <w:vAlign w:val="bottom"/>
            <w:tcBorders>
              <w:bottom w:val="single" w:sz="8" w:color="5B9BD5"/>
            </w:tcBorders>
          </w:tcPr>
          <w:p>
            <w:pPr>
              <w:spacing w:after="0"/>
              <w:rPr>
                <w:sz w:val="2"/>
                <w:szCs w:val="2"/>
                <w:color w:val="auto"/>
              </w:rPr>
            </w:pPr>
          </w:p>
        </w:tc>
        <w:tc>
          <w:tcPr>
            <w:tcW w:w="2840" w:type="dxa"/>
            <w:vAlign w:val="bottom"/>
            <w:tcBorders>
              <w:bottom w:val="single" w:sz="8" w:color="5B9BD5"/>
            </w:tcBorders>
          </w:tcPr>
          <w:p>
            <w:pPr>
              <w:spacing w:after="0"/>
              <w:rPr>
                <w:sz w:val="2"/>
                <w:szCs w:val="2"/>
                <w:color w:val="auto"/>
              </w:rPr>
            </w:pPr>
          </w:p>
        </w:tc>
        <w:tc>
          <w:tcPr>
            <w:tcW w:w="2900" w:type="dxa"/>
            <w:vAlign w:val="bottom"/>
            <w:tcBorders>
              <w:bottom w:val="single" w:sz="8" w:color="5B9BD5"/>
            </w:tcBorders>
          </w:tcPr>
          <w:p>
            <w:pPr>
              <w:spacing w:after="0"/>
              <w:rPr>
                <w:sz w:val="2"/>
                <w:szCs w:val="2"/>
                <w:color w:val="auto"/>
              </w:rPr>
            </w:pPr>
          </w:p>
        </w:tc>
      </w:tr>
      <w:tr>
        <w:trPr>
          <w:trHeight w:val="218"/>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Kesimpta</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Novartis (Royalties to Genmab on</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Relapsing multiple sclerosis (RMS)</w:t>
            </w:r>
          </w:p>
        </w:tc>
      </w:tr>
      <w:tr>
        <w:trPr>
          <w:trHeight w:val="234"/>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(ofatumumab)</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global sales)</w:t>
            </w:r>
          </w:p>
        </w:tc>
        <w:tc>
          <w:tcPr>
            <w:tcW w:w="2900" w:type="dxa"/>
            <w:vAlign w:val="bottom"/>
          </w:tcPr>
          <w:p>
            <w:pPr>
              <w:spacing w:after="0"/>
              <w:rPr>
                <w:sz w:val="20"/>
                <w:szCs w:val="20"/>
                <w:color w:val="auto"/>
              </w:rPr>
            </w:pPr>
          </w:p>
        </w:tc>
      </w:tr>
      <w:tr>
        <w:trPr>
          <w:trHeight w:val="27"/>
        </w:trPr>
        <w:tc>
          <w:tcPr>
            <w:tcW w:w="2860" w:type="dxa"/>
            <w:vAlign w:val="bottom"/>
            <w:tcBorders>
              <w:bottom w:val="single" w:sz="8" w:color="5B9BD5"/>
            </w:tcBorders>
          </w:tcPr>
          <w:p>
            <w:pPr>
              <w:spacing w:after="0"/>
              <w:rPr>
                <w:sz w:val="2"/>
                <w:szCs w:val="2"/>
                <w:color w:val="auto"/>
              </w:rPr>
            </w:pPr>
          </w:p>
        </w:tc>
        <w:tc>
          <w:tcPr>
            <w:tcW w:w="2840" w:type="dxa"/>
            <w:vAlign w:val="bottom"/>
            <w:tcBorders>
              <w:bottom w:val="single" w:sz="8" w:color="5B9BD5"/>
            </w:tcBorders>
          </w:tcPr>
          <w:p>
            <w:pPr>
              <w:spacing w:after="0"/>
              <w:rPr>
                <w:sz w:val="2"/>
                <w:szCs w:val="2"/>
                <w:color w:val="auto"/>
              </w:rPr>
            </w:pPr>
          </w:p>
        </w:tc>
        <w:tc>
          <w:tcPr>
            <w:tcW w:w="2900" w:type="dxa"/>
            <w:vAlign w:val="bottom"/>
            <w:tcBorders>
              <w:bottom w:val="single" w:sz="8" w:color="5B9BD5"/>
            </w:tcBorders>
          </w:tcPr>
          <w:p>
            <w:pPr>
              <w:spacing w:after="0"/>
              <w:rPr>
                <w:sz w:val="2"/>
                <w:szCs w:val="2"/>
                <w:color w:val="auto"/>
              </w:rPr>
            </w:pPr>
          </w:p>
        </w:tc>
      </w:tr>
      <w:tr>
        <w:trPr>
          <w:trHeight w:val="218"/>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TEPEZZA</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Amgen (Under sublicense from</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TED</w:t>
            </w:r>
          </w:p>
        </w:tc>
      </w:tr>
      <w:tr>
        <w:trPr>
          <w:trHeight w:val="216"/>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(teprotumumab-trbw)</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Roche, royalties to Genmab on net</w:t>
            </w:r>
          </w:p>
        </w:tc>
        <w:tc>
          <w:tcPr>
            <w:tcW w:w="290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sales)</w:t>
            </w:r>
          </w:p>
        </w:tc>
        <w:tc>
          <w:tcPr>
            <w:tcW w:w="2900" w:type="dxa"/>
            <w:vAlign w:val="bottom"/>
          </w:tcPr>
          <w:p>
            <w:pPr>
              <w:spacing w:after="0"/>
              <w:rPr>
                <w:sz w:val="20"/>
                <w:szCs w:val="20"/>
                <w:color w:val="auto"/>
              </w:rPr>
            </w:pPr>
          </w:p>
        </w:tc>
      </w:tr>
    </w:tbl>
    <w:p>
      <w:pPr>
        <w:spacing w:after="0" w:line="13" w:lineRule="exact"/>
        <w:rPr>
          <w:sz w:val="20"/>
          <w:szCs w:val="20"/>
          <w:color w:val="auto"/>
        </w:rPr>
      </w:pPr>
    </w:p>
    <w:p>
      <w:pPr>
        <w:ind w:left="60" w:right="259"/>
        <w:spacing w:after="0" w:line="184"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Approved and investigational medicines created by Genmab or created by collaboration partners leveraging Genmab’s DuoBody technology platform, under development and where relevant commercialized by a third-party.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5452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See local prescribing information for precise indication and safety information.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Pipeline, Including Further Development for Approved Medicines, ≥ Phase II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19685</wp:posOffset>
            </wp:positionV>
            <wp:extent cx="5554980" cy="2374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55498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UltiMAb transgenic mouse technology licensed from Medarex, a wholly owned subsidiary of Bristol Myers Squibb Corporation (</w:t>
      </w: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BMS</w:t>
      </w:r>
      <w:r>
        <w:rPr>
          <w:rFonts w:ascii="Arial" w:cs="Arial" w:eastAsia="Arial" w:hAnsi="Arial"/>
          <w:sz w:val="14"/>
          <w:szCs w:val="14"/>
          <w:color w:val="auto"/>
        </w:rPr>
        <w:t>”</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Daratumumab (DARZALEX)</w:t>
      </w:r>
    </w:p>
    <w:p>
      <w:pPr>
        <w:spacing w:after="0" w:line="227" w:lineRule="exact"/>
        <w:rPr>
          <w:sz w:val="20"/>
          <w:szCs w:val="20"/>
          <w:color w:val="auto"/>
        </w:rPr>
      </w:pPr>
    </w:p>
    <w:p>
      <w:pPr>
        <w:ind w:left="60" w:right="359" w:firstLine="324"/>
        <w:spacing w:after="0" w:line="290" w:lineRule="auto"/>
        <w:rPr>
          <w:sz w:val="20"/>
          <w:szCs w:val="20"/>
          <w:color w:val="auto"/>
        </w:rPr>
      </w:pPr>
      <w:r>
        <w:rPr>
          <w:rFonts w:ascii="Times New Roman" w:cs="Times New Roman" w:eastAsia="Times New Roman" w:hAnsi="Times New Roman"/>
          <w:sz w:val="17"/>
          <w:szCs w:val="17"/>
          <w:color w:val="auto"/>
        </w:rPr>
        <w:t xml:space="preserve">Daratumumab (marketed as DARZALEX for IV administration and as DARZALEX </w:t>
      </w:r>
      <w:r>
        <w:rPr>
          <w:rFonts w:ascii="Times New Roman" w:cs="Times New Roman" w:eastAsia="Times New Roman" w:hAnsi="Times New Roman"/>
          <w:sz w:val="17"/>
          <w:szCs w:val="17"/>
          <w:i w:val="1"/>
          <w:iCs w:val="1"/>
          <w:color w:val="auto"/>
        </w:rPr>
        <w:t>FASPRO</w:t>
      </w:r>
      <w:r>
        <w:rPr>
          <w:rFonts w:ascii="Times New Roman" w:cs="Times New Roman" w:eastAsia="Times New Roman" w:hAnsi="Times New Roman"/>
          <w:sz w:val="17"/>
          <w:szCs w:val="17"/>
          <w:color w:val="auto"/>
        </w:rPr>
        <w:t xml:space="preserve"> in the U.S. and as DARZALEX SC in Europe for SC administration) is a human monoclonal antibody that binds with high affinity to the CD38 molecule, which is highly expressed on the surface of MM cells and is also expressed by AL amyloidosis plasma</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cells. Genmab used technology licensed from Medarex to generate the CD38 antibody. Daratumumab is being developed and commercialized by J&amp;J under an exclusive worldwide license from Genmab to develop, manufacture and commercialize daratumumab. Daratumumab is approved in a large number of territories for the treatment of adult patients with certain MM indications and is the only approved therapy in the U.S., Europe and Japan for the treatment of adult patients with AL amyloidosis.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Amivantamab</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July 2012, and as amended in December 2013, Genmab entered into a collaboration with J&amp;J to create and develop bispecific antibodies using Genmab’s DuoBody technology platform. One of these, J&amp;J amivantamab, is a fully human bispecific antibody that targets EGFR and cMet, two validated cancer targets. The two antibody libraries used to produce amivantamab were both generated by Genmab. In collaboration with J&amp;J, the antibody pair used to create amivantamab was selected. J&amp;J is responsible for the development and commercialization of amivantamab. Amivantamab, marketed as RYBREVANT, is approved in certain territories including the U.S., Europe and other markets for the treatment of certain adult patients with NSCLC with EGFR exon 20 insertion mutations.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Teclistamab</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July 2012, and as amended in December 2013, Genmab entered into a collaboration with J&amp;J to create and develop bispecific antibodies using Genmab’s DuoBody technology platform. One of the products subsequently created, discovered and developed by J&amp;J is teclistamab, a bispecific antibody that targets CD3, which is expressed on T-cells and B-cell maturation antigen (“</w:t>
      </w:r>
      <w:r>
        <w:rPr>
          <w:rFonts w:ascii="Times New Roman" w:cs="Times New Roman" w:eastAsia="Times New Roman" w:hAnsi="Times New Roman"/>
          <w:sz w:val="18"/>
          <w:szCs w:val="18"/>
          <w:b w:val="1"/>
          <w:bCs w:val="1"/>
          <w:color w:val="auto"/>
        </w:rPr>
        <w:t>BCMA”</w:t>
      </w:r>
      <w:r>
        <w:rPr>
          <w:rFonts w:ascii="Times New Roman" w:cs="Times New Roman" w:eastAsia="Times New Roman" w:hAnsi="Times New Roman"/>
          <w:sz w:val="18"/>
          <w:szCs w:val="18"/>
          <w:color w:val="auto"/>
        </w:rPr>
        <w:t>), which is expressed on mature B lymphocytes. J&amp;J is responsible for the development and commercialization of teclistamab. Teclistamab, marketed as TECVAYLI, is approved in certain territories including the U.S., Europe and other markets for the treatment of certain adult patients with R/R MM.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Talquetamab</w:t>
      </w:r>
    </w:p>
    <w:p>
      <w:pPr>
        <w:spacing w:after="0" w:line="229" w:lineRule="exact"/>
        <w:rPr>
          <w:sz w:val="20"/>
          <w:szCs w:val="20"/>
          <w:color w:val="auto"/>
        </w:rPr>
      </w:pPr>
    </w:p>
    <w:p>
      <w:pPr>
        <w:jc w:val="both"/>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In July 2012, and as amended in December 2013, Genmab entered into a collaboration with J&amp;J to create and develop bispecific antibodies using Genmab’s DuoBody technology platform. One of the products subsequently created, discovered and developed by J&amp;J is talquetamab, a bispecific antibody that targets CD3, which is expressed on T-cells and G protein– coupled receptor, family C, group 5, member D (“</w:t>
      </w:r>
      <w:r>
        <w:rPr>
          <w:rFonts w:ascii="Times New Roman" w:cs="Times New Roman" w:eastAsia="Times New Roman" w:hAnsi="Times New Roman"/>
          <w:sz w:val="17"/>
          <w:szCs w:val="17"/>
          <w:b w:val="1"/>
          <w:bCs w:val="1"/>
          <w:color w:val="auto"/>
        </w:rPr>
        <w:t>GPRC5D</w:t>
      </w:r>
      <w:r>
        <w:rPr>
          <w:rFonts w:ascii="Times New Roman" w:cs="Times New Roman" w:eastAsia="Times New Roman" w:hAnsi="Times New Roman"/>
          <w:sz w:val="17"/>
          <w:szCs w:val="17"/>
          <w:color w:val="auto"/>
        </w:rPr>
        <w:t>”), an orphan receptor expressed in malignant plasma cells.</w:t>
      </w:r>
    </w:p>
    <w:p>
      <w:pPr>
        <w:spacing w:after="0" w:line="3"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J&amp;J is responsible for the development and commercialization of talquetamab. Talquetamab, marketed as TALVEY, is approved in certain territories including the U.S., Europe and other markets for the treatment of certain adult patients with R/R MM.</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Ofatumumab</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Ofatumumab is a human monoclonal antibody that targets an epitope on the CD20 molecule encompassing parts of the small and large extracellular loops. Genmab used technology licensed from Medarex to generate the CD20 antibody. Ofatumumab, marketed as Kesimpta, is approved in territories including the U.S., Europe and Japan for the treatment of certain adult patients with RMS. Ofatumumab is the first B-cell therapy that can be self-administered by patients using the Sensoready autoinjector pen, once monthly after starting therapy. Ofatumumab is being marketed worldwide by Novartis under a license agreement between Genmab and Novartis.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Teprotumumab</w:t>
      </w:r>
    </w:p>
    <w:p>
      <w:pPr>
        <w:spacing w:after="0" w:line="229"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Teprotumumab, approved by the FDA under the trade name TEPEZZA, is a human monoclonal antibody that targets the Insulin-like Growth Factor 1 Receptor (“</w:t>
      </w:r>
      <w:r>
        <w:rPr>
          <w:rFonts w:ascii="Times New Roman" w:cs="Times New Roman" w:eastAsia="Times New Roman" w:hAnsi="Times New Roman"/>
          <w:sz w:val="17"/>
          <w:szCs w:val="17"/>
          <w:b w:val="1"/>
          <w:bCs w:val="1"/>
          <w:color w:val="auto"/>
        </w:rPr>
        <w:t>IGF-1R</w:t>
      </w:r>
      <w:r>
        <w:rPr>
          <w:rFonts w:ascii="Times New Roman" w:cs="Times New Roman" w:eastAsia="Times New Roman" w:hAnsi="Times New Roman"/>
          <w:sz w:val="17"/>
          <w:szCs w:val="17"/>
          <w:color w:val="auto"/>
        </w:rPr>
        <w:t>”), a well-validated target. Genmab used technology licensed from Medarex to generate the IGF-1R antibody. The antibody was created by Genmab under a collaboration with Roche and development and commercialization of the product is now being conducted by Amgen under a sublicense from Roche.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Partnered Candidates</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Our collaboration partners currently have multiple product candidates in clinical development through collaboration agreements with us. These include products that are being developed in collaboration with BMS, ADC Therapeutics SA ("</w:t>
      </w:r>
      <w:r>
        <w:rPr>
          <w:rFonts w:ascii="Times New Roman" w:cs="Times New Roman" w:eastAsia="Times New Roman" w:hAnsi="Times New Roman"/>
          <w:sz w:val="18"/>
          <w:szCs w:val="18"/>
          <w:b w:val="1"/>
          <w:bCs w:val="1"/>
          <w:color w:val="auto"/>
        </w:rPr>
        <w:t>ADC Therapeutics</w:t>
      </w:r>
      <w:r>
        <w:rPr>
          <w:rFonts w:ascii="Times New Roman" w:cs="Times New Roman" w:eastAsia="Times New Roman" w:hAnsi="Times New Roman"/>
          <w:sz w:val="18"/>
          <w:szCs w:val="18"/>
          <w:color w:val="auto"/>
        </w:rPr>
        <w:t>”), Lundbeck, Provention Bio Inc., (“</w:t>
      </w:r>
      <w:r>
        <w:rPr>
          <w:rFonts w:ascii="Times New Roman" w:cs="Times New Roman" w:eastAsia="Times New Roman" w:hAnsi="Times New Roman"/>
          <w:sz w:val="18"/>
          <w:szCs w:val="18"/>
          <w:b w:val="1"/>
          <w:bCs w:val="1"/>
          <w:color w:val="auto"/>
        </w:rPr>
        <w:t>Provention Bio</w:t>
      </w:r>
      <w:r>
        <w:rPr>
          <w:rFonts w:ascii="Times New Roman" w:cs="Times New Roman" w:eastAsia="Times New Roman" w:hAnsi="Times New Roman"/>
          <w:sz w:val="18"/>
          <w:szCs w:val="18"/>
          <w:color w:val="auto"/>
        </w:rPr>
        <w:t>”) (now owned by Sanofi S.A. (“</w:t>
      </w:r>
      <w:r>
        <w:rPr>
          <w:rFonts w:ascii="Times New Roman" w:cs="Times New Roman" w:eastAsia="Times New Roman" w:hAnsi="Times New Roman"/>
          <w:sz w:val="18"/>
          <w:szCs w:val="18"/>
          <w:b w:val="1"/>
          <w:bCs w:val="1"/>
          <w:color w:val="auto"/>
        </w:rPr>
        <w:t>Sanofi</w:t>
      </w:r>
      <w:r>
        <w:rPr>
          <w:rFonts w:ascii="Times New Roman" w:cs="Times New Roman" w:eastAsia="Times New Roman" w:hAnsi="Times New Roman"/>
          <w:sz w:val="18"/>
          <w:szCs w:val="18"/>
          <w:color w:val="auto"/>
        </w:rPr>
        <w:t>”)), Global Blood Therapeutics, Inc. (now owned by Pfizer) and Novo Nordisk.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Technology Platforms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DuoBody Platform</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DuoBody platform is our innovative proprietary platform for the discovery and development of bispecific antibodies. Bispecific antibodies bind to two different epitopes (or “docking” sites) either on the same, or on different targets (also known as dual-targeting). Dual-targeting may improve binding specificity and enhance therapeutic efficacy or bring two different cells together (for example, engaging a T-cell to kill a tumor cell). Bispecific antibodies generated with our DuoBody platform can be used for the development of therapeutics for diseases such as cancer, hemophilia and autoimmune, infectious, cardiovascular and central nervous system diseases. DuoBody molecules are designed to combine the benefits of bispecificity with the strengths of conventional antibodies, which allows DuoBody molecules to be administered and dosed in the same way as other antibody therapeutics. Based on a proof-of-concept study, we believe that our DuoBody platform generates bispecific antibodies via a versatile and broadly applicable process that is easily performed at high throughput, at standard bench, as well as on a commercial manufacturing scale. We use the DuoBody platform to create our own bispecific antibody programs and we actively seek collaboration partners interested in developing antibody therapeutics using our DuoBody technology. We have a number of commercial collaboration partners for the DuoBody technology, including J&amp;J, BioNTech, AbbVie and Novo Nordisk. See </w:t>
      </w:r>
      <w:r>
        <w:rPr>
          <w:rFonts w:ascii="Times New Roman" w:cs="Times New Roman" w:eastAsia="Times New Roman" w:hAnsi="Times New Roman"/>
          <w:sz w:val="18"/>
          <w:szCs w:val="18"/>
          <w:i w:val="1"/>
          <w:iCs w:val="1"/>
          <w:color w:val="auto"/>
        </w:rPr>
        <w:t>“Item 4.B—Product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Technology Collaborations—Collaborations and Other Agreements for our Partnered Products” </w:t>
      </w:r>
      <w:r>
        <w:rPr>
          <w:rFonts w:ascii="Times New Roman" w:cs="Times New Roman" w:eastAsia="Times New Roman" w:hAnsi="Times New Roman"/>
          <w:sz w:val="18"/>
          <w:szCs w:val="18"/>
          <w:color w:val="auto"/>
        </w:rPr>
        <w:t>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our current licenses and collaborations.</w:t>
      </w:r>
    </w:p>
    <w:p>
      <w:pPr>
        <w:spacing w:after="0" w:line="196"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A number of our proprietary bispecific antibodies created with the DuoBody technology are in clinical development. In addition, J&amp;J has progressed a number of product candidates into clinical development through our DuoBody collaboration, including amivantamab, teclistamab and talquetamab, which have been approved in the U.S., Europe and certain other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ADC Technology Platforms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ADCs are antibodies with potent cytotoxic agents coupled to them. By using antibodies that recognize specific targets on tumor cells, these cytotoxic agents are preferentially delivered to the tumor cells. With Genmab’s acquisition of ProfoundBio we inherited proprietary hydrophilic antibody-drug linker technology that blends innovative and proven methods to design ADCs leading to potentially enhanced therapeutic outcomes. This technology leverages two decades of insights into ADC pharmacology and optimization. These novel, highly hydrophilic and stable cleavable linkers are designed to mask the hydrophobicity of payloads, leading to ADCs with more “antibody-like” pharmacokinetics. Initial focus has been on clinically proven targets where ADC viability has been established. Our goal is to pursue targets with clear opportunities for best- and/or first-in-class ADCs. We also have the potential to combine this technology with Genmab’s proprietary DuoBody technology to create bispecific ADCs.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HexaBody Platform</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HexaBody platform is a proprietary technology that is designed to increase the potency of antibodies. The HexaBody platform is designed to build on natural biology to strengthen the natural killing ability of antibodies while retaining regular structure and specificity. The HexaBody technology allows for the creation of potentially potent therapeutics by inducing antibody hexamer formation (clusters of six antibodies) after binding to their target antigen on the cell surface. We have used the HexaBody platform to generate antibodies with an enhanced complement-mediated killing design, allowing antibodies with limited or absent killing capacity to be transformed into potent, cytotoxic antibodies. In addition to complement-mediated killing, the clustering of membrane receptors by the HexaBody platform may lead to subsequent outside-in signaling. The HexaBody technology creates opportunities to explore new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candidates, to repurpose drug candidates unsuccessful in previous clinical trials due to insufficient potency and may provide a useful strategy in product life cycle management. We believe that the HexaBody technology is broadly applicable and may be combined with other antibody technologies. The technology has the potential to enhance antibody therapeutics for a broad range of applications in cancer and infectious diseases.</w:t>
      </w:r>
    </w:p>
    <w:p>
      <w:pPr>
        <w:spacing w:after="0" w:line="180" w:lineRule="exact"/>
        <w:rPr>
          <w:sz w:val="20"/>
          <w:szCs w:val="20"/>
          <w:color w:val="auto"/>
        </w:rPr>
      </w:pPr>
    </w:p>
    <w:p>
      <w:pPr>
        <w:ind w:left="60" w:right="399" w:firstLine="324"/>
        <w:spacing w:after="0" w:line="312" w:lineRule="auto"/>
        <w:rPr>
          <w:sz w:val="20"/>
          <w:szCs w:val="20"/>
          <w:color w:val="auto"/>
        </w:rPr>
      </w:pPr>
      <w:r>
        <w:rPr>
          <w:rFonts w:ascii="Times New Roman" w:cs="Times New Roman" w:eastAsia="Times New Roman" w:hAnsi="Times New Roman"/>
          <w:sz w:val="17"/>
          <w:szCs w:val="17"/>
          <w:color w:val="auto"/>
        </w:rPr>
        <w:t>Our current HexaBody-based products in clinical development are HexaBody-CD38, for which we entered into an exclusive license and option agreement with J&amp;J, and HexaBody-OX40 which we are co-developing with BioNTech.</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DuoHexaBody Platform</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DuoHexaBody platform is a novel proprietary technology that combines the dual targeting design of our DuoBody technology with the potential enhanced potency of our HexaBody technology, creating bispecific antibodies with a target-mediated enhanced hexamerization design. DuoHexaBody-CD37 is currently our only proprietary bispecific antibody created with DuoHexaBody technology.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September 2023 Genmab decided to discontinue the program due to a strategic evaluation of DuoHexaBody-CD37 within the context of the company’s portfolio. The decision was not based on any safety or regulatory concerns</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HexElect Platform</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HexElect platform is a novel proprietary technology that combines two different HexaBody molecules in order to selectively hit only those cells that express both targets by making the activity of complexes of HexaBody molecules dependent on their binding to two different targets on the same cell. The HexElect platform maximizes potency while minimizing potential toxicity, potentially leading to more potent and safer products.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manufacture the products that we need to conduct clinical trials, and we therefore rely on our collaboration partners or CMOs to supply product for our IND-enabling trials, clinical trials and process validation batches and related activities for BLA and other regulatory submissions, and we expect to rely on such collaboration partners or CMOs for production of commercial supply of our products in the future. Manufacturing pharmaceutical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the EMA and other regulatory bodies to assure proper design, monitoring and control of manufacturing processes and facilities for human pharmaceuticals.</w:t>
      </w:r>
    </w:p>
    <w:p>
      <w:pPr>
        <w:spacing w:after="0" w:line="18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have no involvement with the manufacturing process for our approved products in development with collaboration partners, DARZALEX, RYBREVANT, TECVAYLI, and TALVEY, which are handled by J&amp;J; Kesimpta, handled by Novartis; and TEPEZZA, handled by Amgen, under the applicable agreements. Our partners Pfizer and AbbVie are responsible for the manufacturing processes for Tivdak and EPKINLY/TEPKINLY, respectively, under the applicable agreements.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Currently, the majority of the products required for our clinical trials and pre-clinical trials are manufactured by a limited number of CMOs and specific sites at those CMOs. In addition, we rely on other third parties to perform additional steps in the manufacturing process, as well as analysis, shipping and storage of drug products and our product candidates. Although we rely on our cGMP manufacturers and suppliers, we have personnel with substantial manufacturing and production experience to oversee our relationships with such manufacturers and suppliers and provide the necessary technical, quality and regulatory oversight of our CMOs. We have also adopted procedures to promote compliance by our CMOs with relevant regulatory requirements and internal guidelines with respect to production qualifications, facilities and processes.</w:t>
      </w:r>
    </w:p>
    <w:p>
      <w:pPr>
        <w:spacing w:after="0" w:line="19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believe our CMOs are, and any future CMOs will be, capable of producing sufficient quantities of drug products to support our currently planned commercialization, clinical trials and pre-clinical trials. We also believe that, while limited, there are alternative third-party manufacturers that have similar capabilities that would be capable of providing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sufficient quantities of commercial products and drug products for our planned clinical trials and pre-clinical trials. However, should our CMOs not be able to provide sufficient quantities of commercial products or drug product for our planned commercialization, clinical trials or pre-clinical trials, we would be required to seek other CMOs to provide this product, potentially resulting in a delay in such trials or delivery of our commercialized products.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currently rely on a third-party manufacturer for raw materials. Raw materials are available in quantities adequate to meet the needs of our business. The prices of the raw materials are subject to a service agreement. While we do not anticipate any significant price volatility, to the extent that we are exposed to price fluctuations, we expect the fluctuations to occur within a limited range and not have a material impact on our business, financial condition, liquidity, or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Strategy</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approved products in development with collaboration partners are DARZALEX, RYBREVANT, TECVAYLI, and TALVEY marketed by J&amp;J, Kesimpta marketed by Novartis and TEPEZZA marketed by Amgen, under worldwide license agreements with us, or in the case of TEPEZZA, under a sublicense from Roche. We receive royalties from J&amp;J, Novartis and Roche based on net sales of DARZALEX, RYBREVANT, TECVAYLI, TALVEY, Kesimpta and TEPEZZA, but we are not involved with commercialization activities or strategy.</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continuing to develop and expand our commercialization capabilities to allow us to market our own products for the indications and in the geographies we determine would be most effective to create value for our patients and shareholders. Genmab became a commercial-stage company with the launch of Tivdak for the treatment of second line plus recurrent or metastatic cervical cancer in 2021. Tivdak is developed and commercialized together with Pfizer. Effective January 1, 2025, Genmab and Pfizer agreed to amend the License and Collaboration Agreement and the Joint Commercialization Agreement for Tivdak, assigning Genmab sole responsibility for the development and commercialization of Tivdak for second line plus recurrent or metastatic cervical cancer in Europe and all other regions globally, excluding the United States and the China region. With this amendment, Genmab will continue to co-promote Tivdak with Pfizer in the U.S., and will continue to lead development and commercialization operational activities in Japan, when approved, which we view as a promising commercial opportunity where modest commercial and medical affairs infrastructure has the potential to become a high-value investment given the low rates of cancer screening and human papillomavirus vaccinations. Pfizer will continue to lead commercialization activities in China, when approved.</w:t>
      </w:r>
    </w:p>
    <w:p>
      <w:pPr>
        <w:spacing w:after="0" w:line="19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2023, we began commercializing EPKINLY together with AbbVie. We are the lead in co-commercializing EPKINLY in the U.S. and Japan with AbbVie. AbbVie is responsible for commercialization in Europe and other markets as TEPKINLY.</w:t>
      </w:r>
    </w:p>
    <w:p>
      <w:pPr>
        <w:spacing w:after="0" w:line="176"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Moving forward, we may choose to commercialize new products independently, or we may rely on our collaboration partners to do so in whole or in part. This will be determined on a product-by-product or indication-by-indication basis in each proposed market and will depend on the agreements we have with our collaboration partners and our assessment of the most effective commercialization plan to benefit patients and create value for our shareholders.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trials, conducting clinical trials and marketing approved products than we do.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of their products. In addition, our competitors’ products may be more effective or more effectively marketed and sold than any treatment we or our development collaboration partners may commercialize and may render our product candidates obsolete or noncompetitive before we can recover the expenses related to developing and commercializing our product candidates.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Below is a description of competition in certain of our products and product candidates.</w:t>
      </w:r>
    </w:p>
    <w:p>
      <w:pPr>
        <w:spacing w:after="0" w:line="225" w:lineRule="exact"/>
        <w:rPr>
          <w:sz w:val="20"/>
          <w:szCs w:val="20"/>
          <w:color w:val="auto"/>
        </w:rPr>
      </w:pPr>
    </w:p>
    <w:p>
      <w:pPr>
        <w:ind w:left="60" w:right="259" w:firstLine="324"/>
        <w:spacing w:after="0" w:line="236" w:lineRule="auto"/>
        <w:rPr>
          <w:sz w:val="20"/>
          <w:szCs w:val="20"/>
          <w:color w:val="auto"/>
        </w:rPr>
      </w:pPr>
      <w:r>
        <w:rPr>
          <w:rFonts w:ascii="Times New Roman" w:cs="Times New Roman" w:eastAsia="Times New Roman" w:hAnsi="Times New Roman"/>
          <w:sz w:val="17"/>
          <w:szCs w:val="17"/>
          <w:color w:val="auto"/>
        </w:rPr>
        <w:t>With respect to daratumumab, there are numerous other FDA-approved drugs for the treatment of MM, and the competition daratumumab faces is intensifying. Isatuximab, a CD38 antibody developed by Sanofi, was approved as Sarclisa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by the FDA in March 2020 and the European Commission in June 2020 for the treatment of adult patients with</w:t>
      </w:r>
    </w:p>
    <w:p>
      <w:pPr>
        <w:spacing w:after="0" w:line="1" w:lineRule="exact"/>
        <w:rPr>
          <w:sz w:val="20"/>
          <w:szCs w:val="20"/>
          <w:color w:val="auto"/>
        </w:rPr>
      </w:pPr>
    </w:p>
    <w:p>
      <w:pPr>
        <w:ind w:left="60" w:right="59" w:hanging="10"/>
        <w:spacing w:after="0" w:line="217" w:lineRule="auto"/>
        <w:tabs>
          <w:tab w:leader="none" w:pos="4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have received at least two prior therapies including lenalidomide and a PI. Although an earlier accelerated approval was withdrawn due to a failed confirmatory Phase III trial, a newer Phase III trial with daratumumab as part of the control arm suggests the possibility for approval of GSK’s Blenrep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CAR-Ts have also been approved for use in MM including BMS’s and 2seventybio’s ABECMA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J&amp;J’s CARVYKTI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two bispecific antibodies have been approved: J&amp;J’s TECVAYLI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TALVEY™, and Pfizer’s Elrexfio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also aware of numerous additional investigational agents that are currently being studied. If any of these investigational agents are successful, they may compete with daratumumab in the future. Data has also been presented on several developing technologies and related potential products, including other bispecific antibodies, ADCs and CAR-Ts that may compete with daratumumab in the future.</w:t>
      </w:r>
    </w:p>
    <w:p>
      <w:pPr>
        <w:spacing w:after="0" w:line="202"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color w:val="auto"/>
        </w:rPr>
        <w:t>With respect to competition in the multiple sclerosis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market is intense and there are numerous FDA-approved drugs for the treatment of the various forms of MS. A number of companies are also working to develop potential treatments for MS that may in the future further intensify the competition in the MS market, such as TG Therapeutics’ BRIUMVI™, approved in December 2022. Potential future sales may also be negatively impacted by the introduction of generics, prodrugs of existing therapeutics or biosimilars of existing products and other technologies.</w:t>
      </w:r>
    </w:p>
    <w:p>
      <w:pPr>
        <w:spacing w:after="0" w:line="18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With respect to tisotumab vedotin, we are aware of other companies that currently have products in development for the treatment of cervical cancer, which could be competitive with tisotumab vedotin, including checkpoint inhibitors from Agenus Inc., BMS, Merck, Roche, and Innovent Biologics, Inc. as well as other drugs in development from other companies. In June 2018, the FDA granted Merck’s Keytruda, a PD-1 inhibitor, accelerated approval as monotherapy for patients with recurrent or metastatic cervical cancer. The FDA granted full approval for this indication in October 2021, at the same time approving Keytruda in combination with chemotherapy, with or without bevacizumab, for patients with persistent, recurrent or metastatic cervical cancer whose tumors express PD-L1 (CPS ≥1), as determined by an FDA-approved test. Keytruda was subsequently approved in this indication in Europe in April 2022. Keytruda was approved in January 2024 in combination with concurrent chemoradiotherapy for locally-advanced cervical cancer. Also, a bispecific antibody having one similar target with Keytruda, AstraZeneca’s volrustomig, recently entered Phase III trials and could complete in this indication within the next several years.</w:t>
      </w:r>
    </w:p>
    <w:p>
      <w:pPr>
        <w:spacing w:after="0" w:line="192" w:lineRule="exact"/>
        <w:rPr>
          <w:sz w:val="20"/>
          <w:szCs w:val="20"/>
          <w:color w:val="auto"/>
        </w:rPr>
      </w:pPr>
    </w:p>
    <w:p>
      <w:pPr>
        <w:ind w:left="60" w:right="99" w:firstLine="324"/>
        <w:spacing w:after="0" w:line="231" w:lineRule="auto"/>
        <w:rPr>
          <w:sz w:val="20"/>
          <w:szCs w:val="20"/>
          <w:color w:val="auto"/>
        </w:rPr>
      </w:pPr>
      <w:r>
        <w:rPr>
          <w:rFonts w:ascii="Times New Roman" w:cs="Times New Roman" w:eastAsia="Times New Roman" w:hAnsi="Times New Roman"/>
          <w:sz w:val="18"/>
          <w:szCs w:val="18"/>
          <w:color w:val="auto"/>
        </w:rPr>
        <w:t>We are similarly aware, with respect to epcoritamab, of a number of other companies that have bispecific CD3xCD20-targeted product candidates in development for the treatment of B-cell malignancies, which are competing with epcoritamab. These include: Regeneron Pharmaceuticals’ odronextamab, which was approved by the EMA in August 2024 for third line plus LBCL and DLBCL and was filed in the US for third line plus FL; and from Roche: mosunetuzumab, which has BTD and which received conditional marketing authorization as LUNSUMIO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Europe in third line plus FL in June 2022 and accelerated approval in the U.S. in December 2022; and glofitamab, which received accelerated approval (as COLUMVI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both the U.S. and in Europe in June and July of 2023, respectively and was filed in 2024 for R/R DLBCL in combination with GemOx. We are aware that odronextamab, LUNSUMIO and COLUMVI are also being evaluated in other Phase III trials in multiple other B-cell malignancies. We are also aware that there are a variety of CD20 and CD19 antibodies, immunomodulators, ADCs, BTK inhibitors, tyrosine kinase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23" w:lineRule="auto"/>
        <w:rPr>
          <w:sz w:val="20"/>
          <w:szCs w:val="20"/>
          <w:color w:val="auto"/>
        </w:rPr>
      </w:pPr>
      <w:r>
        <w:rPr>
          <w:rFonts w:ascii="Times New Roman" w:cs="Times New Roman" w:eastAsia="Times New Roman" w:hAnsi="Times New Roman"/>
          <w:sz w:val="18"/>
          <w:szCs w:val="18"/>
          <w:color w:val="auto"/>
        </w:rPr>
        <w:t>inhibitors and CAR-T therapies that are either approved or in development for non-Hodgkin’s lymphomas. Some of these include ADC Therapeutics’ ZYNLONTA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by the FDA in April 2021 for R/R LBCL and approved in Europe in December 2022, INCYTE’s MONJUVI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by the FDA in combination with lenalidomide in July 2020 in R/R DLBCL, Beigene’s BRUKINSA approved by the FDA in March 2024 for third line plus FL in combination with obinutuzumab, and several CAR-T therapies, Novartis’s KYMRIAH®, approved in the U.S. and EU in R/R FL in May 2022, BMS’s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in the U.S. in June 2022 for R/R LBCL, Gilead Sciences (“Gilead”)’s YESCARTA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in the U.S. in R/R LBCL in April 2022 and second line DLBCL in Europe in October 2022 and Tecartus, approved for R/R MCL in 2020 in both the US and Europe. In addition, in June 2019 Roche received accelerated approval in the U.S. for POLIVY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first-in-class anti-CD79b ADC, in combination with bendamustine and rituximab for adults with R/R DLBCL who have received at least two prior therapies. In August 2021 Roche announced that the Phase III POLARIX trial met its primary endpoint. The positive readout of POLARIX met the post-marketing requirement to convert the accelerated approval into a full approval, potentially raising the bar for other drugs, including epcoritamab, to enter the 1L DLBCL space. POLIVY was granted full approval by the European Commission in May 2022 and by the FDA in April 2023.</w:t>
      </w:r>
    </w:p>
    <w:p>
      <w:pPr>
        <w:spacing w:after="0" w:line="20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With respect to acasunlimab, we are aware of a number of other companies that have bispecific PD-L1x4-1BB products in development for the treatment of solid tumors including Merus N.V.’s MCLA-145, F-Star Therapeutics Inc.’s FS222, Antengene’s ATG-101, Biotheus’ PM1003, Leads Biolabs’ PM1003, AP Biosciences AP203 and HankeMab’s HK010.</w:t>
      </w:r>
    </w:p>
    <w:p>
      <w:pPr>
        <w:spacing w:after="0" w:line="168" w:lineRule="exact"/>
        <w:rPr>
          <w:sz w:val="20"/>
          <w:szCs w:val="20"/>
          <w:color w:val="auto"/>
        </w:rPr>
      </w:pPr>
    </w:p>
    <w:p>
      <w:pPr>
        <w:ind w:left="60" w:right="259" w:firstLine="324"/>
        <w:spacing w:after="0" w:line="232" w:lineRule="auto"/>
        <w:rPr>
          <w:sz w:val="20"/>
          <w:szCs w:val="20"/>
          <w:color w:val="auto"/>
        </w:rPr>
      </w:pPr>
      <w:r>
        <w:rPr>
          <w:rFonts w:ascii="Times New Roman" w:cs="Times New Roman" w:eastAsia="Times New Roman" w:hAnsi="Times New Roman"/>
          <w:sz w:val="18"/>
          <w:szCs w:val="18"/>
          <w:color w:val="auto"/>
        </w:rPr>
        <w:t>With respect to Rina-S competitors, Abbvie’s ELAHERE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the first folate receptor-alpha (FRα) targeting ADC approved, initially in the US and recently in the EU. We are aware of several other FRα ADCs in development, including luveltamab from Sutro Biopharma, AZD5335 from AstraZeneca, farletuzumab from Eisai, and BAT8006 from BioThera Solutions.</w:t>
      </w:r>
    </w:p>
    <w:p>
      <w:pPr>
        <w:spacing w:after="0" w:line="199" w:lineRule="exact"/>
        <w:rPr>
          <w:sz w:val="20"/>
          <w:szCs w:val="20"/>
          <w:color w:val="auto"/>
        </w:rPr>
      </w:pPr>
    </w:p>
    <w:p>
      <w:pPr>
        <w:ind w:left="60" w:right="139" w:firstLine="324"/>
        <w:spacing w:after="0" w:line="277" w:lineRule="auto"/>
        <w:rPr>
          <w:sz w:val="20"/>
          <w:szCs w:val="20"/>
          <w:color w:val="auto"/>
        </w:rPr>
      </w:pPr>
      <w:r>
        <w:rPr>
          <w:rFonts w:ascii="Times New Roman" w:cs="Times New Roman" w:eastAsia="Times New Roman" w:hAnsi="Times New Roman"/>
          <w:sz w:val="17"/>
          <w:szCs w:val="17"/>
          <w:color w:val="auto"/>
        </w:rPr>
        <w:t>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antibodies, CAR-T and RNA-based technologies. In addition, our DuoBody and other technology collaboration partners may develop compounds utilizing our technology that may compete with product candidates that we are developing.</w:t>
      </w:r>
    </w:p>
    <w:p>
      <w:pPr>
        <w:spacing w:after="0" w:line="16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in the U.S., the BPCIA created an abbreviated approval pathway for biological products that are demonstrated to be “highly similar” or “biosimilar” to or “interchangeable” with an FDA-approved biological product. This pathway allows competitors to reference the FDA’s prior approvals regarding innovative biological products and data submitted with a BLA to obtain approval of a biosimilar application 12 years after the time of approval of the innovative biological product. The 12-year exclusivity period runs from the initial approval of the innovator product and not from approval of a new indication. In addition, the 12-year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of a BLA for an innovator’s biological product to support the biosimilar product’s approval. Further, under the FDA’s current interpretation, a biosimilar applicant can obtain approval for one or more of the indications approved for the innovator product by extrapolating clinical data from one indication to support approval for other indications. In the EU, the European Commission has granted marketing authorizations for several biosimilars pursuant to a set of general and product class-specific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196"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324"/>
        <w:spacing w:after="0" w:line="312" w:lineRule="auto"/>
        <w:rPr>
          <w:sz w:val="20"/>
          <w:szCs w:val="20"/>
          <w:color w:val="auto"/>
        </w:rPr>
      </w:pPr>
      <w:r>
        <w:rPr>
          <w:rFonts w:ascii="Times New Roman" w:cs="Times New Roman" w:eastAsia="Times New Roman" w:hAnsi="Times New Roman"/>
          <w:sz w:val="17"/>
          <w:szCs w:val="17"/>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40"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prioritized products, product candidates and technology platforms;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or acquire additional technology or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trials which position our products for regulatory and commercial success;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proprietary position in our technologies and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more efficient through productivity initiatives;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reimbursement for our products in approved indications;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efficient manufacturing processes and supply chain;</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our business, such as the commercialization of our products, including with respect to any changed or increased regulatory restrictions; and</w:t>
      </w:r>
    </w:p>
    <w:p>
      <w:pPr>
        <w:spacing w:after="0" w:line="175"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collaborations to advance the development and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and Technology Collaborations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Collaborations for our Proprietary Products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AbbVie Epcoritamab and Discovery Research Collaborations</w:t>
      </w:r>
    </w:p>
    <w:p>
      <w:pPr>
        <w:spacing w:after="0" w:line="227"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June 2020, we entered into a Collaboration and License Agreement with AbbVie to jointly develop and commercialize epcoritamab and additional investigational bispecific antibody product candidates. In addition, under the agreement, we agreed with AbbVie to enter into a discovery research collaboration for future differentiated antibody therapeutics for cancer.</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Genmab shares commercial responsibilities with AbbVie in the U.S. and Japan, while AbbVie is responsible for global commercialization outside of the U.S. and Japan. We are the principal for net sales of epcoritamab in the U.S. and Japan and receive tiered royalties on remaining global sales outside these territories. We are entitled to tiered royalties between 22% and 26% on net sales for epcoritamab outside the U.S. and Japan, subject to certain royalty reductions. Except for these royalty-bearing sales, we share with AbbVie profits from the sale of licensed products on a 50:50 basis. We and AbbVie split 50:50 the development costs related to epcoritamab, while we will be responsible for 100% of the costs for the discovery research programs up to the opt-in decision point.</w:t>
      </w:r>
    </w:p>
    <w:p>
      <w:pPr>
        <w:spacing w:after="0" w:line="18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For any product candidates developed as a result of the discovery research collaboration, we will share responsibilities with AbbVie for global development and commercialization in the U.S. and Japan. Subject to certain requirements, we have an option to co-commercialize these products, along with AbbVie, outside of the U.S. and Japan.</w:t>
      </w:r>
    </w:p>
    <w:p>
      <w:pPr>
        <w:spacing w:after="0" w:line="176"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We and AbbVie grant to each other co-exclusive licenses to use certain intellectual property that is necessary for or directly related to the development, manufacture or commercialization of the compounds being developed under the agreement and the resulting licensed products, as further described in the agreement. The licenses can be sublicensed to affiliates of the applicable licensee or to third-party sub-contractors meeting certain requirements or if otherwise approved.</w:t>
      </w:r>
    </w:p>
    <w:p>
      <w:pPr>
        <w:spacing w:after="0" w:line="164"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we received a $750 million (DKK 4,911 million) upfront payment in June 2020 and we were initially entitled to receive an aggregate of up to $3.15 billion in additional development, regulatory and sales milestone payments for all programs. Included in these potential milestones were up to $1.15 billion in payments related to clinical development and commercial success across the three bispecific antibody programs originally included in the agreement.</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a result of epcoritamab being the only remaining bispecific antibody program included in the original agreement, we are instead contractually entitled to receive an aggregate of up to $2.55 billion in additional development, regulatory and sales milestone payments and up to $550 million in payments related to clinical development and commercial success. In addition, and also included in these potential milestones, if all four next-generation antibody product candidates developed as a result of the discovery research collaboration are successful, we are eligible to receive up to $2.0 billion in option exercise and success-based milestones.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agreement expires when neither we nor AbbVie are developing or commercializing any licensed products. AbbVie may terminate the agreement at AbbVie’s convenience at any time after a certain notice period, either in whole or on a licensed product-by-licensed product basis or on a region-by-region basis. The U.S. and Japan as a whole, Europe as a whole, and the rest of the world each constitute one region for this purpose. If we or AbbVie terminate the agreement due to a material breach, insolvency event or force majeure event with respect to the other party, the terminating party will have the exclusive right (including the exclusive right to use the intellectual property licensed to it under the agreement) to develop, manufacture and commercialize the terminated licensed product in the terminated region. The terminating party will pay the other party a royalty on net sales of the terminated product in the terminated region up to certain thresholds depending on which party terminated the agreement. A termination by AbbVie for convenience is treated the same way as a termination by Genmab for a material breach by AbbVie for this purpose, which means that Genmab would have the exclusive right to develop, manufacture and commercialize the terminated licensed product in the terminated region.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Pfizer Tisotumab Vedotin Collaboration</w:t>
      </w:r>
    </w:p>
    <w:p>
      <w:pPr>
        <w:spacing w:after="0" w:line="22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October 2011, we entered into a license and collaboration agreement with Seagen, Inc. (“</w:t>
      </w:r>
      <w:r>
        <w:rPr>
          <w:rFonts w:ascii="Times New Roman" w:cs="Times New Roman" w:eastAsia="Times New Roman" w:hAnsi="Times New Roman"/>
          <w:sz w:val="18"/>
          <w:szCs w:val="18"/>
          <w:b w:val="1"/>
          <w:bCs w:val="1"/>
          <w:color w:val="auto"/>
        </w:rPr>
        <w:t>Seagen</w:t>
      </w:r>
      <w:r>
        <w:rPr>
          <w:rFonts w:ascii="Times New Roman" w:cs="Times New Roman" w:eastAsia="Times New Roman" w:hAnsi="Times New Roman"/>
          <w:sz w:val="18"/>
          <w:szCs w:val="18"/>
          <w:color w:val="auto"/>
        </w:rPr>
        <w:t>”), now Pfizer per Pfizer’s acquisition of Seagen in December 2023, that granted us rights to utilize Pfizer’s ADC technology with our TF antibody in return for milestone payments and royalties. We also granted Pfizer a right to exercise a co-development and co-commercialization option at the end of Phase I clinical development for tisotumab vedotin. In August 2017, Pfizer exercised this option to co-develop and co-commercialize tisotumab vedotin with us. In October 2020, Genmab and Pfizer entered into a Joint Commercialization Agreement where Genmab would co-promote tisotumab vedotin, marketed as Tivdak, in the U.S., and lead commercial operational activities and record sales in Japan, while Pfizer would lead operational commercial activities in the U.S., Europe and China with a 50:50 profit split in those markets. In all other markets, if any, Pfizer would be responsible for commercializing tisotumab vedotin and Genmab would receive royalties based on a percentage of aggregate net sales ranging from the mid-teens to the mid-twenties. Effective January 1, 2025, Genmab and Pfizer agreed to amend the License and Collaboration Agreement and the Joint Commercialization Agreement for Tivdak, assigning Genmab sole responsibility for the development and commercialization of Tivdak for second line plus recurrent or metastatic cervical cancer in Europe and all other regions globally, excluding the United States and the China region. With this amendment, Genmab will continue to co-promote Tivdak with Pfizer in the U.S. and will record sales for Europe, Japan and rest of world markets (excluding the United States and the China region), once commercialized, and will provide royalties to Pfizer on net sales in the low teens. Pfizer will continue to lead commercialization activities in China, when approved. The companies will continue the practice of joint decision-making on the worldwide development and commercialization strategy for tisotumab vedotin. In September 2022 Pfizer and Zai Lab announced an exclusive collaboration and license agreement for the development and commercialization of Tivdak in mainland China, Hong Kong, Macau and Taiwan. Under the terms of the agreement, Pfizer received an upfront payment of $30 million and will receive development, regulatory and commercial milestone payments, as well as tiered royalties on net sales of Tivdak in the Zai Lab territory. Based on our agreement with Pfizer, all upfront, milestone payments and royalties have been and will continue to be shared 50:50 with Genmab.</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BioNTech Collaboration</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May 2015, we entered into an agreement with BioNTech to jointly research, develop and commercialize bispecific antibody products using our DuoBody technology platform and antibodies. Under the terms of the agreement, BioNTech provides proprietary antibodies against key immunomodulatory targets, while we provide proprietary antibodies and access to our DuoBody technology platform. We paid an upfront fee of $10 million to BioNTech and an additional fee as certain BioNTech assets were selected for further development. If the companies jointly select any product candidates for clinical development, development expenses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w:t>
      </w:r>
    </w:p>
    <w:p>
      <w:pPr>
        <w:spacing w:after="0" w:line="188"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In July 2022, we expanded this collaboration. Under the expansion, the companies will jointly develop and commercialize, subject to regulatory approval, monospecific antibodies leveraging Genmab’s proprietary HexaBody technology platform.</w:t>
      </w:r>
    </w:p>
    <w:p>
      <w:pPr>
        <w:spacing w:after="0" w:line="17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Genmab and BioNTech have three product candidates currently in clinical development: DuoBody-CD40x4-1BB, HexaBody-OX40 and DuoBody-EpCAMx4-1BB. In the first half of 2024, Genmab and BioNTech jointly agreed to terminate the GEN1056 program and to discontinue the clinical development of GEN1053 (HexaBody-CD27) for strategic portfolio reasons. In August 2024, BioNTech opted not to participate in the further development of the acasunlimab program under the parties’ existing License and Collaboration Agreement for reasons related to BioNTech’s portfolio strategy. Genmab assumed sole responsibility for the continued development and potential commercialization of acasunlimab and the program will be subject to payment of certain milestones and a tiered single-digit royalty on net sales by Genmab to BioNTech.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for our Partnered Products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J&amp;J Daratumumab License and Development Agreement</w:t>
      </w:r>
    </w:p>
    <w:p>
      <w:pPr>
        <w:spacing w:after="0" w:line="22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August 2012, we entered into a global license, development and commercialization agreement with J&amp;J, granting J&amp;J an exclusive, sublicensable license to certain of our patents, know-how and materials, owned by or licensed to us, to research, develop, make, offer and sell worldwide certain licensed products containing the human mAb denoted “daratumumab,” also known as HuMax-CD38 and DARZALEX. With respect to licensed technology, we have given up the ability to develop or commercialize other products with affinity to the CD38 antigen target. We recorded an upfront license fee of $55.0 million and Johnson &amp; Johnson Development Corporation invested DKK 475.2 million (approximately $80.0 million at the date of the agreement) to subscribe for 5.4 million newly issued shares of Genmab at a price of DKK 88 per share. J&amp;J is fully responsible for developing and commercializing the licensed products and all costs associated therewith.</w:t>
      </w:r>
    </w:p>
    <w:p>
      <w:pPr>
        <w:spacing w:after="0" w:line="18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Under this agreement, we were entitled to up to approximately $1,015 million in development, regulatory and sales milestones, in addition to tiered royalties between 12% and 20%. As of December 31, 2024, Genmab has recorded $910 million in milestone payments from J&amp;J and could be entitled to receive up to $105 million in further payments if certain additional milestones are met. The following royalty tiers apply for net sales in a calendar year: 12% on net sales up to and including $750 million; 13% on net sales above $750 million and up to and including $1.5 billion; 16% on net sales above $1.5 billion and up to and including $2.0 billion; 18% on net sales above $2.0 billion and up to and including $3.0 billion; and 20% on net sales exceeding $3.0 billion.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royalties payable to us by J&amp;J are limited in time and subject to reduction on a country-by-country basis for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customary reduction events, including for lack of patent coverage or upon patent expiration or invalidation in the relevant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country and upon the first commercial sale of a biosimilar product in the relevant country (for as long as the biosimilar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 remains for sale in that country). Royalties are also reduced for licensing payments made by J&amp;J to Halozyme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connection with SC DARZALEX net sales. Pursuant to the terms of the agreement, J&amp;J’s obligation to pay royalties to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will expire on a country-by-country basis on the later of the date that is 13 years after the first sale of daratumumab in such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country or upon the expiration or invalidation of the last-to-expire relevant Genmab patent covering daratumumab in such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country. The first U.S., European and Japanese sales of daratumumab occurred in 2015, 2016 and 2017, respectively. We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have issued patents and pending patent applications covering daratumumab in numerous jurisdictions, including patents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issued in the U.S., Europe and Japan. Our issued U.S., European and Japanese patents covering daratumumab, after giving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to issued U.S., European and Japanese PTEs and SPCs, expire in 2029, 2031, and 2030, respectively. J&amp;J owns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separate patent portfolio related to the subcutaneous formulation of daratumumab used in DARZALEX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FASPRO/</w:t>
      </w:r>
      <w:r>
        <w:rPr>
          <w:rFonts w:ascii="Times New Roman" w:cs="Times New Roman" w:eastAsia="Times New Roman" w:hAnsi="Times New Roman"/>
          <w:sz w:val="17"/>
          <w:szCs w:val="17"/>
          <w:color w:val="auto"/>
        </w:rPr>
        <w:t>DARZALEX SC, but a binding arbitration determined that we are not entitled to royalties based on these separate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patents.</w:t>
      </w:r>
    </w:p>
    <w:p>
      <w:pPr>
        <w:spacing w:after="0" w:line="207" w:lineRule="exact"/>
        <w:rPr>
          <w:sz w:val="20"/>
          <w:szCs w:val="20"/>
          <w:color w:val="auto"/>
        </w:rPr>
      </w:pPr>
    </w:p>
    <w:p>
      <w:pPr>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J&amp;J may fully or partially terminate the agreement at any time upon 150 days’ prior written notice to us. Upon J&amp;J’s termination of the agreement, we are granted an exclusive, perpetual, sublicensable license under any intellectual property controlled by J&amp;J or its affiliates to the extent necessary to make, have made, import, use, offer to sell or sell the terminated licensed product in such territory where the license has been terminated. If certain milestones have been met by J&amp;J prior to the termination, then we must pay royalties to J&amp;J for 10 years from our first commercial sale of a licensed product.</w:t>
      </w:r>
    </w:p>
    <w:p>
      <w:pPr>
        <w:spacing w:after="0" w:line="16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Genmab had been engaged in arbitration with J&amp;J since September 2020 concerning certain matters related to its license agreement relating to daratumumab. The arbitration is now concluded. See “</w:t>
      </w:r>
      <w:r>
        <w:rPr>
          <w:rFonts w:ascii="Times New Roman" w:cs="Times New Roman" w:eastAsia="Times New Roman" w:hAnsi="Times New Roman"/>
          <w:sz w:val="18"/>
          <w:szCs w:val="18"/>
          <w:i w:val="1"/>
          <w:iCs w:val="1"/>
          <w:color w:val="auto"/>
        </w:rPr>
        <w:t>Item 8 – Financial Information—Legal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for more information.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Novartis Ofatumumab Collaboration</w:t>
      </w:r>
    </w:p>
    <w:p>
      <w:pPr>
        <w:spacing w:after="0" w:line="223" w:lineRule="exact"/>
        <w:rPr>
          <w:sz w:val="20"/>
          <w:szCs w:val="20"/>
          <w:color w:val="auto"/>
        </w:rPr>
      </w:pPr>
    </w:p>
    <w:p>
      <w:pPr>
        <w:ind w:left="60" w:right="59" w:firstLine="324"/>
        <w:spacing w:after="0" w:line="262" w:lineRule="auto"/>
        <w:rPr>
          <w:sz w:val="20"/>
          <w:szCs w:val="20"/>
          <w:color w:val="auto"/>
        </w:rPr>
      </w:pPr>
      <w:r>
        <w:rPr>
          <w:rFonts w:ascii="Times New Roman" w:cs="Times New Roman" w:eastAsia="Times New Roman" w:hAnsi="Times New Roman"/>
          <w:sz w:val="18"/>
          <w:szCs w:val="18"/>
          <w:color w:val="auto"/>
        </w:rPr>
        <w:t>In December 2006, we entered into a co-development and collaboration agreement with GlaxoSmithKline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pursuant to which GSK obtained exclusive, worldwide rights to develop and commercialize ofatumumab. This agreement was subsequently amended in 2010. In 2015, GSK transferred the ofatumumab collaboration for oncology and autoimmune diseases to Novartis. Novartis is now responsible for the development and commercialization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ofatumumab in all potential indications. Novartis is fully responsible for all costs associated with developing and commercializing ofatumumab. Under the current agreement with Novartis, we are entitled to royalties of 20% of worldwide net sales of ofatumumab for intravenous treatments and 10% of worldwide net sales of ofatumumab for non-intravenous treatments, as well as certain potential regulatory and sales milestones, of which only certain sales milestones remain. Novartis has obtained approval for an SC formulation of ofatumumab for the treatment of RMS in the U.S., Europe, and Japan, among other territories. We therefore believe that the split between intravenous and non-intravenous administration of ofatumumab will, in practice, align with the split between cancer and non-cancer treatments, and we therefore generally refer to the higher royalty rate as being applicable to cancer treatments and the lower royalty rate as being applicable to non-cancer treatments.</w:t>
      </w:r>
    </w:p>
    <w:p>
      <w:pPr>
        <w:spacing w:after="0" w:line="18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royalties are on a country-by-country basis subject to reduction in a specified amount based on the market share of competing products (as defined in the agreement) or a joint committee determination that a license of intellectual property owned by a third-party is necessary for commercialization. Novartis can terminate the agreement in its entirety or on a country-by-country basis at any time on nine months’ prior written notice.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Roche / Amgen Teprotumumab Collaboration</w:t>
      </w:r>
    </w:p>
    <w:p>
      <w:pPr>
        <w:spacing w:after="0" w:line="22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May 2001, Genmab entered a research collaboration with Roche to develop human antibodies to disease targets identified by Roche. In 2002, this alliance was expanded. Under the agreement, Genmab will receive milestones as well as royalty payments on successful products.</w:t>
      </w:r>
    </w:p>
    <w:p>
      <w:pPr>
        <w:spacing w:after="0" w:line="17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Teprotumumab was initially developed in collaboration between Genmab and Roche, and later investigated under license from Roche by River Vision Development Corporation and Horizon Therapeutics for ophthalmic use. The product was approved under the brand name TEPEZZA in 2020 by the U.S. FDA for the treatment of TED and in 2024 by Japan's MHLW for the treatment of active or high clinical activity score (“</w:t>
      </w:r>
      <w:r>
        <w:rPr>
          <w:rFonts w:ascii="Times New Roman" w:cs="Times New Roman" w:eastAsia="Times New Roman" w:hAnsi="Times New Roman"/>
          <w:sz w:val="18"/>
          <w:szCs w:val="18"/>
          <w:b w:val="1"/>
          <w:bCs w:val="1"/>
          <w:color w:val="auto"/>
        </w:rPr>
        <w:t>CAS</w:t>
      </w:r>
      <w:r>
        <w:rPr>
          <w:rFonts w:ascii="Times New Roman" w:cs="Times New Roman" w:eastAsia="Times New Roman" w:hAnsi="Times New Roman"/>
          <w:sz w:val="18"/>
          <w:szCs w:val="18"/>
          <w:color w:val="auto"/>
        </w:rPr>
        <w:t>”) TED. In October 2023, Amgen completed its acquisition of Horizon Therapeutics, including all rights to the development and commercialization of teprotumumab. Under the terms of Genmab’s agreement with Roche, Genmab receives a mid-single digit royalty on net sales of TEPEZZA, on a country-by-country basis, for 10 years following the first commercial sale in such country.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J&amp;J</w:t>
      </w:r>
      <w:r>
        <w:rPr>
          <w:rFonts w:ascii="Times New Roman" w:cs="Times New Roman" w:eastAsia="Times New Roman" w:hAnsi="Times New Roman"/>
          <w:sz w:val="18"/>
          <w:szCs w:val="18"/>
          <w:i w:val="1"/>
          <w:iCs w:val="1"/>
          <w:color w:val="auto"/>
        </w:rPr>
        <w:t xml:space="preserve"> DuoBody Collaboration (Amivantamab, Teclistamab and Talquetamab)</w:t>
      </w:r>
    </w:p>
    <w:p>
      <w:pPr>
        <w:spacing w:after="0" w:line="227"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In 2012, and as amended in 2013, Genmab entered into a collaboration with J&amp;J to create and develop bispecific antibodies using our DuoBody platform.</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Genmab will receive milestones and royalties between 8% and 10% on net sales of amivantamab, a mid-single digit royalty on net sales of teclistamab, and a mid-single digit royalty on net sales of talquetamab. Pursuant to the terms of the DuoBody agreement, J&amp;J’s obligation to pay these royalties will expire on a country-by-country and licensed product-by-licensed product basis on the later of the date that is 10 years after the first sale of each licensed product in such country or upon the expiration of the last-to-expire relevant patent (as defined in the agreement) covering the licensed product in such country. Royalties for amivantamab, teclistamab and talquetamab are subject to a reduction in countries and territories where there are no relevant patents (as defined in the agreement), among other reductions. Genmab pays a royalty to Medarex based on net sales of amivantamab. All research work is funded by J&amp;J.</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Amivantamab, teclistamab and talquetamab have received regulatory approval.</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other Collaborations, Agreements and Enabling Technologies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J&amp;J HexaBody-CD38 Collaboration</w:t>
      </w:r>
    </w:p>
    <w:p>
      <w:pPr>
        <w:spacing w:after="0" w:line="22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June 2019, we entered into an exclusive worldwide license and option agreement with J&amp;J to develop and commercialize HexaBody-CD38, a next-generation human CD38 mAb product incorporating our proprietary HexaBody technology. Under the terms of the agreement, we have agreed to collaborate exclusively with J&amp;J on HexaBody-CD38 and to fund research and development activities until completion of clinical proof-of-concept studies in MM and DLBCL. Based on the data from these trials, J&amp;J may exercise its option and receive a worldwide exclusive license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certain of our intellectual property and an exclusive sublicense to certain intellectual property that we license from third parties, in each case, to develop, manufacture and commercialize HexaBody-CD38. If J&amp;J exercises this option, we will be entitled to a $150 million option exercise fee and up to $125 million in development milestones, as well as a flat royalty rate of 20% on sales of HexaBody-CD38 until a specified time in 2031, followed by 13% to 20% tiered royalties on net sales thereafter. Upon exercising the option, J&amp;J will be entitled to terminate the agreement in its entirety or on a country-by-country basis for any reason with 150 days’ prior written notice to us. Should J&amp;J not exercise its option, the agreement will terminate, and we may unilaterally continue to develop and commercialize HexaBody-CD38 for daratumumab-resistant patients, and in all other indications except those MM or amyloidosis indications where daratumumab is either approved or is being actively developed. The IND for HexaBody-CD38 was submitted to the FDA in October 2020. The first patient was dosed with HexaBody-CD38 in March 2021. In December 2024, per the terms of the agreement between Genmab and J&amp;J, Genmab submitted a data package to J&amp;J, comparing HexaBody-CD38 to daratumumab in CD38 monoclonal antibody-naïve R/R MM patients.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Medarex UltiMAb</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System License</w:t>
      </w:r>
    </w:p>
    <w:p>
      <w:pPr>
        <w:spacing w:after="0" w:line="14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1999, we entered into a license agreement with Medarex, now a wholly owned subsidiary of BMS, pursuant to which we received access to the UltiMAb technology, the KM Mouse technology and the right to obtain antibody-exclusive licenses for an unlimited number of antigens and own the worldwide development and commercialization rights to antibody products targeting such antigens. In addition, Medarex granted us antigen-exclusive licenses in exchange for Genmab shares that are fully paid-up subject to, in case the products have been generated in the KM Mouse, pass-through of milestones and royalties payable by Medarex under its own license of the KM Mouse technology. Our principal obligation under this agreement is to make milestone and royalty payments in connection with any such antibody-exclusive licenses or in connection with use of the KM Mouse technology under this agreement. We used technology licensed from Medarex to generate daratumumab, ofatumumab, tisotumab forming part of tisotumab vedotin, the CD20 antibody forming part of epcoritamab (DuoBody-CD3xCD20), and certain of our other product candidates. Based on the type of license and technology used in their development, product candidates that are subject to future payment obligations under this license agreement include ofatumumab, epcoritamab (DuoBody-CD3xCD20), amivantamab (DuoBody-cMetxEGFR) and amlenetug (Lu AF82422), but do not include daratumumab, tisotumab vedotin and HexaBody-CD38. With respect to ofatumumab and amlenetug, Novartis and Lundbeck, respectively, have agreed to bear the majority of our payments to Medarex under these agreements. Milestones for the product candidates subject to payment obligations are payable by us or our collaboration partners across all such product candidates currently in development. Royalties are in the low single digits of net sales.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Collaborations and Agreements</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other active collaborations and agreements with a number of companies, including J&amp;J, ADC Therapeutics, BMS, Lundbeck, Amgen, Immatics, Novo Nordisk, CureVac AG and argenx to create, develop and/or commercialize antibody candidates and/or license certain of our product candidates and use of our technology platforms. Under certain collaborations and agreements, which we have entered into in the ordinary course of business, and where we have licensed our product candidates or technology platforms, we typically receive or are entitled to receive upfront cash payments, progress- and sales-dependent milestones for the achievement by our collaborators of certain events, and, where applicable, research funding. We also are entitled to receive royalties on net sales of commercialized products resulting from the collaborations. We also enter into certain agreements where Genmab is obligated to make upfront cash payments and milestone payments to third parties upon the achievement of certain development, regulatory and commercial events as well as obligated to pay royalties on net sales of commercialized products.</w:t>
      </w:r>
    </w:p>
    <w:p>
      <w:pPr>
        <w:spacing w:after="0" w:line="19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also license technologies from a number of other companies that we use or have used to contribute to the antibody products in our pipeline. Key technologies include Pfizer’s ADC technologies, the OmniAb transgenic mouse and rat platforms from Open Monoclonal Technology, Inc., certain transgenic mouse technologies from Medarex, the rabbit antibody platform from MAB Discovery GmbH and certain expression systems used by Lonza for production of our product candidates. Pursuant to certain of these licenses, we or our collaboration partners are or may be obligated to pay small royalties for certain products generated or produced using these technologies upon commercialization of such products or product candidates. We also license certain targets disclosed and developed from Immatics’ XPRESIDENT targets and T-cell receptor technology as part of a research collaboration and exclusive license agreement with Immatics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to discover and develop next-generation bispecific immunotherapies to target multiple cancer indications. As part of this collaboration, Immatics is or may be eligible to receive certain milestone payments and tiered royalties on net sales.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held more than 3,047 patents and patent applications, including more than 89 issued U.S. patents and 150 U.S. patent applications. All of our current issued patents and patent applications are projected to expire between 2025 and 2044.</w:t>
      </w:r>
    </w:p>
    <w:p>
      <w:pPr>
        <w:spacing w:after="0" w:line="1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Our owned and licensed patents and patent applications are directed to daratumumab, ofatumumab, tisotumab vedotin, epcoritamab, our product candidates, antibodies, our proprietary technologies and other antibody based and/or enabling technologies. We commonly seek patent claims directed to compositions of matter, including antibodies, bispecific antibodies, and ADCs, as well as methods of using such compositions. When appropriate, we also seek claims to related technologies, such as antibody format technologies and linker-payloads suitable for ADCs. For daratumumab, ofatumumab, tisotumab vedotin, epcoritamab and each of our product candidates, we or our collaboration partners have filed or expect to file multiple patent applications. We maintain patents and prosecute applications worldwide for technologies that we have out licensed, such as our DuoBody technology. Similarly, for partnered products and product candidates, such as daratumumab, ofatumumab, tisotumab vedotin and epcoritamab, we seek to work closely with our development collaboration partners to coordinate patent efforts, including patent application filings, prosecution, PTE, defense and enforcement. As our products and product candidates advance through research and development, we and/or our collaboration partners seek to diligently identify and protect new inventions, such as formulations, combination therapies, and methods of treatment. We also work closely with our scientific personnel to identify and protect new inventions that could eventually add to our development or technology pipeline.</w:t>
      </w:r>
    </w:p>
    <w:p>
      <w:pPr>
        <w:spacing w:after="0" w:line="19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With respect to daratumumab, we have issued patents and pending patent applications covering daratumumab in numerous jurisdictions, including patents issued in the U.S., Europe and Japan. Our patents do not begin to expire until March 2026. The issued U.S., European and Japanese PTEs and SPCs, expire in 2029, 2031 and begin to expire in 2030,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 respect to ofatumumab, our issued patents covering ofatumumab began to expire in October 2023, with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composition of matter patent extended to May 2031. In addition, we have PTEs granted in Japan which expire in 2028.</w:t>
      </w:r>
    </w:p>
    <w:p>
      <w:pPr>
        <w:spacing w:after="0" w:line="20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With respect to tisotumab vedotin, we have issued patents and pending patent applications in numerous jurisdictions, including the U.S., Europe and Japan. Our issued U.S., European and Japanese patents covering the composition of matter for tisotumab vedotin do not begin to expire until June 2031. We have filed a request for PTE in the U.S., covering the composition of matter for tisotumab vedotin which, if granted, would provide protection beyond June 2031.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89" w:lineRule="exact"/>
        <w:rPr>
          <w:sz w:val="20"/>
          <w:szCs w:val="20"/>
          <w:color w:val="auto"/>
        </w:rPr>
      </w:pPr>
    </w:p>
    <w:p>
      <w:pPr>
        <w:ind w:left="60" w:right="99" w:firstLine="369"/>
        <w:spacing w:after="0" w:line="255" w:lineRule="auto"/>
        <w:rPr>
          <w:sz w:val="20"/>
          <w:szCs w:val="20"/>
          <w:color w:val="auto"/>
        </w:rPr>
      </w:pPr>
      <w:r>
        <w:rPr>
          <w:rFonts w:ascii="Times New Roman" w:cs="Times New Roman" w:eastAsia="Times New Roman" w:hAnsi="Times New Roman"/>
          <w:sz w:val="18"/>
          <w:szCs w:val="18"/>
          <w:color w:val="auto"/>
        </w:rPr>
        <w:t>With respect to epcoritamab, we have issued patents and pending patent applications in numerous jurisdictions, including the U.S., Europe and Japan. Our U.S., European and Japanese patent applications and issued patents covering the composition of matter for epcoritamab do not begin to expire until January 2035. In addition, we have filed a request for PTE in the U.S. and Japan covering the composition of matter for epcoritamab which, if granted, would provide protection beyond 2035. In addition to our key composition of matter patents for epcoritamab, we have issued patents and pending patent applications in numerous jurisdictions relating to specific formulations, dosing regimens, indications and combination therapies that may offer additional protection.</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tisotumab vedotin, epcoritamab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which may confer additional patent protection. We also have pending patent applications that may give rise to new patents related to one or more of these product candidates, technologies, formulations and uses.</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information in “Intellectual Property”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U.S. and other important markets outside the U.S.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92"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Patents expire, on a country-by-country basis, at various times depending on various factors, including the filing date of the corresponding patent application(s), the availability of patent term adjustment, PTE and SPC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collaboration partners may not be able to develop patentable products or processes or obtain patents from pending patent applications. Depending on the terms of the relevant collaboration agreement, on how those terms are interpreted, and on other legal considerations, we may not be entitled to royalties based on sales by our collaboration partners that are protected only by patents owned by those partners. In the event of patent issuance, the patents may not be sufficient to protect the proprietary technology owned by or licensed to us or our collaboration partners. Our or our collaboration partners’ current patents, or patents that issue on pending applications, may be challenged, invalidated, infringed or circumvented. In addition, changes to patent laws in the U.S.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 or our collaboration partners. Our collaboration partners’ patents may also be circumvented, which may allow third parties to use similar technologies without a license from us or our collaboration partners.</w:t>
      </w:r>
    </w:p>
    <w:p>
      <w:pPr>
        <w:spacing w:after="0" w:line="20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patents and proprietary rights of third parties. Organizations such as pharmaceutical and biotechnology companies, universities and research institutions may have filed patent applications or may have been granted patents that cover technologies similar to the technologies owned or licensed to us or to our collaboration 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collaboration partners. Our and our collaboration partners’ challenges to patents of other organizations may not be successful, which may affect our and our collaboration partners’ ability to commercialize daratumumab, ofatumumab, tisotumab vedotin, epcoritamab, amivantamab, teclistamab, talquetamab, or teprotumumab or our ability to commercialize our product candidates. We cannot determine with certainty whether patents or patent applications of other parties may materially affect our or our collaboration partners’ ability to make, use or sell daratumumab, ofatumumab, tisotumab vedotin, epcoritamab, amivantamab, teclistamab, talquetamab, teprotumumab or any other products or product candidates.</w:t>
      </w:r>
    </w:p>
    <w:p>
      <w:pPr>
        <w:spacing w:after="0" w:line="187"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In 2024, Chugai filed a lawsuit in the Tokyo District Court, Japan against AbbVie’s and Genmab’s subsidiaries in Japan asserting that their activities with EPKINLY (epcoritamab) in Japan infringe two Japanese patents held by Chugai,</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JP6278598 and JP6773929. Chugai is claiming damages and injunctive relief. Genmab and AbbVie believe that the two Japanese patents are invalid and not infringed and intend to vigorously defend against the lawsuit, and thus no provision has been recorded related to this matter.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ind w:left="60" w:right="359" w:firstLine="324"/>
        <w:spacing w:after="0" w:line="208" w:lineRule="auto"/>
        <w:rPr>
          <w:sz w:val="20"/>
          <w:szCs w:val="20"/>
          <w:color w:val="auto"/>
        </w:rPr>
      </w:pPr>
      <w:r>
        <w:rPr>
          <w:rFonts w:ascii="Times New Roman" w:cs="Times New Roman" w:eastAsia="Times New Roman" w:hAnsi="Times New Roman"/>
          <w:sz w:val="17"/>
          <w:szCs w:val="17"/>
          <w:color w:val="auto"/>
        </w:rPr>
        <w:t>As of January 1, 2025, we and/or our subsidiaries own approximately 383 trademark registrations and applications, hereof 33 U.S. trademark registrations and applications, including: Genmab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the Y-shaped Genmab logo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Genmab in combination with the Y-shaped Genmab logo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HexaBody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HuMax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DuoBody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DuoHexaBody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HexElect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w:t>
      </w:r>
    </w:p>
    <w:p>
      <w:pPr>
        <w:ind w:left="60" w:right="79"/>
        <w:spacing w:after="0" w:line="217" w:lineRule="auto"/>
        <w:rPr>
          <w:sz w:val="20"/>
          <w:szCs w:val="20"/>
          <w:color w:val="auto"/>
        </w:rPr>
      </w:pPr>
      <w:r>
        <w:rPr>
          <w:rFonts w:ascii="Times New Roman" w:cs="Times New Roman" w:eastAsia="Times New Roman" w:hAnsi="Times New Roman"/>
          <w:sz w:val="18"/>
          <w:szCs w:val="18"/>
          <w:color w:val="auto"/>
        </w:rPr>
        <w:t xml:space="preserve">ProfoundBio™ is a trademark of ProfoundBio (Suzhou) Co., Ltd. and Genmab A/S. Rina-S™ is a trademark of Genmab A/S. TIVDAK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Seagen Inc. and Genmab A/S. EPCORE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AbbVie Biotechnology Ltd. and Genmab A/S. ARZERRA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Novartis Pharma AG. Kesimpta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Novartis Pharma AG or its affiliates. DARZALEX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RYBREVANT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TECVAYLI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TALVEY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Johnson &amp; Johnson. TEPEZZA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Horizon Therapeutics Ireland DAC.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require our scientific personnel to maintain laboratory notebooks and other research records in accordance with our policies,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policy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 inventions conceived or reduced to practice by the individual in the course of rendering services to us. Our agreements with collaboration partners require them to have a similar policy and agreements with their employees, consultants and advisors to ensure the agreed upon allotment of intellectual property rights can be enforced. Our policy and agreements and those of our collaboration partners may not sufficiently protect our confidential information, or third parties may independently develop equivalent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FDA, the EMA, the Japan Pharmaceuticals and Medical Devices Agency (“</w:t>
      </w:r>
      <w:r>
        <w:rPr>
          <w:rFonts w:ascii="Times New Roman" w:cs="Times New Roman" w:eastAsia="Times New Roman" w:hAnsi="Times New Roman"/>
          <w:sz w:val="18"/>
          <w:szCs w:val="18"/>
          <w:b w:val="1"/>
          <w:bCs w:val="1"/>
          <w:color w:val="auto"/>
        </w:rPr>
        <w:t>PMDA</w:t>
      </w:r>
      <w:r>
        <w:rPr>
          <w:rFonts w:ascii="Times New Roman" w:cs="Times New Roman" w:eastAsia="Times New Roman" w:hAnsi="Times New Roman"/>
          <w:sz w:val="18"/>
          <w:szCs w:val="18"/>
          <w:color w:val="auto"/>
        </w:rPr>
        <w:t>”)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collaboration partners and third-party contractors, are required to navigate the various pre-clinical, clinical and commercial approval requirements of the governing regulatory agencies of the countries in which we wish to conduct trials or seek approval or licensure of our product candidates. The process of obtaining regulatory approvals and the subsequent compliance with appropriate statutes and regulations require the expenditure of substantial time and financial resources. The following sections outline the approval process and other rules and regulations applicable to biologics in the U.S., EU, Japan, and the U.K. (following Brexit). While the regulatory process in many countries is similar to the U.S., EU, or the U.K., each jurisdiction has its own regulations, and approval in one jurisdiction does not guarantee approval in any other jurisdiction.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Biologic Products in the U.S.</w:t>
      </w:r>
    </w:p>
    <w:p>
      <w:pPr>
        <w:spacing w:after="0" w:line="20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Biological products are subject to regulation under the Federal Food, Drug, and Cosmetic Act and the Public Health Service Act and other federal, state, local and foreign statutes and regulations. Our product candidates must be approved by the FDA before they may be legally marketed in the U.S.</w:t>
      </w:r>
    </w:p>
    <w:p>
      <w:pPr>
        <w:spacing w:after="0" w:line="135"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U.S. generally involves the following:</w:t>
      </w:r>
    </w:p>
    <w:p>
      <w:pPr>
        <w:spacing w:after="0" w:line="121" w:lineRule="exact"/>
        <w:rPr>
          <w:sz w:val="20"/>
          <w:szCs w:val="20"/>
          <w:color w:val="auto"/>
        </w:rPr>
      </w:pPr>
    </w:p>
    <w:p>
      <w:pPr>
        <w:ind w:left="1040" w:right="1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trials performed in accordance with the FDA’s current Good Laboratory Practices (“</w:t>
      </w:r>
      <w:r>
        <w:rPr>
          <w:rFonts w:ascii="Times New Roman" w:cs="Times New Roman" w:eastAsia="Times New Roman" w:hAnsi="Times New Roman"/>
          <w:sz w:val="18"/>
          <w:szCs w:val="18"/>
          <w:b w:val="1"/>
          <w:bCs w:val="1"/>
          <w:color w:val="auto"/>
        </w:rPr>
        <w:t>cGLPs</w:t>
      </w:r>
      <w:r>
        <w:rPr>
          <w:rFonts w:ascii="Times New Roman" w:cs="Times New Roman" w:eastAsia="Times New Roman" w:hAnsi="Times New Roman"/>
          <w:sz w:val="18"/>
          <w:szCs w:val="18"/>
          <w:color w:val="auto"/>
        </w:rPr>
        <w:t>”) regulation;</w:t>
      </w:r>
    </w:p>
    <w:p>
      <w:pPr>
        <w:spacing w:after="0" w:line="134"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17" w:lineRule="exact"/>
        <w:rPr>
          <w:rFonts w:ascii="Times New Roman" w:cs="Times New Roman" w:eastAsia="Times New Roman" w:hAnsi="Times New Roman"/>
          <w:sz w:val="18"/>
          <w:szCs w:val="18"/>
          <w:color w:val="auto"/>
        </w:rPr>
      </w:pPr>
    </w:p>
    <w:p>
      <w:pPr>
        <w:ind w:left="1040" w:right="419" w:hanging="315"/>
        <w:spacing w:after="0" w:line="28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or ethics committee at each clinical site before the trial is begun;</w:t>
      </w:r>
    </w:p>
    <w:p>
      <w:pPr>
        <w:spacing w:after="0" w:line="118"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potency of the proposed biologic product candidate for its intended purpose;</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accept the application for review;</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98"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cGCPs; and</w:t>
      </w:r>
    </w:p>
    <w:p>
      <w:pPr>
        <w:spacing w:after="0" w:line="139"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U.S., which must be updated when significant changes are made.</w:t>
      </w:r>
    </w:p>
    <w:p>
      <w:pPr>
        <w:spacing w:after="0" w:line="12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U.S., we or our collaboration partner must submit an IND to the FDA. An IND is a request for authorization from the FDA to administer an IND product to humans. The central focus of an IND submission is on the general investigational plan and the protocol(s) for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trials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65"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trial until completed. Regulatory authorities,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73" w:lineRule="auto"/>
        <w:rPr>
          <w:sz w:val="20"/>
          <w:szCs w:val="20"/>
          <w:color w:val="auto"/>
        </w:rPr>
      </w:pPr>
      <w:r>
        <w:rPr>
          <w:rFonts w:ascii="Times New Roman" w:cs="Times New Roman" w:eastAsia="Times New Roman" w:hAnsi="Times New Roman"/>
          <w:sz w:val="17"/>
          <w:szCs w:val="17"/>
          <w:color w:val="auto"/>
        </w:rPr>
        <w:t>IRB or the sponsor may suspend a clinical trial at any time on various grounds, including a finding that the patients are being exposed to an unacceptable health risk or that the trial is unlikely to meet its stated objectives.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halt the clinical trial if it determines that there is an unacceptable safety risk for patients or on other grounds, such as no demonstration of efficacy. There are also requirements governing the reporting of ongoing clinical trials and clinical trial results to public registries.</w:t>
      </w:r>
    </w:p>
    <w:p>
      <w:pPr>
        <w:spacing w:after="0" w:line="144"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119" w:lineRule="exact"/>
        <w:rPr>
          <w:sz w:val="20"/>
          <w:szCs w:val="20"/>
          <w:color w:val="auto"/>
        </w:rPr>
      </w:pPr>
    </w:p>
    <w:p>
      <w:pPr>
        <w:ind w:left="1040" w:right="9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w:t>
      </w:r>
      <w:r>
        <w:rPr>
          <w:rFonts w:ascii="Times New Roman" w:cs="Times New Roman" w:eastAsia="Times New Roman" w:hAnsi="Times New Roman"/>
          <w:sz w:val="18"/>
          <w:szCs w:val="18"/>
          <w:color w:val="auto"/>
        </w:rPr>
        <w:t>—The investigational product is initially introduced into human patients with the target disease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These trials are designed to test the safety, dosage tolerance, absorption, metabolism and distribution of the investigational product in humans, the side effects associated with increasing doses, and, if possible, to gain early evidence on effectiveness.</w:t>
      </w:r>
    </w:p>
    <w:p>
      <w:pPr>
        <w:spacing w:after="0" w:line="139" w:lineRule="exact"/>
        <w:rPr>
          <w:rFonts w:ascii="Times New Roman" w:cs="Times New Roman" w:eastAsia="Times New Roman" w:hAnsi="Times New Roman"/>
          <w:sz w:val="18"/>
          <w:szCs w:val="18"/>
          <w:color w:val="auto"/>
        </w:rPr>
      </w:pPr>
    </w:p>
    <w:p>
      <w:pPr>
        <w:ind w:left="1040" w:right="99" w:hanging="315"/>
        <w:spacing w:after="0" w:line="25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II</w:t>
      </w:r>
      <w:r>
        <w:rPr>
          <w:rFonts w:ascii="Times New Roman" w:cs="Times New Roman" w:eastAsia="Times New Roman" w:hAnsi="Times New Roman"/>
          <w:sz w:val="18"/>
          <w:szCs w:val="18"/>
          <w:color w:val="auto"/>
        </w:rPr>
        <w:t>—The investigational product is administered to a limited patient population with a specified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to evaluate the preliminary efficacy, optimal dosages and dosing schedule and to identify possible adverse side effects and safety risks. Multiple Phase II clinical trials may be conducted to obtain information prior to beginning larger and more expensive Phase III clinical trials and we often conduct multiple Phase I/II trials. Some of the Phase II trials can potentially provide an adequate basis for regulatory approval.</w:t>
      </w:r>
    </w:p>
    <w:p>
      <w:pPr>
        <w:spacing w:after="0" w:line="182" w:lineRule="exact"/>
        <w:rPr>
          <w:rFonts w:ascii="Times New Roman" w:cs="Times New Roman" w:eastAsia="Times New Roman" w:hAnsi="Times New Roman"/>
          <w:sz w:val="18"/>
          <w:szCs w:val="18"/>
          <w:color w:val="auto"/>
        </w:rPr>
      </w:pPr>
    </w:p>
    <w:p>
      <w:pPr>
        <w:ind w:left="1040" w:right="99" w:hanging="315"/>
        <w:spacing w:after="0" w:line="281"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III</w:t>
      </w:r>
      <w:r>
        <w:rPr>
          <w:rFonts w:ascii="Times New Roman" w:cs="Times New Roman" w:eastAsia="Times New Roman" w:hAnsi="Times New Roman"/>
          <w:sz w:val="17"/>
          <w:szCs w:val="17"/>
          <w:color w:val="auto"/>
        </w:rPr>
        <w:t>—The investigational product is administered to an expanded patient population to further evaluate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6"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IV trials may be made a condition to approval of the BLA.</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may complete additional animal trials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product, or for biologics, the safety, purity and potency. Additionally, appropriate packaging must be selected and tested, and stability trials must be conducted to demonstrate that the product candidate does not undergo unacceptable deterioration over its shelf life.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trials and clinical trials are submitted to the FDA as part of a BLA requesting approval to market the product for one or more indications. The BLA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the product, or from a number of alternative sources, including trials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w:t>
      </w:r>
      <w:r>
        <w:rPr>
          <w:rFonts w:ascii="Times New Roman" w:cs="Times New Roman" w:eastAsia="Times New Roman" w:hAnsi="Times New Roman"/>
          <w:sz w:val="18"/>
          <w:szCs w:val="18"/>
          <w:b w:val="1"/>
          <w:bCs w:val="1"/>
          <w:color w:val="auto"/>
        </w:rPr>
        <w:t>PREA</w:t>
      </w:r>
      <w:r>
        <w:rPr>
          <w:rFonts w:ascii="Times New Roman" w:cs="Times New Roman" w:eastAsia="Times New Roman" w:hAnsi="Times New Roman"/>
          <w:sz w:val="18"/>
          <w:szCs w:val="18"/>
          <w:color w:val="auto"/>
        </w:rPr>
        <w:t>”),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drug or biological product that includes a new active ingredient, new indication, new dosage form, new dosing regimen or new route of administration must submit an initial Pediatric Study Plan within sixty days after an end-of-Phase II meeting or as may be agreed between the sponsor and FDA. Unless otherwise required by regulation, PREA does not apply to any biological product for an indication for which orphan designation has been granted.</w:t>
      </w:r>
    </w:p>
    <w:p>
      <w:pPr>
        <w:spacing w:after="0" w:line="18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If the submission is incomplete or there are issues with its content or format, a Refusal to File notice is issued sixty days after submission, rather than acceptance for filing by FDA. The review process may be extended by the FDA’s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or our collaboration partners from marketing our products. After the FDA evaluates a BLA and conducts inspections of manufacturing facilities where the product will be produced, the FDA may issue an approval, which authorizes commercial marketing of the product with specific prescribing information for specific indications or a Complete Response Letter.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the safety or efficacy of a product.</w:t>
      </w:r>
    </w:p>
    <w:p>
      <w:pPr>
        <w:spacing w:after="0" w:line="19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For example, the FDA may approve the BLA with a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IV post-market trials and surveillance to further assess and monitor the product’s safety and effectiveness after commercialization and may limit further marketing of the product based on the results of these post-marketing trials.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A sponsor may seek approval of its product candidate under programs designed to accelerate the FDA’s review and approval of new drugs and biological products that meet certain criteria. Specifically, new drugs and biological products are eligible for fast-track designation, or FTD, if they are intended to treat a serious or life-threatening condition and demonstrate the potential to address an unmet medical need for the condition. For a fast-track product, the FDA may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consider sections of the BLA for review on a rolling basis before the complete application is submitted if relevant criteria are met. An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including the start of a confirmatory Phase III trial, after marketing approval are generally required to verify the biologic’s clinical benefit in relationship to the surrogate endpoint or ultimate outcome in relationship to the clinical benefit. In addition, a sponsor may seek FDA BTD of its product candidate if the product candidate is intended, alone or in combination with one or more other drugs or biologics, to treat a serious or life 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 disciplinary review; assigning a cross 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BTD also allows the sponsor to submit sections of the BLA for review on a rolling basis.</w:t>
      </w:r>
    </w:p>
    <w:p>
      <w:pPr>
        <w:spacing w:after="0" w:line="18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FTD, priority review, BTD, and accelerated approval do not change the standards for approval but may expedite the development or approval process. Even if a product qualifies for one or more of these programs,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Combination Products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Certain of our product candidates are subject to regulation in the U.S. as combination products. If marketed individually, each component would be subject to different regulatory pathways and would require FDA approval of independent marketing applications.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w:t>
      </w:r>
      <w:r>
        <w:rPr>
          <w:rFonts w:ascii="Times New Roman" w:cs="Times New Roman" w:eastAsia="Times New Roman" w:hAnsi="Times New Roman"/>
          <w:sz w:val="18"/>
          <w:szCs w:val="18"/>
          <w:b w:val="1"/>
          <w:bCs w:val="1"/>
          <w:color w:val="auto"/>
        </w:rPr>
        <w:t>CDER</w:t>
      </w:r>
      <w:r>
        <w:rPr>
          <w:rFonts w:ascii="Times New Roman" w:cs="Times New Roman" w:eastAsia="Times New Roman" w:hAnsi="Times New Roman"/>
          <w:sz w:val="18"/>
          <w:szCs w:val="18"/>
          <w:color w:val="auto"/>
        </w:rPr>
        <w:t>”), will have primary jurisdiction over pre-market development. We expect to seek approval of these combination products through a single BLA reviewed by CDER, and we do not expect that the FDA will require a separate marketing authorization for each of the drug and biologic constituents of such products.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Any products manufactured or distributed by us or our collaboration partners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or our collaboration partners may decide to use. Accordingly, manufacturers must continue to expend time, money and effort in the area of production and quality control to maintain compliance with cGMP and other regulations. If our present or future suppliers are not able to comply with these requirements, the FDA may, among other things, halt our clinical trials, require us or our collaboration partners to recall a product from distribution, or withdraw approval of the BLA.</w:t>
      </w:r>
    </w:p>
    <w:p>
      <w:pPr>
        <w:spacing w:after="0" w:line="194"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products and product candidates. Future FDA and state inspections may identify compliance issues at our facilities or at the facilities of our CMOs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the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trials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1040" w:right="23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Diagnostic Tests</w:t>
      </w:r>
    </w:p>
    <w:p>
      <w:pPr>
        <w:spacing w:after="0" w:line="229" w:lineRule="exact"/>
        <w:rPr>
          <w:sz w:val="20"/>
          <w:szCs w:val="20"/>
          <w:color w:val="auto"/>
        </w:rPr>
      </w:pPr>
    </w:p>
    <w:p>
      <w:pPr>
        <w:jc w:val="both"/>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 xml:space="preserve">Certain of our product candidates may require the use of a diagnostic to identify appropriate patient populations that may benefit from our products. These companion diagnostics are medical devices, often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devices, which provide information that is essential for the safe and effective use of a corresponding drug. In the U.S., unless an exemption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w:t>
      </w:r>
      <w:r>
        <w:rPr>
          <w:rFonts w:ascii="Times New Roman" w:cs="Times New Roman" w:eastAsia="Times New Roman" w:hAnsi="Times New Roman"/>
          <w:sz w:val="18"/>
          <w:szCs w:val="18"/>
          <w:b w:val="1"/>
          <w:bCs w:val="1"/>
          <w:color w:val="auto"/>
        </w:rPr>
        <w:t>PMA</w:t>
      </w:r>
      <w:r>
        <w:rPr>
          <w:rFonts w:ascii="Times New Roman" w:cs="Times New Roman" w:eastAsia="Times New Roman" w:hAnsi="Times New Roman"/>
          <w:sz w:val="18"/>
          <w:szCs w:val="18"/>
          <w:color w:val="auto"/>
        </w:rPr>
        <w:t>”). We expect that any companion diagnostic developed for our drug candidates will utilize the PMA pathway.</w:t>
      </w:r>
    </w:p>
    <w:p>
      <w:pPr>
        <w:spacing w:after="0" w:line="18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FDA’s “In Vitro Companion Diagnostic Devices” guidance states that,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w:t>
      </w:r>
      <w:r>
        <w:rPr>
          <w:rFonts w:ascii="Times New Roman" w:cs="Times New Roman" w:eastAsia="Times New Roman" w:hAnsi="Times New Roman"/>
          <w:sz w:val="18"/>
          <w:szCs w:val="18"/>
          <w:b w:val="1"/>
          <w:bCs w:val="1"/>
          <w:color w:val="auto"/>
        </w:rPr>
        <w:t>IDE</w:t>
      </w:r>
      <w:r>
        <w:rPr>
          <w:rFonts w:ascii="Times New Roman" w:cs="Times New Roman" w:eastAsia="Times New Roman" w:hAnsi="Times New Roman"/>
          <w:sz w:val="18"/>
          <w:szCs w:val="18"/>
          <w:color w:val="auto"/>
        </w:rPr>
        <w:t>”)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trial, if the trial meets both the requirements of the IDE regulations and the IND regulations.</w:t>
      </w:r>
    </w:p>
    <w:p>
      <w:pPr>
        <w:spacing w:after="0" w:line="19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the EU, in vitro devices are subject to the In Vitro Device Regulation (“</w:t>
      </w:r>
      <w:r>
        <w:rPr>
          <w:rFonts w:ascii="Times New Roman" w:cs="Times New Roman" w:eastAsia="Times New Roman" w:hAnsi="Times New Roman"/>
          <w:sz w:val="18"/>
          <w:szCs w:val="18"/>
          <w:b w:val="1"/>
          <w:bCs w:val="1"/>
          <w:color w:val="auto"/>
        </w:rPr>
        <w:t>IVDR</w:t>
      </w:r>
      <w:r>
        <w:rPr>
          <w:rFonts w:ascii="Times New Roman" w:cs="Times New Roman" w:eastAsia="Times New Roman" w:hAnsi="Times New Roman"/>
          <w:sz w:val="18"/>
          <w:szCs w:val="18"/>
          <w:color w:val="auto"/>
        </w:rPr>
        <w:t>”), which is directly applicable in all EEA member states. The IVDR, among other things, subjects the marketing and sale of applicable medical devices to stricter requirements, including in the areas of clinical evaluation requirements, quality systems and post-market surveillance; introduces a new classification system for companion diagnostics; and sets up a central database to provide patients, healthcare professionals and the public with comprehensive information on products available in the EU. While the IVDR became effective on May 26, 2022, many classes of devices do not need to be fully compliant with the regulation until the end of the applicable transitional period, which ranges from 2025 to 2028, depending on device class.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payers play a primary role in the recommendation and prescription of drug products that are granted regulatory approval. Arrangements with providers, consultants, third-party payers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3" w:lineRule="exact"/>
        <w:rPr>
          <w:sz w:val="20"/>
          <w:szCs w:val="20"/>
          <w:color w:val="auto"/>
        </w:rPr>
      </w:pPr>
    </w:p>
    <w:p>
      <w:pPr>
        <w:ind w:left="1040" w:right="119" w:hanging="315"/>
        <w:spacing w:after="0" w:line="25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a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Violations of the federal Anti-Kickback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191" w:lineRule="exact"/>
        <w:rPr>
          <w:rFonts w:ascii="Times New Roman" w:cs="Times New Roman" w:eastAsia="Times New Roman" w:hAnsi="Times New Roman"/>
          <w:sz w:val="18"/>
          <w:szCs w:val="18"/>
          <w:color w:val="auto"/>
        </w:rPr>
      </w:pPr>
    </w:p>
    <w:p>
      <w:pPr>
        <w:jc w:val="both"/>
        <w:ind w:left="1040" w:right="43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99"/>
        <w:spacing w:after="0" w:line="261" w:lineRule="auto"/>
        <w:rPr>
          <w:sz w:val="20"/>
          <w:szCs w:val="20"/>
          <w:color w:val="auto"/>
        </w:rPr>
      </w:pPr>
      <w:r>
        <w:rPr>
          <w:rFonts w:ascii="Times New Roman" w:cs="Times New Roman" w:eastAsia="Times New Roman" w:hAnsi="Times New Roman"/>
          <w:sz w:val="18"/>
          <w:szCs w:val="18"/>
          <w:color w:val="auto"/>
        </w:rPr>
        <w:t>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80" w:lineRule="exact"/>
        <w:rPr>
          <w:sz w:val="20"/>
          <w:szCs w:val="20"/>
          <w:color w:val="auto"/>
        </w:rPr>
      </w:pPr>
    </w:p>
    <w:p>
      <w:pPr>
        <w:ind w:left="1040" w:right="37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75" w:lineRule="exact"/>
        <w:rPr>
          <w:rFonts w:ascii="Times New Roman" w:cs="Times New Roman" w:eastAsia="Times New Roman" w:hAnsi="Times New Roman"/>
          <w:sz w:val="18"/>
          <w:szCs w:val="18"/>
          <w:color w:val="auto"/>
        </w:rPr>
      </w:pPr>
    </w:p>
    <w:p>
      <w:pPr>
        <w:ind w:left="1040" w:right="119" w:hanging="315"/>
        <w:spacing w:after="0" w:line="255"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 Anti-Kickback Statute, a person or entity does not need to have actual knowledge of the statute or specific intent to violate it to have committed a violation;</w:t>
      </w:r>
    </w:p>
    <w:p>
      <w:pPr>
        <w:spacing w:after="0" w:line="188" w:lineRule="exact"/>
        <w:rPr>
          <w:rFonts w:ascii="Times New Roman" w:cs="Times New Roman" w:eastAsia="Times New Roman" w:hAnsi="Times New Roman"/>
          <w:sz w:val="18"/>
          <w:szCs w:val="18"/>
          <w:color w:val="auto"/>
        </w:rPr>
      </w:pPr>
    </w:p>
    <w:p>
      <w:pPr>
        <w:ind w:left="1040" w:right="379" w:hanging="315"/>
        <w:spacing w:after="0" w:line="254"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191"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payers, including private insurers.</w:t>
      </w:r>
    </w:p>
    <w:p>
      <w:pPr>
        <w:spacing w:after="0" w:line="1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Also, the U.S. FCPA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introducing government control and other changes to the healthcare system in the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included changes to the coverage and payment for drug products under government health care programs.</w:t>
      </w:r>
    </w:p>
    <w:p>
      <w:pPr>
        <w:spacing w:after="0" w:line="16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will remain in effect through 2031 unless additional Congressional action is taken.</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numerous legal challenges and Congressional actions to repeal and replace provisions of the ACA. Some of the provisions of the ACA have yet to be implemented. We continue to evaluate the effect that the ACA and any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or to successfully commercialize our product candidates, if approved. In addition to the ACA, there will continue to be proposals by legislators at both the federal and state levels, regulators and third-party payers to keep healthcare costs down while expanding individual healthcare benefits.</w:t>
      </w:r>
    </w:p>
    <w:p>
      <w:pPr>
        <w:spacing w:after="0" w:line="19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Furthermore, the IRA was signed into law on August 16, 2022. The IRA, among other things, (i) allows the U.S. Department of Health and Human Services to negotiate prices for certain single-source drugs and biologics covered under Medicare Part B and Part D, and subjects drug manufacturers to civil monetary penalties and a potential excise tax for failing to comply with the legislation by offering a price that is not equal to or less than the negotiated “maximum fair price” under the law; and (ii) establishes rebates under Medicare to penalize drug price increases that outpace inflation. Negotiations will begin with ten high-cost drugs paid for by Medicare Part D, and the negotiated prices will take effect in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of third-party coverage and reimbursement. Third-party payers include government health administrative authorities, managed care providers, private health insurers and other organizations. Although we currently believe that third-party payers will provide coverage and reimbursement for our products and product candidates, if approved, these third-party payers are increasingly challenging the price and examining the cost-effectiveness of medical products and services. In addition, significant uncertainty exists as to the reimbursement status of newly approved healthcare products. We may need to conduct expensive clinical trials to demonstrate the comparative cost-effectiveness of our products. The product candidates that we develop may not be considered cost-effective. It is time-consuming and expensive for us to seek coverage and reimbursement from third-party payers. Reimbursement may not be available or sufficient to allow us to sell our products on a competitive and profitable basis.</w:t>
      </w:r>
    </w:p>
    <w:p>
      <w:pPr>
        <w:spacing w:after="0" w:line="194"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payer will provide coverage for a product is typically separate from the process for setting the reimbursement rate that the payer will pay for the product. A payer’s decision to provide coverage for a product does not imply that an adequate reimbursement rate will be available. Additionally, in the U.S. there is no uniform policy among payers for coverage or reimbursement. Third-party payers often rely upon Medicare coverage policy and payment limitations in setting their own coverage and reimbursement policies, but also have their own methods and approval processes. Therefore,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 As a result, the coverage determination process will require us to provide scientific and clinical support for the use of our products to each payer separately and will likely be a time-consuming process. If coverage and adequate reimbursement are not available, or are available only at limited levels, successful commercialization of, and obtaining a satisfactory financial return on, any product we develop may not be possible.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marketing, we may need to conduct expensive trials in order to demonstrate the medical necessity and cost-effectiveness of any products, which would be in addition to the costs expended to obtain regulatory approvals. Third-party payers may not consider our products or product candidates to be medically necessary or cost-effective compared to other available therapies.</w:t>
      </w:r>
    </w:p>
    <w:p>
      <w:pPr>
        <w:spacing w:after="0" w:line="18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Additionally, the containment of healthcare costs (including drug prices) has become a priority of federal and state governments. The U.S. government, state legislatures, and foreign governments have shown significant interest in implementing cost-containment programs, including price controls, restrictions on reimbursement, and requirements for substitution by generic products. Adoption of price controls and cost-containment measures, and adoption of more restrictive policies in jurisdictions with existing controls and measures, could limit our net revenue and results. If these third-party payers do not consider our products to be cost-effective compared to other therapies, they may not cover our products or product candidates once approved as a benefit under their plans or, if they do, the level of reimbursement may not be sufficient to allow us to sell our products on a profitable basis. Decreases in third-party reimbursement for our products once approved or a decision by a third-party payer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structure as in the U.S. It entails satisfactory completion of pre-clinical trials and adequate and well-controlled clinical trials to establish the safety and efficacy of the product for each proposed indication. It also requires the submission to the relevant competent authorities of an MAA and granting of an MAA by these authorities before the product can be marketed and sold in the EU.</w:t>
      </w:r>
    </w:p>
    <w:p>
      <w:pPr>
        <w:spacing w:after="0" w:line="19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will be directly applicable in all EU Member States, introduces a streamlined application procedure via a single entry point, the "EU portal", a single set of documents to be prepared and submitted for the application as well as simplified reporting procedures for clinical trial sponsors. A harmonized procedure for the assessment of applications for clinical trials will be introduced and is divided into two parts. Part I is assessed by the competent authorities of a reference member state selected by the trial sponsor, based largely on the type of clinical trial, risk-benefit analysis, and compliance with technical requirements. This assessment, which is valid for the entire EU, is then submitted to the competent authorities of all the concerned member states in which the trial is to be conducted under Part II.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the EEA, which consists of the 27 Member States of the EU, as well as Norway, Iceland and Liechtenstein, medicinal products can only be commercialized after a related marketing authorization has been granted. A company may submit an MAA either on the basis of the centralized or decentralized procedure. Under the centralized procedure, MAAs are submitted to the EMA for scientific review by the EMA's CHMP. The CHMP issues an opinion concerning whether the quality, safety and efficacy of the product has been demonstrated. The opinion is considered by the European Commission which is responsible for granting a centralized marketing authorization in the form of a binding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European Commission decision. If the application is approved, the European Commission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9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The decentralized procedure is used when the product in question has yet to be granted a marketing authorization in any EEA country. Under this procedure the applicant can select the EEA country that will act as the Reference Member State. In both the mutual recognition and decentralized procedures, the Reference Member State reviews the application and submits its assessment of the application to the EEA countries for which marketing authorizations are being sought, referred to as Concerned Member States. Within 90 days of receiving the application and assessment report, each Concerned Member State must decide whether to recognize the Reference Member State assessment or reject it on the basis of potential serious risk to public health. If the disputed points cannot be resolved, the matter is first referred to the Heads of Medicines Agencies’ Coordination Group for Mutual Recognition and Decentralised Procedures for agreement. If the Group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9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(1) the risk-benefit balance of the product is positive, (2) it is likely that the applicant will be in a position to provide the required comprehensive data after the authorization, (3) the medicinal product fulfills unmet medical needs and (4)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trials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9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439" w:firstLine="324"/>
        <w:spacing w:after="0" w:line="272" w:lineRule="auto"/>
        <w:rPr>
          <w:sz w:val="20"/>
          <w:szCs w:val="20"/>
          <w:color w:val="auto"/>
        </w:rPr>
      </w:pPr>
      <w:r>
        <w:rPr>
          <w:rFonts w:ascii="Times New Roman" w:cs="Times New Roman" w:eastAsia="Times New Roman" w:hAnsi="Times New Roman"/>
          <w:sz w:val="17"/>
          <w:szCs w:val="17"/>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marketing authorization.</w:t>
      </w:r>
    </w:p>
    <w:p>
      <w:pPr>
        <w:spacing w:after="0" w:line="2" w:lineRule="exact"/>
        <w:rPr>
          <w:sz w:val="20"/>
          <w:szCs w:val="20"/>
          <w:color w:val="auto"/>
        </w:rPr>
      </w:pPr>
    </w:p>
    <w:p>
      <w:pPr>
        <w:ind w:left="60" w:right="819"/>
        <w:spacing w:after="0" w:line="260" w:lineRule="auto"/>
        <w:rPr>
          <w:sz w:val="20"/>
          <w:szCs w:val="20"/>
          <w:color w:val="auto"/>
        </w:rPr>
      </w:pPr>
      <w:r>
        <w:rPr>
          <w:rFonts w:ascii="Times New Roman" w:cs="Times New Roman" w:eastAsia="Times New Roman" w:hAnsi="Times New Roman"/>
          <w:sz w:val="18"/>
          <w:szCs w:val="18"/>
          <w:color w:val="auto"/>
        </w:rPr>
        <w:t>Guidelines from the EMA detail the type and quantity of supplementary data to be provided for different types of biological products.</w:t>
      </w:r>
    </w:p>
    <w:p>
      <w:pPr>
        <w:spacing w:after="0" w:line="18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92"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trial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the 10 years of market exclusivity.</w:t>
      </w:r>
    </w:p>
    <w:p>
      <w:pPr>
        <w:spacing w:after="0" w:line="192"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76" w:lineRule="exact"/>
        <w:rPr>
          <w:sz w:val="20"/>
          <w:szCs w:val="20"/>
          <w:color w:val="auto"/>
        </w:rPr>
      </w:pPr>
    </w:p>
    <w:p>
      <w:pPr>
        <w:ind w:left="1040" w:right="4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trials and additional monitoring obligations.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55"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519" w:hanging="315"/>
        <w:spacing w:after="0" w:line="26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Japan</w:t>
      </w:r>
    </w:p>
    <w:p>
      <w:pPr>
        <w:spacing w:after="0" w:line="22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order to market any medical product in Japan, a company must comply with numerous and varying regulatory requirements regarding quality, safety and efficacy in conducting clinical trials, obtaining marketing approval, distributing products and conducting product sales. Japan is a member of the International Council for Harmonisation of Technical Requirements for Pharmaceuticals for Human Use (“</w:t>
      </w:r>
      <w:r>
        <w:rPr>
          <w:rFonts w:ascii="Times New Roman" w:cs="Times New Roman" w:eastAsia="Times New Roman" w:hAnsi="Times New Roman"/>
          <w:sz w:val="18"/>
          <w:szCs w:val="18"/>
          <w:b w:val="1"/>
          <w:bCs w:val="1"/>
          <w:color w:val="auto"/>
        </w:rPr>
        <w:t>ICH</w:t>
      </w:r>
      <w:r>
        <w:rPr>
          <w:rFonts w:ascii="Times New Roman" w:cs="Times New Roman" w:eastAsia="Times New Roman" w:hAnsi="Times New Roman"/>
          <w:sz w:val="18"/>
          <w:szCs w:val="18"/>
          <w:color w:val="auto"/>
        </w:rPr>
        <w:t>”) and has pharmaceutical law and regulations that are similar in many respects to those of the U.S. and the EU. These requirements are embodied in the Act on Securing Quality, Efficacy and Safety of Products Including Pharmaceuticals and Medical Devices (“</w:t>
      </w:r>
      <w:r>
        <w:rPr>
          <w:rFonts w:ascii="Times New Roman" w:cs="Times New Roman" w:eastAsia="Times New Roman" w:hAnsi="Times New Roman"/>
          <w:sz w:val="18"/>
          <w:szCs w:val="18"/>
          <w:b w:val="1"/>
          <w:bCs w:val="1"/>
          <w:color w:val="auto"/>
        </w:rPr>
        <w:t>Pharmaceuticals and Medical Devices Act</w:t>
      </w:r>
      <w:r>
        <w:rPr>
          <w:rFonts w:ascii="Times New Roman" w:cs="Times New Roman" w:eastAsia="Times New Roman" w:hAnsi="Times New Roman"/>
          <w:sz w:val="18"/>
          <w:szCs w:val="18"/>
          <w:color w:val="auto"/>
        </w:rPr>
        <w:t>”) and related cabinet orders, Ministerial ordinances, and guidelines. A Pharmaceutical company that manufactures or markets medical products in Japan is subject to the supervision of the MHLW, primarily under the Pharmaceuticals and Medical Devices Act.</w:t>
      </w:r>
    </w:p>
    <w:p>
      <w:pPr>
        <w:spacing w:after="0" w:line="188"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 clinical trial notification needs to be submitted to the PMDA in advance of clinical trial initiation in Japan. The marketing approval from MHLW needs to be obtained before the product can be marketed and sold in the Japanese market. Obtaining marketing approval requires the satisfactory completion of pharmaceutical development, preclinical studies and adequate and well-controlled clinical trials to establish the safety and efficacy of the medical product for each proposed indication.</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company is required to obtain from the MHLW a marketing license of the appropriate class to conduct the business of marketing or providing medical products that are manufactured (or outsourced to a third party for manufacturing) or imported by such person. Also, to conduct the business of manufacturing medical products which will be marketed in Japan, a company is required to obtain from the MHLW a manufacturing license for each manufacturing site in Japan, and a manufacturing certification in the case of overseas manufacturing.</w:t>
      </w:r>
    </w:p>
    <w:p>
      <w:pPr>
        <w:spacing w:after="0" w:line="183"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It is a requirement to obtain marketing approval from the MHLW for the marketing of each medical product. An application for marketing approval must be made through the PMDA. The PMDA reviews the results of the quality and nonclinical and clinical studies that show the efficacy and safety of the product candidate. A data compliance review, on-site inspection for good clinical practice, audit and detailed data review for compliance with cGMPs are undertaken by the PMDA. The application is then discussed by the committees of the Pharmaceutical Affairs and Food Sanitation Council. Based on the results of these reviews, the final decision on approval is made by the MHLW.</w:t>
      </w:r>
    </w:p>
    <w:p>
      <w:pPr>
        <w:spacing w:after="0" w:line="18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If the product is designed for treating certain difficult diseases and those for which the patient population is limited, the applicant may be able to obtain designation as an orphan drug product if it demonstrates unique therapeutic value. There are also expedited programs.</w:t>
      </w:r>
    </w:p>
    <w:p>
      <w:pPr>
        <w:spacing w:after="0" w:line="176"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sponsor must complete a pre-clinical safety evaluation of the investigative product and submit a clinical trial notification, including the clinical trial protocol, to the PMDA in advance of clinical trial initiation in Japan. If the authorities do not raise an issue or comment on the notification application within 14 or 30 days, the sponsor may proceed to conclude a clinical trial agreement with the site and commence the clinical trial. Any changes to the trial protocol or other information submitted must be cleared by the IRB and when protocol is changed substantially, the clinical trial notification needs to be resubmitted.</w:t>
      </w:r>
    </w:p>
    <w:p>
      <w:pPr>
        <w:spacing w:after="0" w:line="18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data from clinical trials and other pertinent data, which must be attached for an application for marketing approval, must be obtained in compliance with the standards established by the MHLW, such as the ICH Good Clinical Practice Guideline and cGCPs stipulated by the ministerial ordinances of the MHLW. Medicines used in clinical trials must be manufactured in accordance with Japan’s cGMPs.</w:t>
      </w:r>
    </w:p>
    <w:p>
      <w:pPr>
        <w:spacing w:after="0" w:line="180"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If the sponsor of the clinical trial is not an entity within Japan, it must appoint a domestic entity to act as its agent and carry out obligations on the overseas sponsor’s behalf. The sponsor must hold a clinical trial insurance policy, and in accordance with industry practice, should establish a compensation policy for the injuries from the trial.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Non-clinical studies performed to demonstrate the safety of new chemical or biological substance must be conducted in compliance with the principles of Japanese cGLPs, which reflect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requirements. Currently, Japan, the EU and U.K. have a mutual recognition agreement for cGLPs, and data generated compliant with EU requirements will be accepted by the Japanese authorities. There is no similar agreement with the U.S., but this is not a significant issue because of the OECD arrangement.</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 marketing license-holder that has obtained marketing approval for a new molecular entity, administration route, combination drugs, indication, or posology must have that pharmaceutical re-examined by the PMDA for a specified period after receiving marketing approval. Such re-examination period for EPKINLY is stated to be eight (8) years after the marketing approval in September 2023. The purpose of this re-examination process is to ensure the safety and efficacy of a newly approved pharmaceutical by imposing on the marketing license-holder the obligation to gather clinical data for a certain period after the marketing approval was granted in order for the PMDA to have the opportunity to re-examine the product. Results of use and other pertinent data must be attached for an application for a re-examination. A marketing license holder that has obtained marketing approval is also required to investigate, among other things, the results of use and to periodically report to the PMDA pursuant to the Pharmaceuticals and Medical Devices Act. During the re-examination period, exclusivity on the market is granted regardless of effective patent.</w:t>
      </w:r>
    </w:p>
    <w:p>
      <w:pPr>
        <w:spacing w:after="0" w:line="200" w:lineRule="exact"/>
        <w:rPr>
          <w:sz w:val="20"/>
          <w:szCs w:val="20"/>
          <w:color w:val="auto"/>
        </w:rPr>
      </w:pPr>
    </w:p>
    <w:p>
      <w:pPr>
        <w:spacing w:after="0" w:line="210"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MHLW may require additional post-approval studies (Phase IV) for some specific cases, to further evaluate safety and/or to gather information on the use of the product under specified conditions.</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Japan, public medical insurance systems cover the entire Japanese population. The public medical insurance system, however, does not cover any medical product which is not listed on the National Health Insurance (“</w:t>
      </w:r>
      <w:r>
        <w:rPr>
          <w:rFonts w:ascii="Times New Roman" w:cs="Times New Roman" w:eastAsia="Times New Roman" w:hAnsi="Times New Roman"/>
          <w:sz w:val="18"/>
          <w:szCs w:val="18"/>
          <w:b w:val="1"/>
          <w:bCs w:val="1"/>
          <w:color w:val="auto"/>
        </w:rPr>
        <w:t>NHI</w:t>
      </w:r>
      <w:r>
        <w:rPr>
          <w:rFonts w:ascii="Times New Roman" w:cs="Times New Roman" w:eastAsia="Times New Roman" w:hAnsi="Times New Roman"/>
          <w:sz w:val="18"/>
          <w:szCs w:val="18"/>
          <w:color w:val="auto"/>
        </w:rPr>
        <w:t>”) price list published by the Minister of the MHLW. Accordingly, a marketing license-holder of medical products must first have a new medical product listed on the NHI price list in order to obtain its coverage under the public medical insurance system. New regulatory approved drugs are listed on the NHI price list within 60 or 90 days after its regulatory approval. The NHI price list listed EPKINLY in November 2023.</w:t>
      </w:r>
    </w:p>
    <w:p>
      <w:pPr>
        <w:spacing w:after="0" w:line="187"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The NHI price of a medical product is determined either by price comparison of comparable medical products with necessary adjustments for innovativeness, usefulness or size of the market; or, in the absence of comparable medical products, by the cost calculation method, determined after considering the opinion of the manufacturer. Prices on the NHI price list are subject to revision, generally once every year, on the basis of the actual prices at which the medical products are purchased by medical institutions from wholesalers.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Genmab A/S holds investments either directly or indirectly in the following significant subsidiaries: Genmab B.V. (Utrecht, the Netherlands), Genmab Holding B.V. (Utrecht, the Netherlands), and Genmab US, Inc. (New Jersey, USA). These subsidiaries perform certain research and development, selling, general and administrative, and management activities on behalf of Genmab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hanging="310"/>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 specifies our material leased facilities and their related activities:</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31" w:lineRule="exact"/>
        <w:rPr>
          <w:sz w:val="20"/>
          <w:szCs w:val="20"/>
          <w:color w:val="auto"/>
        </w:rPr>
      </w:pPr>
    </w:p>
    <w:p>
      <w:pPr>
        <w:ind w:left="60" w:right="160"/>
        <w:spacing w:after="0" w:line="306" w:lineRule="auto"/>
        <w:rPr>
          <w:sz w:val="20"/>
          <w:szCs w:val="20"/>
          <w:color w:val="auto"/>
        </w:rPr>
      </w:pPr>
      <w:r>
        <w:rPr>
          <w:rFonts w:ascii="Times New Roman" w:cs="Times New Roman" w:eastAsia="Times New Roman" w:hAnsi="Times New Roman"/>
          <w:sz w:val="17"/>
          <w:szCs w:val="17"/>
          <w:color w:val="auto"/>
        </w:rPr>
        <w:t>Valby, Denmark Ballerup, Denmark</w:t>
      </w:r>
    </w:p>
    <w:p>
      <w:pPr>
        <w:spacing w:after="0" w:line="145" w:lineRule="exact"/>
        <w:rPr>
          <w:sz w:val="20"/>
          <w:szCs w:val="20"/>
          <w:color w:val="auto"/>
        </w:rPr>
      </w:pPr>
    </w:p>
    <w:p>
      <w:pPr>
        <w:ind w:left="60" w:right="40"/>
        <w:spacing w:after="0" w:line="445" w:lineRule="auto"/>
        <w:rPr>
          <w:sz w:val="20"/>
          <w:szCs w:val="20"/>
          <w:color w:val="auto"/>
        </w:rPr>
      </w:pPr>
      <w:r>
        <w:rPr>
          <w:rFonts w:ascii="Times New Roman" w:cs="Times New Roman" w:eastAsia="Times New Roman" w:hAnsi="Times New Roman"/>
          <w:sz w:val="17"/>
          <w:szCs w:val="17"/>
          <w:color w:val="auto"/>
        </w:rPr>
        <w:t>Utrecht, Netherlands Zeist, Netherlands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Utrecht, Netherlands</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Utrecht, Netherlands</w:t>
      </w:r>
    </w:p>
    <w:p>
      <w:pPr>
        <w:spacing w:after="0" w:line="129" w:lineRule="exact"/>
        <w:rPr>
          <w:sz w:val="20"/>
          <w:szCs w:val="20"/>
          <w:color w:val="auto"/>
        </w:rPr>
      </w:pPr>
    </w:p>
    <w:p>
      <w:pPr>
        <w:jc w:val="both"/>
        <w:ind w:left="60" w:right="20"/>
        <w:spacing w:after="0" w:line="289" w:lineRule="auto"/>
        <w:rPr>
          <w:sz w:val="20"/>
          <w:szCs w:val="20"/>
          <w:color w:val="auto"/>
        </w:rPr>
      </w:pPr>
      <w:r>
        <w:rPr>
          <w:rFonts w:ascii="Times New Roman" w:cs="Times New Roman" w:eastAsia="Times New Roman" w:hAnsi="Times New Roman"/>
          <w:sz w:val="17"/>
          <w:szCs w:val="17"/>
          <w:color w:val="auto"/>
        </w:rPr>
        <w:t>Plainsboro, NJ, USA Plainsboro, NJ, USA Tokyo, Japan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Use of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19685</wp:posOffset>
            </wp:positionV>
            <wp:extent cx="564896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Corporate headquarters Office and laboratory space Office, laboratory, and pre-clinical development space Office, laboratory, and pre-clinical development space Office, laboratory, and pre-clinical development space Office, laboratory, and pre-clinical development space Office and laboratory space Office and laboratory space Office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-1518285</wp:posOffset>
            </wp:positionV>
            <wp:extent cx="564896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-969645</wp:posOffset>
            </wp:positionV>
            <wp:extent cx="564896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-421005</wp:posOffset>
            </wp:positionV>
            <wp:extent cx="56489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Area (in square feet)</w:t>
            </w:r>
          </w:p>
        </w:tc>
        <w:tc>
          <w:tcPr>
            <w:tcW w:w="1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Lease expiry date</w:t>
            </w:r>
          </w:p>
        </w:tc>
      </w:tr>
      <w:tr>
        <w:trPr>
          <w:trHeight w:val="191"/>
        </w:trPr>
        <w:tc>
          <w:tcPr>
            <w:tcW w:w="1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174,829</w:t>
            </w:r>
          </w:p>
        </w:tc>
        <w:tc>
          <w:tcPr>
            <w:tcW w:w="160" w:type="dxa"/>
            <w:vAlign w:val="bottom"/>
          </w:tcPr>
          <w:p>
            <w:pPr>
              <w:spacing w:after="0"/>
              <w:rPr>
                <w:sz w:val="16"/>
                <w:szCs w:val="16"/>
                <w:color w:val="auto"/>
              </w:rPr>
            </w:pPr>
          </w:p>
        </w:tc>
        <w:tc>
          <w:tcPr>
            <w:tcW w:w="1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February, 2038</w:t>
            </w:r>
          </w:p>
        </w:tc>
      </w:tr>
      <w:tr>
        <w:trPr>
          <w:trHeight w:val="23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45,622</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June, 2031</w:t>
            </w:r>
          </w:p>
        </w:tc>
      </w:tr>
      <w:tr>
        <w:trPr>
          <w:trHeight w:val="432"/>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90,061</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May, 2032</w:t>
            </w:r>
          </w:p>
        </w:tc>
      </w:tr>
      <w:tr>
        <w:trPr>
          <w:trHeight w:val="32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41,437</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December, 2025</w:t>
            </w:r>
          </w:p>
        </w:tc>
      </w:tr>
      <w:tr>
        <w:trPr>
          <w:trHeight w:val="540"/>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59,352</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June, 2032</w:t>
            </w:r>
          </w:p>
        </w:tc>
      </w:tr>
      <w:tr>
        <w:trPr>
          <w:trHeight w:val="32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61,795</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April, 2032</w:t>
            </w:r>
          </w:p>
        </w:tc>
      </w:tr>
      <w:tr>
        <w:trPr>
          <w:trHeight w:val="306"/>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135,136</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August, 2031</w:t>
            </w:r>
          </w:p>
        </w:tc>
      </w:tr>
      <w:tr>
        <w:trPr>
          <w:trHeight w:val="216"/>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135,476</w:t>
            </w:r>
          </w:p>
        </w:tc>
        <w:tc>
          <w:tcPr>
            <w:tcW w:w="1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July, 2036</w:t>
            </w:r>
          </w:p>
        </w:tc>
      </w:tr>
      <w:tr>
        <w:trPr>
          <w:trHeight w:val="234"/>
        </w:trPr>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28,744</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June, 2029</w:t>
            </w:r>
          </w:p>
        </w:tc>
      </w:tr>
    </w:tbl>
    <w:p>
      <w:pPr>
        <w:spacing w:after="0" w:line="129" w:lineRule="exact"/>
        <w:rPr>
          <w:sz w:val="20"/>
          <w:szCs w:val="20"/>
          <w:color w:val="auto"/>
        </w:rPr>
      </w:pPr>
    </w:p>
    <w:p>
      <w:pPr>
        <w:sectPr>
          <w:pgSz w:w="11900" w:h="16838" w:orient="portrait"/>
          <w:cols w:equalWidth="0" w:num="3">
            <w:col w:w="1580" w:space="720"/>
            <w:col w:w="1980" w:space="620"/>
            <w:col w:w="4119"/>
          </w:cols>
          <w:pgMar w:left="1440" w:top="513" w:right="1440" w:bottom="1440" w:gutter="0" w:footer="0" w:header="0"/>
          <w:type w:val="continuous"/>
        </w:sect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 and that suitable additional or alternative facilities will be available in the future on commercially reasonable terms to meet our future needs.</w:t>
      </w:r>
    </w:p>
    <w:p>
      <w:pPr>
        <w:spacing w:after="0" w:line="162"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See Note 3.2 “Property and Equipment” in our Audited Financial Statements for additional details regarding our property and equipment, and other capital expenditures.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are an international biotechnology company with a pipeline of novel antibody-based products and product candidates designed to address unmet medical needs and improve treatment outcomes for patients with cancer and other serious diseases. Our goal in building our pipeline is to bring medicines to market ourselves in geographic areas where we believe we will be able to maximize their value.</w:t>
      </w:r>
    </w:p>
    <w:p>
      <w:pPr>
        <w:spacing w:after="0" w:line="180"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current priorities are the late-stage programs epcoritamab, Rina-S and acasunlimab. Epcoritamab, marketed as EPKINLY in the US and Japan and TEPKINLY outside of those territories, is being developed and commercialized in collaboration with AbbVie. Epcoritamab is the first and only bispecific antibody approved in the US and Europe to treat both R/R DLBCL and R/R FL. It is also approved in Japan for R/R DLBCL. Rina-S and acasunlimab are wholly owned by Genmab and entered Phase III clinical development in 2024.</w:t>
      </w:r>
    </w:p>
    <w:p>
      <w:pPr>
        <w:spacing w:after="0" w:line="18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full pipeline includes bispecific T-cell engagers, next-generation immune checkpoint modulators, effector function enhanced antibodies and ADCs. We currently have 12 proprietary products in total, including programs where we retain 50% of product rights in collaboration with partners, or product candidates in active clinical development. These also include our first commercial product, tisotumab vedotin, marketed as Tivdak. This is being developed and commercialized in collaboration with Pfizer. In 2024, Tivdak was granted full approval by the FDA for the treatment of adult patients with recurrent or metastatic cervical cancer with disease progression on or after chemotherapy. Tivdak is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first and only FDA approved ADC in this indication. In addition to our marketed products and clinical product candidates, we have multiple in-house and partnered pre-clinical programs.</w:t>
      </w:r>
    </w:p>
    <w:p>
      <w:pPr>
        <w:spacing w:after="0" w:line="16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To develop and deliver novel therapies to patients, we have formed strategic collaborations with biotechnology and pharmaceutical companies. We selectively enter into collaborations with other biotechnology and pharmaceutical companies that build our network in the biotechnology space and give us access to complementary technologies or products that move us closer to achieving our vision and fulfilling our core purpose. In addition to our own pipeline of product candidates, our innovation and proprietary technology are applied in the pipelines of third-party companies. These companies are running clinical development programs with antibodies created by us or created using our DuoBody bispecific antibody technology. Under the agreements for these products, we are entitled to certain potential milestones and royalties. There are currently six approved products being developed by third-party companies: daratumumab, marketed by J&amp;J as DARZALEX (IV formulation) and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or DARZALEX SC (SC formulation), approved in the U.S., Europe, Japan and certain other territories for the treatment of certain indications of MM and AL amyloidosis; amivantamab, marketed in the U.S., Europe and certain other territories as RYBREVANT for the treatment of certain adult patients with locally-advanced or metastatic NSCLC with EGFR exon 20 insertion mutations; teclistamab, marketed in the U.S. and Europe as TECVAYLI for the treatment of certain adult patients with R/R MM; SC ofatumumab, marketed in the U.S., Europe, Japan and certain other territories as Kesimpta by Novartis for the treatment of RMS and teprotumumab, marketed in the U.S. as TEPEZZA by Amgen for the treatment of TED.</w:t>
      </w:r>
    </w:p>
    <w:p>
      <w:pPr>
        <w:spacing w:after="0" w:line="196"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For our proprietary commercial products EPKINLY and Tivdak, our commercialization rights and related revenues and expenses vary by jurisdiction as further described below:</w:t>
      </w:r>
    </w:p>
    <w:p>
      <w:pPr>
        <w:spacing w:after="0" w:line="160" w:lineRule="exact"/>
        <w:rPr>
          <w:sz w:val="20"/>
          <w:szCs w:val="20"/>
          <w:color w:val="auto"/>
        </w:rPr>
      </w:pPr>
    </w:p>
    <w:p>
      <w:pPr>
        <w:ind w:left="1040" w:right="99" w:hanging="639"/>
        <w:spacing w:after="0" w:line="248" w:lineRule="auto"/>
        <w:tabs>
          <w:tab w:leader="none" w:pos="10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EPKINLY collaboration with AbbVie. </w:t>
      </w:r>
      <w:r>
        <w:rPr>
          <w:rFonts w:ascii="Times New Roman" w:cs="Times New Roman" w:eastAsia="Times New Roman" w:hAnsi="Times New Roman"/>
          <w:sz w:val="18"/>
          <w:szCs w:val="18"/>
          <w:color w:val="auto"/>
        </w:rPr>
        <w:t>Genmab shares commercial responsibilities for epcoritamab, marketed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EPKINLY, with AbbVie in the U.S. and Japan, while AbbVie is responsible for global commercialization outside of the U.S. and Japan. We are the principal for net sales of EPKINLY in the U.S. and Japan and therefore record such sales as net product sales. In the U.S. and Japan, we share with AbbVie 50% of such sales and related cost of product sales and these amounts are classified as cost of product sales. We and AbbVie are each responsible for 50% of the aggregate research and development and sales and marketing costs of EPKINLY in the U.S. and Japan, and we classify our share of such costs in research and development and selling, general and administrative expenses, respectively. We are entitled to tiered royalties between 22% and 26% on net sales for epcoritamab outside the U.S. and Japan, subject to certain royalty reductions.</w:t>
      </w:r>
    </w:p>
    <w:p>
      <w:pPr>
        <w:spacing w:after="0" w:line="189" w:lineRule="exact"/>
        <w:rPr>
          <w:rFonts w:ascii="Times New Roman" w:cs="Times New Roman" w:eastAsia="Times New Roman" w:hAnsi="Times New Roman"/>
          <w:sz w:val="22"/>
          <w:szCs w:val="22"/>
          <w:color w:val="auto"/>
        </w:rPr>
      </w:pPr>
    </w:p>
    <w:p>
      <w:pPr>
        <w:ind w:left="1040" w:right="159" w:hanging="639"/>
        <w:spacing w:after="0" w:line="247" w:lineRule="auto"/>
        <w:tabs>
          <w:tab w:leader="none" w:pos="10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Tivdak collaboration with Pfizer. </w:t>
      </w:r>
      <w:r>
        <w:rPr>
          <w:rFonts w:ascii="Times New Roman" w:cs="Times New Roman" w:eastAsia="Times New Roman" w:hAnsi="Times New Roman"/>
          <w:sz w:val="18"/>
          <w:szCs w:val="18"/>
          <w:color w:val="auto"/>
        </w:rPr>
        <w:t>Genmab is co-promoting tisotumab vedotin, marketed as Tivdak,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with Pfizer, with Pfizer recording U.S. sales and Genmab receiving a 50% share of profit on such sales. Genmab is co-promoting tisotumab vedotin, marketed as Tivdak, in the U.S., and we will lead commercial operational activities and record sales in Japan, when approved. Effective January 1, 2025, Genmab and Pfizer agreed to amend the global development and commercialization agreement for Tivdak, assigning Genmab sole responsibility for the development and commercialization of Tivdak for second line plus recurrent or metastatic cervical cancer in Europe and all other regions globally, excluding the United States and the China region. Pfizer will lead operational commercial activities in China, when approved, with a 50:50 profit split.</w:t>
      </w:r>
    </w:p>
    <w:p>
      <w:pPr>
        <w:spacing w:after="0" w:line="19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our collaboration with J&amp;J for the development and commercialization of daratumumab. Since inception, we have funded our operating requirements primarily through proceeds from equity financing and milestone payments and royalties from our collaboration partners. We expect to continue to fund a significant portion of our development expenses for our proprietary product candidates as well as our planned commercialization activities with funds received from royalties and milestone payments from our collaboration partners.</w:t>
      </w:r>
    </w:p>
    <w:p>
      <w:pPr>
        <w:spacing w:after="0" w:line="187"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 xml:space="preserve">For a description of certain of our product and technology collaborations including relevant royalty tiers, milestones and expense sharing provisions, please refer to </w:t>
      </w:r>
      <w:r>
        <w:rPr>
          <w:rFonts w:ascii="Times New Roman" w:cs="Times New Roman" w:eastAsia="Times New Roman" w:hAnsi="Times New Roman"/>
          <w:sz w:val="17"/>
          <w:szCs w:val="17"/>
          <w:i w:val="1"/>
          <w:iCs w:val="1"/>
          <w:color w:val="auto"/>
        </w:rPr>
        <w:t>“Item 4.B—Business Overview—Product and Technology Collaborations”</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ProfoundBio, Inc.</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May 21, 2024 (“Acquisition Date”), we completed the previously announced acquisition of all of the outstanding shares of ProfoundBio, resulting in ProfoundBio becoming a wholly-owned subsidiary of Genmab. The acquisition of ProfoundBio gave us worldwide rights to three candidates in clinical development, including ProfoundBio’s lead drug candidate, Rina-S. In addition, we acquired ProfoundBio’s novel ADC technology platforms. Rina-S is a clinical-stage, FRα-targeted, TOPO1 ADC, currently in a Phase III clinical trial for the treatment of PROC. Based on the data from the ongoing Phase I/II clinical trial we intend to continue to broaden the development plans for Rina-S within ovarian cancer and other FRα-expressing solid tumors. In January 2024, the U.S. FDA granted FTD to Rina-S for the treatment of patients with FRα-expressing high-grade serous or endometrioid platinum-resistant ovarian cancer.</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5.5 in our Audited Financial Statements for additional details regarding our acquisition of ProfoundBio.</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Our Results and Related Trends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revenues are currently comprised of royalties, milestone revenue, reimbursement revenue, collaboration revenue, license fees, and net product sales. Royalty revenue from licenses is based on third-party sales of licensed products. Milestone revenue is typically related to reaching particular stages in product development, regulatory approval or a certain level of net sales. Reimbursement revenue is mainly comprised of the reimbursement of certain research and development expenses related to the development work under our collaboration agreements. Collaboration revenue reflects profit sharing arrangements for the sale of commercial products by our collaboration partners. License fees are non-refundable, upfront fees for our intellectual property received from our collaboration partners. Net product sales represent sales of products when Genmab is determined to be the principal in sales to the end customers.</w:t>
      </w:r>
    </w:p>
    <w:p>
      <w:pPr>
        <w:spacing w:after="0" w:line="19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majority of our revenue is recognized from our collaboration partners under our collaboration agreements. In particular, our ability to generate revenue significantly depends on the success of J&amp;J’s continued ability to effectively maintain and grow sales of DARZALEX for its approved indications, expand its indications, and successfully compete with existing and potential new investigational agents and technologies that are currently being marketed or studied for the same indications as DARZALEX. In addition, the royalties payable by J&amp;J are limited in time. Pursuant to the terms of the agreement, J&amp;J’s obligation to pay royalties to us will expire on a country-by-country basis on the later of the date that is 13 years after the first sale of daratumumab in such country or upon the expiration or invalidation of the last-to-expire relevant Genmab patent covering daratumumab in such country. The first U.S., European and Japanese sales of daratumumab occurred in 2015, 2016 and 2017, respectively. We have issued patents and pending patent applications covering daratumumab in numerous jurisdictions, including patents issued in the U.S., Europe and Japan. J&amp;J owns a separate patent portfolio related to the subcutaneous formulation of daratumumab used in DARZALEX FASPRO/DARZALEX SC, but a binding arbitration determined that we are not entitled to royalties based on these separate patents. Our issued U.S., European and Japanese patents covering daratumumab, after giving effect to issued U.S., European and Japanese PTEs and SPCs, expire in 2029, 2031 and begin to expire in 2030, respectively. Assuming constant underlying sales of DARZALEX, we expect that our royalties from sales of DARZALEX will begin to decline materially in 2029 following expiration of our U.S. patent rights on daratumumab. We have also received, and in the future may from time to time receive, revenues from milestones and other payments relating to our collaborations.</w:t>
      </w:r>
    </w:p>
    <w:p>
      <w:pPr>
        <w:spacing w:after="0" w:line="19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addition to revenue recognized from our collaboration partners, we also record revenue for sales of our proprietary commercial products. Epcoritamab was approved by the FDA and Japan MHLW in May 2023 and September 2023, respectively, and is marketed in the U.S. and Japan under the tradename EPKINLY. Our net product sales derive solely from EPKINLY. Tisotumab vedotin was approved by the FDA in September 2021, and is currently marketed in the U.S. as Tivdak. Pfizer records net product sales in the U.S. and shares 50% of the profit of such sales with us, and we record this profit share as collaboration revenue. Our ability to generate revenue from our proprietary commercial products, including EPKINLY and Tivdak, depends on the commercial potential of such products as well as our ability to successfully commercialize them.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our proprietary and partnered product candidates depends on our and our collaboration partners’ ability to successfully complete clinical trials for our product candidates and receive regulatory approvals, which could impact the commercial potential of such products and our potential to receive milestone payments, royalties, net sales and other revenues for these products in the future.</w:t>
      </w:r>
    </w:p>
    <w:p>
      <w:pPr>
        <w:spacing w:after="0" w:line="180"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Our reported revenue is affected by the translation of royalties and other income denominated in foreign currencies— primarily U.S. dollars—into Danish kroner as our reporting currency.</w:t>
      </w:r>
    </w:p>
    <w:p>
      <w:pPr>
        <w:spacing w:after="0" w:line="16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our revenues, including for the breakdown of our revenues by type, collaboration partner and product, see Note 2.1 of our Annual Financial Statements included in this Annual Report.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Cost of product sales includes direct and indirect costs relating to the manufacture of inventory mainly from third-party providers of manufacturing as well as costs related to internal resources and distribution and logistics. Cost of product sales also includes profit-sharing amounts owed to collaboration partners for the sale of commercial products when Genmab is determined to be the principal in sales to end customers. For the year ended December 31, 2024, the only profit-sharing amounts recorded as cost of product sales relate to 50:50 sharing of sales and related cost of product sales of EPKINLY in the U.S. and Japan pursuant to the Collaboration Agreement with AbbVie.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are currently advancing our proprietary product candidates through clinical development and are conducting pre-clinical trials with respect to other programs. Developing product candidates is expensive, time-intensive and risky, and we expect our research and development expenses to increase over the next few years, particularly as we seek to advance our proprietary product candidates toward commercialization. Our research and development expenses include internal costs relating to our research and development departments, as well as external costs relating to trials performed by external suppliers and collaboration partners. Internal research and development expenses consist primarily of salaries and benefits for our research and development staff and related expenses, including expenses related to cash bonuses, warrant and restricted stock unit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depreciation and impairment of property and capital assets used to develop our product candidates.</w:t>
      </w:r>
    </w:p>
    <w:p>
      <w:pPr>
        <w:spacing w:after="0" w:line="19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Major components of the external costs are fees and other costs paid to CROs in conjunction with preclinical trials and the performance of clinical trials, milestone payments for in-licensed technology, as well as fees paid to CMOs in conjunction with the production of clinical compounds, drug substances and drugs. This includes (i) 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Accounting Standards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 We expect to incur higher research and development expenses in future periods, including increasing costs for clinical trials and manufacturing as our proprietary 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w:t>
      </w:r>
      <w:r>
        <w:rPr>
          <w:rFonts w:ascii="Times New Roman" w:cs="Times New Roman" w:eastAsia="Times New Roman" w:hAnsi="Times New Roman"/>
          <w:sz w:val="18"/>
          <w:szCs w:val="18"/>
          <w:i w:val="1"/>
          <w:iCs w:val="1"/>
          <w:color w:val="auto"/>
        </w:rPr>
        <w:t>‘‘Item 5.B—Liquidity and Capital Resources’’</w:t>
      </w:r>
      <w:r>
        <w:rPr>
          <w:rFonts w:ascii="Times New Roman" w:cs="Times New Roman" w:eastAsia="Times New Roman" w:hAnsi="Times New Roman"/>
          <w:sz w:val="18"/>
          <w:szCs w:val="18"/>
          <w:color w:val="auto"/>
        </w:rPr>
        <w:t xml:space="preserve"> below.</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wages and salaries for personnel other than research and development staff. Also included are expenses related to pre-launch commercialization activities,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depreciation, amortization and impairment of property and equipment, to the extent such expenses are related to the administrative functions, and co-promotion expenses related to commercial sales of Tivdak in the U.S. in accordance with our Joint Commercialization Agreement with Pfizer. Lastly, selling, general and administrative expenses include</w:t>
      </w:r>
    </w:p>
    <w:p>
      <w:pPr>
        <w:spacing w:after="0" w:line="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50% share of the aggregate costs incurred by us and AbbVie in relation to sales and commercialization of EPKINLY in the U.S. and Japan. We expect our selling, general and administrative expenses to increase over the next few years as we continue to expand our commercialization capabilities in a number of jurisdictions. Such expenses may also increase over time as a result of inflation and other factors.</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Overhead expenses are allocated to research and development expenses or selling, general and administrative expenses based on the number of employees and their relevant functions. The Dutch Research and Development Act (“</w:t>
      </w:r>
      <w:r>
        <w:rPr>
          <w:rFonts w:ascii="Times New Roman" w:cs="Times New Roman" w:eastAsia="Times New Roman" w:hAnsi="Times New Roman"/>
          <w:sz w:val="18"/>
          <w:szCs w:val="18"/>
          <w:b w:val="1"/>
          <w:bCs w:val="1"/>
          <w:color w:val="auto"/>
        </w:rPr>
        <w:t>WBSO</w:t>
      </w:r>
      <w:r>
        <w:rPr>
          <w:rFonts w:ascii="Times New Roman" w:cs="Times New Roman" w:eastAsia="Times New Roman" w:hAnsi="Times New Roman"/>
          <w:sz w:val="18"/>
          <w:szCs w:val="18"/>
          <w:color w:val="auto"/>
        </w:rPr>
        <w:t>”) provides compensation for a part of research and development wages and other costs at our Utrecht facility through a reduction in payroll taxes in the Netherlands. WBSO grant amounts are offset against wages and salaries included in research and development expenses.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increasingly,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developing our commercial capabilities. Our proprietary product candidates will require significant further development, financial resources and personnel to pursue and obtain regulatory approval and develop them into commercially viable products, if they are approved and commercialized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 and Integration Related Charges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2024, acquisition related charges comprise payments to holders of outstanding ProfoundBio equity awards related to post-combination services. The remaining expenses are integration related charges, which comprise professional fees incurred to assist with the integration of ProfoundBio into our operations post-acquisition.</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5.5 in our Audited Financial Statements for additional details regarding our acquisition of ProfoundBio.</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ind w:left="60" w:right="219"/>
        <w:spacing w:after="0" w:line="284" w:lineRule="auto"/>
        <w:rPr>
          <w:sz w:val="20"/>
          <w:szCs w:val="20"/>
          <w:color w:val="auto"/>
        </w:rPr>
      </w:pPr>
      <w:r>
        <w:rPr>
          <w:rFonts w:ascii="Times New Roman" w:cs="Times New Roman" w:eastAsia="Times New Roman" w:hAnsi="Times New Roman"/>
          <w:sz w:val="18"/>
          <w:szCs w:val="18"/>
          <w:i w:val="1"/>
          <w:iCs w:val="1"/>
          <w:color w:val="auto"/>
        </w:rPr>
        <w:t>Financial Results for the Year Ended December 31, 2024 Compared to the Year Ended December 31, 2023 and Financial Results for the Year Ended December 31, 2023 Compared to the Year Ended December 31, 2022</w:t>
      </w:r>
    </w:p>
    <w:p>
      <w:pPr>
        <w:spacing w:after="0" w:line="160"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information on pages 52-60 in our Annual Report 2024 under the heading “Financial Review”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Note 1.1 to our Audited Financial Statements included in our Annual Report 2024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New and Revised Standards and Interpretations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Note 1.2 to our Audited Financial Statements included in our Annual Report 2024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Standards and Interpretations Not Yet in Effect</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information in Note 1.2 to our Audited Financial Statements included in our Annual Report 2024 is incorporated herein by reference.</w:t>
      </w:r>
    </w:p>
    <w:p>
      <w:pPr>
        <w:spacing w:after="0" w:line="158" w:lineRule="exact"/>
        <w:rPr>
          <w:sz w:val="20"/>
          <w:szCs w:val="20"/>
          <w:color w:val="auto"/>
        </w:rPr>
      </w:pPr>
    </w:p>
    <w:p>
      <w:pPr>
        <w:ind w:left="400" w:hanging="350"/>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information on pages 58-59 in our Annual Report 2024 under the heading “Liquidity and Capital Resources” is incorporated herein by reference.</w:t>
      </w:r>
    </w:p>
    <w:p>
      <w:pPr>
        <w:spacing w:after="0" w:line="16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description of our internal and external sources of liquidity, including Genmab’s undrawn unsecured three-year revolving credit facility, in Note 4.1 to our Audited Financial Statements included in our Annual Report 2024 is incorporated herein by reference.</w:t>
      </w:r>
    </w:p>
    <w:p>
      <w:pPr>
        <w:spacing w:after="0" w:line="176"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our lease obligations in Note 3.3 to our Audited Financial Statements included in our Annual Report 2024 is incorporated herein by reference.</w:t>
      </w:r>
    </w:p>
    <w:p>
      <w:pPr>
        <w:spacing w:after="0" w:line="16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description of our contractual obligations related to a number of agreements, primarily related to research and development activities, in Note 5.3 to our Audited Financial Statements included in our Annual Report 2024 is incorporated herein by reference.</w:t>
      </w:r>
    </w:p>
    <w:p>
      <w:pPr>
        <w:spacing w:after="0" w:line="17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description of our contingent commitments under our license and collaboration agreements that may become due for future payments in Note 5.3 to our Audited Financial Statements included in our Annual Report 2024 is incorporated herein by reference. The contingent commitments entail uncertainties regarding the period in which payments are due because these obligations are dependent on milestone achievements, most of which are not expected to be incurred within the next five years.</w:t>
      </w:r>
    </w:p>
    <w:p>
      <w:pPr>
        <w:spacing w:after="0" w:line="183"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79" w:lineRule="exact"/>
        <w:rPr>
          <w:sz w:val="20"/>
          <w:szCs w:val="20"/>
          <w:color w:val="auto"/>
        </w:rPr>
      </w:pPr>
    </w:p>
    <w:p>
      <w:pPr>
        <w:ind w:left="360" w:hanging="310"/>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4.B—Business Overview” and “Item 5.A—Operating Results”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360" w:hanging="310"/>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27"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5.A—Operating Results—Key Components of Our Results and Related Trends”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300" w:hanging="250"/>
        <w:spacing w:after="0"/>
        <w:tabs>
          <w:tab w:leader="none" w:pos="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00" w:hanging="350"/>
        <w:spacing w:after="0"/>
        <w:tabs>
          <w:tab w:leader="none" w:pos="4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Management</w:t>
      </w:r>
    </w:p>
    <w:p>
      <w:pPr>
        <w:spacing w:after="0" w:line="225" w:lineRule="exact"/>
        <w:rPr>
          <w:sz w:val="20"/>
          <w:szCs w:val="20"/>
          <w:color w:val="auto"/>
        </w:rPr>
      </w:pPr>
    </w:p>
    <w:p>
      <w:pPr>
        <w:ind w:left="60" w:right="99" w:firstLine="324"/>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member of our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members as of the date of this Annual Report on Form 20-F. Our Board consists of six members elected by our shareholders at the general meeting (“</w:t>
      </w:r>
      <w:r>
        <w:rPr>
          <w:rFonts w:ascii="Times New Roman" w:cs="Times New Roman" w:eastAsia="Times New Roman" w:hAnsi="Times New Roman"/>
          <w:sz w:val="18"/>
          <w:szCs w:val="18"/>
          <w:b w:val="1"/>
          <w:bCs w:val="1"/>
          <w:color w:val="auto"/>
        </w:rPr>
        <w:t>Shareholder Elected Members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Shareholder Elected Member</w:t>
      </w:r>
      <w:r>
        <w:rPr>
          <w:rFonts w:ascii="Times New Roman" w:cs="Times New Roman" w:eastAsia="Times New Roman" w:hAnsi="Times New Roman"/>
          <w:sz w:val="18"/>
          <w:szCs w:val="18"/>
          <w:color w:val="auto"/>
        </w:rPr>
        <w:t>”), and three members elected by our employees (“</w:t>
      </w:r>
      <w:r>
        <w:rPr>
          <w:rFonts w:ascii="Times New Roman" w:cs="Times New Roman" w:eastAsia="Times New Roman" w:hAnsi="Times New Roman"/>
          <w:sz w:val="18"/>
          <w:szCs w:val="18"/>
          <w:b w:val="1"/>
          <w:bCs w:val="1"/>
          <w:color w:val="auto"/>
        </w:rPr>
        <w:t>Employee Elected Members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Employee Elected Member</w:t>
      </w:r>
      <w:r>
        <w:rPr>
          <w:rFonts w:ascii="Times New Roman" w:cs="Times New Roman" w:eastAsia="Times New Roman" w:hAnsi="Times New Roman"/>
          <w:sz w:val="18"/>
          <w:szCs w:val="18"/>
          <w:color w:val="auto"/>
        </w:rPr>
        <w:t>”). Shareholder Elected Members are elected by our shareholders every year and Employee Elected Members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are elected by our employees every third year. The terms of office of the Shareholder Elected Members and Employee Elected Members expire in 2025. All members of the Board, however elected, are eligible for re-election.</w:t>
      </w:r>
    </w:p>
    <w:p>
      <w:pPr>
        <w:spacing w:after="0" w:line="162"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business address of our directors is our registered office address at c/o Genmab A/S, Carl Jacobsens Vej 30, 2500 Valby, Denmark.</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Name of Board Member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Age</w:t>
            </w:r>
          </w:p>
        </w:tc>
        <w:tc>
          <w:tcPr>
            <w:tcW w:w="240" w:type="dxa"/>
            <w:vAlign w:val="bottom"/>
          </w:tcPr>
          <w:p>
            <w:pPr>
              <w:spacing w:after="0"/>
              <w:rPr>
                <w:sz w:val="20"/>
                <w:szCs w:val="20"/>
                <w:color w:val="auto"/>
              </w:rPr>
            </w:pPr>
          </w:p>
        </w:tc>
        <w:tc>
          <w:tcPr>
            <w:tcW w:w="47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231F20"/>
              </w:rPr>
              <w:t>Position(s)</w:t>
            </w:r>
          </w:p>
        </w:tc>
      </w:tr>
      <w:tr>
        <w:trPr>
          <w:trHeight w:val="209"/>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Deirdre P. Connelly</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64</w:t>
            </w:r>
          </w:p>
        </w:tc>
        <w:tc>
          <w:tcPr>
            <w:tcW w:w="2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Chair (independent, Shareholder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Pernille Erenbjerg</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57</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Deputy Chair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Anders Gersel Pedersen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73</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Shareholder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Paolo Paoletti</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74</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Board member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Rolf Hoffmann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65</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(independent, Shareholder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Elizabeth O’Farrell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60</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Board member (independent, Shareholder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Takahiro Hamatani</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50</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Employee Elected)</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Martin Schultz</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49</w:t>
            </w:r>
          </w:p>
        </w:tc>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Employee Elected)</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Mijke Zachariasse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51</w:t>
            </w:r>
          </w:p>
        </w:tc>
        <w:tc>
          <w:tcPr>
            <w:tcW w:w="4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Board member (non-independent, Employee Elected)</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Board members:</w:t>
      </w:r>
    </w:p>
    <w:p>
      <w:pPr>
        <w:spacing w:after="0" w:line="221"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Deirdre P. Connelly </w:t>
      </w:r>
      <w:r>
        <w:rPr>
          <w:rFonts w:ascii="Times New Roman" w:cs="Times New Roman" w:eastAsia="Times New Roman" w:hAnsi="Times New Roman"/>
          <w:sz w:val="18"/>
          <w:szCs w:val="18"/>
          <w:color w:val="auto"/>
        </w:rPr>
        <w:t>was elected to the Board in 2017 and currently acts as Chair of the Board and as the Chair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Nominating and Corporate Governance Committee. She is a member of the Audit and Finance Committee and Compensation Committee. Ms. Connelly has more than 30 years’ experience as a corporate leader and board member in publicly traded companies with global operations. She has comprehensive knowledge and experience with business turnaround and product development and has successfully directed the launch of more than 20 new pharmaceutical drugs. As a former HR executive, Ms. Connelly also valuable insight in corporate culture transformation, talent development and managing large organizations. She furthermore has significant experience with the development of governance and ESG responsibilities from various leadership roles and as a board member. Ms. Connelly was formerly the President of North America Pharmaceuticals for GlaxoSmithKline plc from 2009 to 2015 and currently serves on the Board of Directors of the Lincoln Financial Corporation where she is Chair of the Compensation Committee and a member of the Audit Committee, Corporate Governance Committee and Executive Committee. She also serves on the Board of Directors at Macy’s, Inc. where she is Chair of the Nominating and Corporate Governance Committee and a member of the Compensation and Management Development Committee. Prior to her time at GlaxoSmithKline plc, she spent 26 years with Eli Lilly and Company from 1984 to 2009, which included tenures as President of U.S. Operations, Vice President of Human Resources and President of Global Women’s Health. She holds a bachelor’s degree in Economics and Marketing from Lycoming University and is a graduate of Harvard University’s Advanced Management Program.</w:t>
      </w:r>
    </w:p>
    <w:p>
      <w:pPr>
        <w:spacing w:after="0" w:line="19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Pernille Erenbjerg </w:t>
      </w:r>
      <w:r>
        <w:rPr>
          <w:rFonts w:ascii="Times New Roman" w:cs="Times New Roman" w:eastAsia="Times New Roman" w:hAnsi="Times New Roman"/>
          <w:sz w:val="18"/>
          <w:szCs w:val="18"/>
          <w:color w:val="auto"/>
        </w:rPr>
        <w:t>was elected to the Board in 2015 and currently acts as Deputy Chair of the Board, as well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 of the Audit and Finance Committee and as a member of the Nominating and Corporate Governance Committee. Ms. Erenbjerg has significant expertise in the operation and strategic transformation of large and complex companies, including digital transformations and digitally-based innovations. She has been responsible for major transformation processes, including mergers and acquisitions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within complex organizations. Furthermore, she has significant IT and cybersecurity expertise and ESG experience from various executive and non-executive positions. Ms. Erenbjerg has a Certified Public Accountant background (no longer practicing) and a comprehensive background within finance, including significant exposure to public and private equity and debt investors. She is a former CEO and President of TDC Group A/S. Ms. Erenbjerg is an audit committee financial expert based on her professional experience, including her background within accounting, her service in senior finance leadership at TDC Group A/S and as an audit committee chair or member at other public companies. Ms. Erenbjerg previously served as the Group CEO and President of TDC A/S, and, prior to that, served as the Group CFO of the same Company. She currently serves as Chair of KK Wind Solutions. In addition, she is a member of the Board of the RTL Group, where she serves as Chair of the Audit Committee, and a member of the Board of GlobalConnect. She is formerly a partner at Deloitte Touche Tohmatsu Limited and spent 14 years as a Certified Public Accountant (</w:t>
      </w:r>
      <w:r>
        <w:rPr>
          <w:rFonts w:ascii="Times New Roman" w:cs="Times New Roman" w:eastAsia="Times New Roman" w:hAnsi="Times New Roman"/>
          <w:sz w:val="18"/>
          <w:szCs w:val="18"/>
          <w:b w:val="1"/>
          <w:bCs w:val="1"/>
          <w:color w:val="auto"/>
        </w:rPr>
        <w:t>“CPA”</w:t>
      </w:r>
      <w:r>
        <w:rPr>
          <w:rFonts w:ascii="Times New Roman" w:cs="Times New Roman" w:eastAsia="Times New Roman" w:hAnsi="Times New Roman"/>
          <w:sz w:val="18"/>
          <w:szCs w:val="18"/>
          <w:color w:val="auto"/>
        </w:rPr>
        <w:t>) at Arthur Anderson LLP from 1987 to 2002. Ms. Erenbjerg holds a B.S. and an M.Sc. in Economics from Copenhagen Business School.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Anders Gersel Pedersen </w:t>
      </w:r>
      <w:r>
        <w:rPr>
          <w:rFonts w:ascii="Times New Roman" w:cs="Times New Roman" w:eastAsia="Times New Roman" w:hAnsi="Times New Roman"/>
          <w:sz w:val="18"/>
          <w:szCs w:val="18"/>
          <w:color w:val="auto"/>
        </w:rPr>
        <w:t>was elected to the Board in 2003 and currently serves as the Chair of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He also serves on the Nominating and Corporate Governance Committee and the Scientific Committee. Dr. Pedersen currently has more than 30 years’ board and management experience in publicly traded, international pharmaceutical and biotech companies. He has significant knowledge and expertise in discovery and development of the product pipeline from preclinical activities to post-launch marketing studies as well as general business experience. Dr. Pedersen furthermore has significant experience with the global pharmaceutical market, as well as knowledge of governance and the development of ESG responsibilities from both various leadership roles and as a board member. He serves as the Chair of the Board of Aelis Farma S.A.S., and as Deputy Chair of the Board of Bavarian Nordic A/S, where he is also a member of the Finance, Risk and Audit Committee and the Science, Technology &amp; Investment Committee. He is a member of the Board of Hansa Biopharma AB, where he is also Chair of the Scientific Committee and a member of the Remuneration Committee. Additionally, he is a member of the Board of Bond 2 development 2 GP limited and was formerly the Executive Vice President of Research &amp; Development at H. Lundbeck A/S. Dr. Pedersen holds a medical degree and a doctoral degree in neuro-oncology from University of Copenhagen and a B.S. in Business Administration from Copenhagen Business School. He is a member of the ESMO, the American Society of Clinical Oncology, the Danish Society of Medical Oncology, the Danish Society of Internal Medicine and the International Association for the Study of Lung Cancer.</w:t>
      </w:r>
    </w:p>
    <w:p>
      <w:pPr>
        <w:spacing w:after="0" w:line="19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Paolo Paoletti </w:t>
      </w:r>
      <w:r>
        <w:rPr>
          <w:rFonts w:ascii="Times New Roman" w:cs="Times New Roman" w:eastAsia="Times New Roman" w:hAnsi="Times New Roman"/>
          <w:sz w:val="18"/>
          <w:szCs w:val="18"/>
          <w:color w:val="auto"/>
        </w:rPr>
        <w:t>was elected to the Board in 2015 and currently serves as the Chair of the Scientific Committee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Compensation Committee. Dr. Paoletti has significant experience in research, development and commercialization in the pharmaceutical industry, where he has been responsible of the development of several globally-approved medicines and the related global commercial strategies. As an executive, he has led cross-functional teams in the development and registration of medicines and has been responsible for all compliance aspects for the R&amp;D organization. Dr. Paoletti has successfully conducted submissions and approvals of new cancer drugs and new indications in the U.S. and in Europe. He furthermore has significant experience with governance from various leadership roles, including as a board member. Dr. Paoletti served as President of Oncology at GlaxoSmithKline plc and in various roles at Eli Lilly and Company, including Vice President of Oncology Research. Prior to its acquisition by Takeda, Dr. Paoletti was the CEO of GammaDelta Therapeutics Limited. He is currently a member of the Investment Committee for Apollo Therapeutics Limited and a scientific advisor for 3B Future Health Fund. He was formerly the CEO of Kesios Therapeutics Ltd. from 2015 to 2017 and previously served as a member of the Board of NuCana BioMed Ltd and Psioxus Therapeutics Ltd (renamed Akamis Bio). Dr. Paoletti holds a medical degree from the University of Pisa.</w:t>
      </w:r>
    </w:p>
    <w:p>
      <w:pPr>
        <w:spacing w:after="0" w:line="18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Rolf Hoffmann </w:t>
      </w:r>
      <w:r>
        <w:rPr>
          <w:rFonts w:ascii="Times New Roman" w:cs="Times New Roman" w:eastAsia="Times New Roman" w:hAnsi="Times New Roman"/>
          <w:sz w:val="18"/>
          <w:szCs w:val="18"/>
          <w:color w:val="auto"/>
        </w:rPr>
        <w:t>was elected to the Board in 2017 and is a member of the Audit and Finance Committee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Committee. Mr. Hoffmann has more than 30 years’ experience in senior management and as a board member in the life science industry worldwide. He has significant expertise in creating and optimizing commercial opportunities in global markets and has managed large, global companies. Mr. Hoffmann furthermore has knowledge and experience with governance, compliance and organizational efficiency from various management positions as well as a board member. Mr. Hoffmann has held a variety of sales and marketing and executive management positions at Eli Lilly and Company from 1987 to 2004 and served at Amgen Inc. from 2004 to 2016 and is a former Senior Vice President, International Commercial Operations and former Senior Vice President, U.S. Commercial Operations with Amgen. Mr. Hoffmann is currently an adjunct professor of Strategy and Entrepreneurship at the University of North Carolina Business School. He is a member of the Boards of Semdor Pharma and Sun Pharmaceutical Industries Ltd. He holds an M.A. in English from the University of Cologne, an MA in Kinesiology from Deutsche Sporthochschule Köln in Cologne, Germany and an MBA from the University of North Carolina at Chapel Hill.</w:t>
      </w:r>
    </w:p>
    <w:p>
      <w:pPr>
        <w:spacing w:after="0" w:line="19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Elizabeth O’Farrell </w:t>
      </w:r>
      <w:r>
        <w:rPr>
          <w:rFonts w:ascii="Times New Roman" w:cs="Times New Roman" w:eastAsia="Times New Roman" w:hAnsi="Times New Roman"/>
          <w:sz w:val="18"/>
          <w:szCs w:val="18"/>
          <w:color w:val="auto"/>
        </w:rPr>
        <w:t>was elected to the Board in 2022 and is a member of the Audit and Finance Committee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Ms. O’Farrell has solid financial experience from her 25-year career in finance leadership roles and as a board member. During her career, she has led multiple strategy, planning and resource allocation processes in multiple roles and in cross-functional teams. Ms. O’Farrell has significant knowledge and expertise with enacting change in enterprises. In addition to experience at Price Waterhouse and Whipple &amp; Company Corporation, Ms. O’Farrell held various executive management positions at Eli Lilly and Company, including as former Chief Procurement Officer. Ms. O’Farrell is an audit committee financial expert based on her professional experience, including her service in senior finance leadership positions at Eli Lilly and as an audit committee chair or member at other public companies. She is Chair of the Board of PDL BioPharma where she is also Chair of the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Committee and a member of the Audit Committee and the Cost Committee. She is a member of the Board of Geron Corporation where she is Chair of the Audit Committee and a member of the Strategic Committee. She is also a member of the Boards of LENSAR and Karius and she is the Chair of the Audit Committee for both. Ms. O’Farrell holds a degree in accounting as well as an MBA in Management Information Systems from Indiana University, Bloomington and has also served in roles at Price Waterhouse and Whipple &amp; Company Corporation.</w:t>
      </w:r>
    </w:p>
    <w:p>
      <w:pPr>
        <w:spacing w:after="0" w:line="17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Takahiro Hamatani </w:t>
      </w:r>
      <w:r>
        <w:rPr>
          <w:rFonts w:ascii="Times New Roman" w:cs="Times New Roman" w:eastAsia="Times New Roman" w:hAnsi="Times New Roman"/>
          <w:sz w:val="18"/>
          <w:szCs w:val="18"/>
          <w:color w:val="auto"/>
        </w:rPr>
        <w:t>was elected to the Board in 2022. Mr. Hamatani joined Genmab in 2020 and currently serves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Director, Finance Japan. Mr. Hamatani has over 20 years’ experience in the pharmaceutical industry in various roles including finance, sales, marketing and corporate strategy. He has significant expertise in strategic business planning and finance business partnering as well as experience in successful product launches, geographical expansions, and business development deals. He previously worked in International Operations at Takeda supporting commercial operations in North and South Americas and is a Certified Public Accountant in the US. Mr. Hamatani has 24 years of working experience with multiple global pharmaceutical companies including Novartis, Gilead Sciences and Takeda. Mr. Hamatani holds a B.A. in Economics from The University of Tokyo and an MBA from Hitotsubashi ICS. He is also a U.S. CPA.</w:t>
      </w:r>
    </w:p>
    <w:p>
      <w:pPr>
        <w:spacing w:after="0" w:line="185"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Martin Schultz </w:t>
      </w:r>
      <w:r>
        <w:rPr>
          <w:rFonts w:ascii="Times New Roman" w:cs="Times New Roman" w:eastAsia="Times New Roman" w:hAnsi="Times New Roman"/>
          <w:sz w:val="18"/>
          <w:szCs w:val="18"/>
          <w:color w:val="auto"/>
        </w:rPr>
        <w:t>was elected to the Board in 2022. Mr. Schultz joined Genmab in 2005 and currently serves as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Head of Development Business Partnership &amp; Strategy at Genmab. Mr. Schultz has broad experience within clinical project management with a substantial understanding and knowledge of research and development. He furthermore has specific expertise in project management, strategic sourcing, vendor collaboration, contract and budget governance. For the past several years he has functioned as Clinical Project Leader and has overseen clinical trial budgets across Genmab’s clinical trials. He has also been a member of Genmab’s employee representatives’ group for over 10 years.</w:t>
      </w:r>
    </w:p>
    <w:p>
      <w:pPr>
        <w:spacing w:after="0" w:line="18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Mijke Zachariasse </w:t>
      </w:r>
      <w:r>
        <w:rPr>
          <w:rFonts w:ascii="Times New Roman" w:cs="Times New Roman" w:eastAsia="Times New Roman" w:hAnsi="Times New Roman"/>
          <w:sz w:val="18"/>
          <w:szCs w:val="18"/>
          <w:color w:val="auto"/>
        </w:rPr>
        <w:t>was elected to the Board in 2019. Dr. Zachariasse joined us in 2017 and currently serves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Head of Antibody Research Materials. Dr. Zachariasse has broad experience in people and business management and expertise in the research funding landscape, operational excellence and organizational strategy and change. Prior to joining us, from 2010 to 2017, she was a Research Policy Advisor/Head of the Research Support Office at Utrecht University. From 2008 to 2010, Dr. Zachariasse was Managing Director of the Leiden Institute of Physics.</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Dr. Zachariasse served as a Programme Officer at the Foundation for Fundamental Research on Matter from 2002 to 2008.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She received her Doctorate in Physics from the Technical University of Eindhoven in 2002.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Management</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of the members of our Executive Management, including their respective ages and their positions as of the date of this Annual Report on Form 20-F. The business address of these members of our Executive Management is our registered office address at c/o Genmab A/S, Carl Jacobsens Vej 30, 2500 Valby, Denmark. Only Jan G. J. van de Winkel and Anthony Pagano are registered with the Danish Business Authority as members of executive management, or registered managers, within the meaning of the Danish Companies Act (“</w:t>
      </w:r>
      <w:r>
        <w:rPr>
          <w:rFonts w:ascii="Times New Roman" w:cs="Times New Roman" w:eastAsia="Times New Roman" w:hAnsi="Times New Roman"/>
          <w:sz w:val="18"/>
          <w:szCs w:val="18"/>
          <w:b w:val="1"/>
          <w:bCs w:val="1"/>
          <w:color w:val="auto"/>
        </w:rPr>
        <w:t>DCA</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Name of Member of Executive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Age</w:t>
            </w:r>
          </w:p>
        </w:tc>
        <w:tc>
          <w:tcPr>
            <w:tcW w:w="240" w:type="dxa"/>
            <w:vAlign w:val="bottom"/>
          </w:tcPr>
          <w:p>
            <w:pPr>
              <w:spacing w:after="0"/>
              <w:rPr>
                <w:sz w:val="18"/>
                <w:szCs w:val="18"/>
                <w:color w:val="auto"/>
              </w:rPr>
            </w:pPr>
          </w:p>
        </w:tc>
        <w:tc>
          <w:tcPr>
            <w:tcW w:w="482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231F20"/>
              </w:rPr>
              <w:t>Position(s)</w:t>
            </w:r>
          </w:p>
        </w:tc>
        <w:tc>
          <w:tcPr>
            <w:tcW w:w="0" w:type="dxa"/>
            <w:vAlign w:val="bottom"/>
          </w:tcPr>
          <w:p>
            <w:pPr>
              <w:spacing w:after="0"/>
              <w:rPr>
                <w:sz w:val="1"/>
                <w:szCs w:val="1"/>
                <w:color w:val="auto"/>
              </w:rPr>
            </w:pPr>
          </w:p>
        </w:tc>
      </w:tr>
      <w:tr>
        <w:trPr>
          <w:trHeight w:val="13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8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Jan G. J. van de Winkel</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63</w:t>
            </w:r>
          </w:p>
        </w:tc>
        <w:tc>
          <w:tcPr>
            <w:tcW w:w="24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President and Chief Executive Officer (“</w:t>
            </w:r>
            <w:r>
              <w:rPr>
                <w:rFonts w:ascii="Times New Roman" w:cs="Times New Roman" w:eastAsia="Times New Roman" w:hAnsi="Times New Roman"/>
                <w:sz w:val="18"/>
                <w:szCs w:val="18"/>
                <w:b w:val="1"/>
                <w:bCs w:val="1"/>
                <w:color w:val="231F20"/>
              </w:rPr>
              <w:t>CEO</w:t>
            </w: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Anthony Pagano</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47</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Financial Officer</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Judith Klimovsky</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68</w:t>
            </w:r>
          </w:p>
        </w:tc>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Development Officer</w:t>
            </w:r>
          </w:p>
        </w:tc>
        <w:tc>
          <w:tcPr>
            <w:tcW w:w="0" w:type="dxa"/>
            <w:vAlign w:val="bottom"/>
          </w:tcPr>
          <w:p>
            <w:pPr>
              <w:spacing w:after="0"/>
              <w:rPr>
                <w:sz w:val="1"/>
                <w:szCs w:val="1"/>
                <w:color w:val="auto"/>
              </w:rPr>
            </w:pPr>
          </w:p>
        </w:tc>
      </w:tr>
      <w:tr>
        <w:trPr>
          <w:trHeight w:val="198"/>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Tahamtan Ahmadi</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52</w:t>
            </w:r>
          </w:p>
        </w:tc>
        <w:tc>
          <w:tcPr>
            <w:tcW w:w="506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231F20"/>
              </w:rPr>
              <w:t>Executive Vice President and Chief Medical Officer, Head of</w:t>
            </w:r>
          </w:p>
        </w:tc>
        <w:tc>
          <w:tcPr>
            <w:tcW w:w="0" w:type="dxa"/>
            <w:vAlign w:val="bottom"/>
          </w:tcPr>
          <w:p>
            <w:pPr>
              <w:spacing w:after="0"/>
              <w:rPr>
                <w:sz w:val="1"/>
                <w:szCs w:val="1"/>
                <w:color w:val="auto"/>
              </w:rPr>
            </w:pPr>
          </w:p>
        </w:tc>
      </w:tr>
      <w:tr>
        <w:trPr>
          <w:trHeight w:val="126"/>
        </w:trPr>
        <w:tc>
          <w:tcPr>
            <w:tcW w:w="33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231F20"/>
              </w:rPr>
              <w:t>Experimental Medicines</w:t>
            </w:r>
          </w:p>
        </w:tc>
        <w:tc>
          <w:tcPr>
            <w:tcW w:w="0" w:type="dxa"/>
            <w:vAlign w:val="bottom"/>
          </w:tcPr>
          <w:p>
            <w:pPr>
              <w:spacing w:after="0"/>
              <w:rPr>
                <w:sz w:val="1"/>
                <w:szCs w:val="1"/>
                <w:color w:val="auto"/>
              </w:rPr>
            </w:pPr>
          </w:p>
        </w:tc>
      </w:tr>
      <w:tr>
        <w:trPr>
          <w:trHeight w:val="108"/>
        </w:trPr>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EEBFE"/>
          </w:tcPr>
          <w:p>
            <w:pPr>
              <w:spacing w:after="0"/>
              <w:rPr>
                <w:sz w:val="20"/>
                <w:szCs w:val="20"/>
                <w:color w:val="auto"/>
              </w:rPr>
            </w:pPr>
            <w:r>
              <w:rPr>
                <w:rFonts w:ascii="Times New Roman" w:cs="Times New Roman" w:eastAsia="Times New Roman" w:hAnsi="Times New Roman"/>
                <w:sz w:val="18"/>
                <w:szCs w:val="18"/>
                <w:color w:val="231F20"/>
              </w:rPr>
              <w:t>Birgitte Stephensen</w:t>
            </w:r>
          </w:p>
        </w:tc>
        <w:tc>
          <w:tcPr>
            <w:tcW w:w="460" w:type="dxa"/>
            <w:vAlign w:val="bottom"/>
            <w:shd w:val="clear" w:color="auto" w:fill="CEEBFE"/>
          </w:tcPr>
          <w:p>
            <w:pPr>
              <w:jc w:val="center"/>
              <w:spacing w:after="0"/>
              <w:rPr>
                <w:sz w:val="20"/>
                <w:szCs w:val="20"/>
                <w:color w:val="auto"/>
              </w:rPr>
            </w:pPr>
            <w:r>
              <w:rPr>
                <w:rFonts w:ascii="Times New Roman" w:cs="Times New Roman" w:eastAsia="Times New Roman" w:hAnsi="Times New Roman"/>
                <w:sz w:val="18"/>
                <w:szCs w:val="18"/>
                <w:color w:val="231F20"/>
                <w:w w:val="99"/>
              </w:rPr>
              <w:t>64</w:t>
            </w:r>
          </w:p>
        </w:tc>
        <w:tc>
          <w:tcPr>
            <w:tcW w:w="5060" w:type="dxa"/>
            <w:vAlign w:val="bottom"/>
            <w:gridSpan w:val="2"/>
            <w:shd w:val="clear" w:color="auto" w:fill="CEEBFE"/>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Legal Officer</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Christopher Cozic</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47</w:t>
            </w: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People Officer</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EEBFE"/>
          </w:tcPr>
          <w:p>
            <w:pPr>
              <w:spacing w:after="0"/>
              <w:rPr>
                <w:sz w:val="20"/>
                <w:szCs w:val="20"/>
                <w:color w:val="auto"/>
              </w:rPr>
            </w:pPr>
            <w:r>
              <w:rPr>
                <w:rFonts w:ascii="Times New Roman" w:cs="Times New Roman" w:eastAsia="Times New Roman" w:hAnsi="Times New Roman"/>
                <w:sz w:val="18"/>
                <w:szCs w:val="18"/>
                <w:color w:val="231F20"/>
              </w:rPr>
              <w:t>Martine J. van Vugt</w:t>
            </w:r>
          </w:p>
        </w:tc>
        <w:tc>
          <w:tcPr>
            <w:tcW w:w="460" w:type="dxa"/>
            <w:vAlign w:val="bottom"/>
            <w:shd w:val="clear" w:color="auto" w:fill="CEEBFE"/>
          </w:tcPr>
          <w:p>
            <w:pPr>
              <w:jc w:val="center"/>
              <w:spacing w:after="0"/>
              <w:rPr>
                <w:sz w:val="20"/>
                <w:szCs w:val="20"/>
                <w:color w:val="auto"/>
              </w:rPr>
            </w:pPr>
            <w:r>
              <w:rPr>
                <w:rFonts w:ascii="Times New Roman" w:cs="Times New Roman" w:eastAsia="Times New Roman" w:hAnsi="Times New Roman"/>
                <w:sz w:val="18"/>
                <w:szCs w:val="18"/>
                <w:color w:val="231F20"/>
                <w:w w:val="99"/>
              </w:rPr>
              <w:t>54</w:t>
            </w:r>
          </w:p>
        </w:tc>
        <w:tc>
          <w:tcPr>
            <w:tcW w:w="5060" w:type="dxa"/>
            <w:vAlign w:val="bottom"/>
            <w:gridSpan w:val="2"/>
            <w:shd w:val="clear" w:color="auto" w:fill="CEEBFE"/>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Strategy Officer</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Rayne Waller*</w:t>
            </w:r>
          </w:p>
        </w:tc>
        <w:tc>
          <w:tcPr>
            <w:tcW w:w="460" w:type="dxa"/>
            <w:vAlign w:val="bottom"/>
          </w:tcPr>
          <w:p>
            <w:pPr>
              <w:spacing w:after="0"/>
              <w:rPr>
                <w:sz w:val="18"/>
                <w:szCs w:val="18"/>
                <w:color w:val="auto"/>
              </w:rPr>
            </w:pPr>
          </w:p>
        </w:tc>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Technical Operations Officer</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EEBFE"/>
          </w:tcPr>
          <w:p>
            <w:pPr>
              <w:spacing w:after="0"/>
              <w:rPr>
                <w:sz w:val="20"/>
                <w:szCs w:val="20"/>
                <w:color w:val="auto"/>
              </w:rPr>
            </w:pPr>
            <w:r>
              <w:rPr>
                <w:rFonts w:ascii="Times New Roman" w:cs="Times New Roman" w:eastAsia="Times New Roman" w:hAnsi="Times New Roman"/>
                <w:sz w:val="18"/>
                <w:szCs w:val="18"/>
                <w:color w:val="231F20"/>
              </w:rPr>
              <w:t>Brad Bailey*</w:t>
            </w:r>
          </w:p>
        </w:tc>
        <w:tc>
          <w:tcPr>
            <w:tcW w:w="460" w:type="dxa"/>
            <w:vAlign w:val="bottom"/>
            <w:shd w:val="clear" w:color="auto" w:fill="CEEBFE"/>
          </w:tcPr>
          <w:p>
            <w:pPr>
              <w:jc w:val="center"/>
              <w:spacing w:after="0"/>
              <w:rPr>
                <w:sz w:val="20"/>
                <w:szCs w:val="20"/>
                <w:color w:val="auto"/>
              </w:rPr>
            </w:pPr>
            <w:r>
              <w:rPr>
                <w:rFonts w:ascii="Times New Roman" w:cs="Times New Roman" w:eastAsia="Times New Roman" w:hAnsi="Times New Roman"/>
                <w:sz w:val="18"/>
                <w:szCs w:val="18"/>
                <w:color w:val="231F20"/>
                <w:w w:val="99"/>
              </w:rPr>
              <w:t>57</w:t>
            </w:r>
          </w:p>
        </w:tc>
        <w:tc>
          <w:tcPr>
            <w:tcW w:w="5060" w:type="dxa"/>
            <w:vAlign w:val="bottom"/>
            <w:gridSpan w:val="2"/>
            <w:shd w:val="clear" w:color="auto" w:fill="CEEBFE"/>
          </w:tcPr>
          <w:p>
            <w:pPr>
              <w:ind w:left="240"/>
              <w:spacing w:after="0"/>
              <w:rPr>
                <w:sz w:val="20"/>
                <w:szCs w:val="20"/>
                <w:color w:val="auto"/>
              </w:rPr>
            </w:pPr>
            <w:r>
              <w:rPr>
                <w:rFonts w:ascii="Times New Roman" w:cs="Times New Roman" w:eastAsia="Times New Roman" w:hAnsi="Times New Roman"/>
                <w:sz w:val="18"/>
                <w:szCs w:val="18"/>
                <w:color w:val="231F20"/>
              </w:rPr>
              <w:t>Executive Vice President and Chief Commercial Officer</w:t>
            </w:r>
          </w:p>
        </w:tc>
        <w:tc>
          <w:tcPr>
            <w:tcW w:w="0" w:type="dxa"/>
            <w:vAlign w:val="bottom"/>
          </w:tcPr>
          <w:p>
            <w:pPr>
              <w:spacing w:after="0"/>
              <w:rPr>
                <w:sz w:val="1"/>
                <w:szCs w:val="1"/>
                <w:color w:val="auto"/>
              </w:rPr>
            </w:pPr>
          </w:p>
        </w:tc>
      </w:tr>
    </w:tbl>
    <w:p>
      <w:pPr>
        <w:ind w:left="60" w:right="279" w:hanging="10"/>
        <w:spacing w:after="0" w:line="245" w:lineRule="auto"/>
        <w:tabs>
          <w:tab w:leader="none" w:pos="138" w:val="left"/>
        </w:tabs>
        <w:numPr>
          <w:ilvl w:val="0"/>
          <w:numId w:val="36"/>
        </w:numPr>
        <w:rPr>
          <w:rFonts w:ascii="Arial" w:cs="Arial" w:eastAsia="Arial" w:hAnsi="Arial"/>
          <w:sz w:val="12"/>
          <w:szCs w:val="12"/>
          <w:color w:val="auto"/>
        </w:rPr>
      </w:pPr>
      <w:r>
        <w:rPr>
          <w:rFonts w:ascii="Arial" w:cs="Arial" w:eastAsia="Arial" w:hAnsi="Arial"/>
          <w:sz w:val="12"/>
          <w:szCs w:val="12"/>
          <w:color w:val="auto"/>
        </w:rPr>
        <w:t>– Brad Bailey and Rayne Waller were appointed Executive Vice President and Chief Commercial Officer, and Executive Vice President and Chief Technical Operations Officer, respectively, and members of the Executive Management in August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Management.</w:t>
      </w:r>
    </w:p>
    <w:p>
      <w:pPr>
        <w:spacing w:after="0" w:line="221" w:lineRule="exact"/>
        <w:rPr>
          <w:sz w:val="20"/>
          <w:szCs w:val="20"/>
          <w:color w:val="auto"/>
        </w:rPr>
      </w:pPr>
    </w:p>
    <w:p>
      <w:pPr>
        <w:ind w:left="60" w:right="9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Jan G. J. van de Winkel </w:t>
      </w:r>
      <w:r>
        <w:rPr>
          <w:rFonts w:ascii="Times New Roman" w:cs="Times New Roman" w:eastAsia="Times New Roman" w:hAnsi="Times New Roman"/>
          <w:sz w:val="18"/>
          <w:szCs w:val="18"/>
          <w:color w:val="auto"/>
        </w:rPr>
        <w:t>is our co-founder and served as President, Research &amp; Development and Chief Scientific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Company until his appointment as President &amp; Chief Executive Officer in 2010. Dr. van de Winkel served as Vice President and Scientific Director of Medarex Europe prior to founding Genmab. Dr. van de Winkel holds a professorship of immunotherapy at Utrecht University. He holds an M.Sc. and a Ph.D. from the Radboud University of Nijmegen in the Netherlands.</w:t>
      </w:r>
    </w:p>
    <w:p>
      <w:pPr>
        <w:spacing w:after="0" w:line="179"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Anthony Pagano </w:t>
      </w:r>
      <w:r>
        <w:rPr>
          <w:rFonts w:ascii="Times New Roman" w:cs="Times New Roman" w:eastAsia="Times New Roman" w:hAnsi="Times New Roman"/>
          <w:sz w:val="18"/>
          <w:szCs w:val="18"/>
          <w:color w:val="auto"/>
        </w:rPr>
        <w:t>joined Genmab in 2007. His positions increased in seniority during his tenure with us and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serves as our Executive Vice President and Chief Financial Officer. Prior to joining us, Mr. Pagano was Corporate Controller and Senior Director of Business Planning at NovaDel Pharma, Inc. from 2005 to 2007, a publicly-traded specialty pharmaceutical company. He previously worked as a Manager at KPMG LLP from 1999 to 2005. He is a CPA and received a B.S. in Accounting from The College of New Jersey, as well as an MBA from the Stern School of Business at New York University.</w:t>
      </w:r>
    </w:p>
    <w:p>
      <w:pPr>
        <w:spacing w:after="0" w:line="182" w:lineRule="exact"/>
        <w:rPr>
          <w:sz w:val="20"/>
          <w:szCs w:val="20"/>
          <w:color w:val="auto"/>
        </w:rPr>
      </w:pPr>
    </w:p>
    <w:p>
      <w:pPr>
        <w:ind w:left="60" w:right="11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Judith Klimovsky </w:t>
      </w:r>
      <w:r>
        <w:rPr>
          <w:rFonts w:ascii="Times New Roman" w:cs="Times New Roman" w:eastAsia="Times New Roman" w:hAnsi="Times New Roman"/>
          <w:sz w:val="18"/>
          <w:szCs w:val="18"/>
          <w:color w:val="auto"/>
        </w:rPr>
        <w:t>joined us in 2017 and currently serves as the Executive Vice President and Chief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She worked previously as a drug developer and has more than 20 years of experience in research and development leadership roles at BMS and Novartis. Dr. Klimovsky is also a medical doctor who has worked as a clinician in hospital environments. Prior to joining us, she held various positions at Novartis Pharma AG from 2009 to 2017, including Senior Vice President, Head of Clinical Development. Dr. Klimovsky is a member of the Board of Bio-Techne. She holds a medical degree from the Universidad de Buenos Aires in Argentina.</w:t>
      </w:r>
    </w:p>
    <w:p>
      <w:pPr>
        <w:spacing w:after="0" w:line="18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Tahamtan Ahmadi </w:t>
      </w:r>
      <w:r>
        <w:rPr>
          <w:rFonts w:ascii="Times New Roman" w:cs="Times New Roman" w:eastAsia="Times New Roman" w:hAnsi="Times New Roman"/>
          <w:sz w:val="18"/>
          <w:szCs w:val="18"/>
          <w:color w:val="auto"/>
        </w:rPr>
        <w:t>joined us in 2017 and became the Executive Vice President and Chief Medical Officer,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Experimental Medicines effective March 1, 2021. Prior to that, Dr. Ahmadi was 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 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pacing w:after="0" w:line="185"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Birgitte Stephensen </w:t>
      </w:r>
      <w:r>
        <w:rPr>
          <w:rFonts w:ascii="Times New Roman" w:cs="Times New Roman" w:eastAsia="Times New Roman" w:hAnsi="Times New Roman"/>
          <w:sz w:val="18"/>
          <w:szCs w:val="18"/>
          <w:color w:val="auto"/>
        </w:rPr>
        <w:t>joined us in 2002 and was appointed Executive Vice President and Chief Legal Officer in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Stephensen has experience in both private practice and industry working with legal and intellectual property matters within the pharmaceutical and biotechnology fields. Prior to joining us, Ms. Stephensen worked in a patent law firm from 1988 to 1997 and was with the patent department of Novo Nordisk A/S from 1997 to 2002. Ms. Stephensen qualified as a European patent attorney in 1994. She earned an M.Sc. from the School of Pharmaceutical Sciences at the University of Copenhagen.</w:t>
      </w:r>
    </w:p>
    <w:p>
      <w:pPr>
        <w:spacing w:after="0" w:line="182" w:lineRule="exact"/>
        <w:rPr>
          <w:sz w:val="20"/>
          <w:szCs w:val="20"/>
          <w:color w:val="auto"/>
        </w:rPr>
      </w:pPr>
    </w:p>
    <w:p>
      <w:pPr>
        <w:ind w:left="60" w:right="99" w:firstLine="32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Christopher Cozic </w:t>
      </w:r>
      <w:r>
        <w:rPr>
          <w:rFonts w:ascii="Times New Roman" w:cs="Times New Roman" w:eastAsia="Times New Roman" w:hAnsi="Times New Roman"/>
          <w:sz w:val="17"/>
          <w:szCs w:val="17"/>
          <w:color w:val="auto"/>
        </w:rPr>
        <w:t>joined Genmab in 2017 and was appointed Executive Vice President and Chief People Officer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Prior to joining Genmab, Mr. Cozic was Vice President of Human Resources at Ipsen from 2014 to 2017. Previously, he spent over eight years at Eisai, where he served as Director, Global Human Resources, after joining the company in 2006. He received his B.A. in English and Communications from Quinnipiac University and also attained Professional in Human Resources, Senior Professional in Human Resources, and Global Professional in Human Resources certifications.</w:t>
      </w:r>
    </w:p>
    <w:p>
      <w:pPr>
        <w:spacing w:after="0" w:line="164" w:lineRule="exact"/>
        <w:rPr>
          <w:sz w:val="20"/>
          <w:szCs w:val="20"/>
          <w:color w:val="auto"/>
        </w:rPr>
      </w:pPr>
    </w:p>
    <w:p>
      <w:pPr>
        <w:ind w:left="60" w:right="139"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Martine J. van Vugt </w:t>
      </w:r>
      <w:r>
        <w:rPr>
          <w:rFonts w:ascii="Times New Roman" w:cs="Times New Roman" w:eastAsia="Times New Roman" w:hAnsi="Times New Roman"/>
          <w:sz w:val="18"/>
          <w:szCs w:val="18"/>
          <w:color w:val="auto"/>
        </w:rPr>
        <w:t>started her professional career with us in 2001 and was appointed Executive Vice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Strategy Officer in 2023 and is currently responsible for Corporate Strategy, Corporate Development, Business Development and Licensing &amp; Alliance Management. She has been active in business development operations since 2011. From 1998 until joining us in 2001, she studied dendritic cell vaccination therapy as a post-doctoral fellow. Dr. van Vugt holds an M.Sc. from the University of Wageningen and a Ph.D. from Utrecht University.</w:t>
      </w:r>
    </w:p>
    <w:p>
      <w:pPr>
        <w:spacing w:after="0" w:line="179" w:lineRule="exact"/>
        <w:rPr>
          <w:sz w:val="20"/>
          <w:szCs w:val="20"/>
          <w:color w:val="auto"/>
        </w:rPr>
      </w:pPr>
    </w:p>
    <w:p>
      <w:pPr>
        <w:ind w:left="60" w:right="859"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Rayne Waller </w:t>
      </w:r>
      <w:r>
        <w:rPr>
          <w:rFonts w:ascii="Times New Roman" w:cs="Times New Roman" w:eastAsia="Times New Roman" w:hAnsi="Times New Roman"/>
          <w:sz w:val="17"/>
          <w:szCs w:val="17"/>
          <w:color w:val="auto"/>
        </w:rPr>
        <w:t>joined Genmab in 2024 as Executive Vice President and Chief Technical Operations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responsible for all elements of technical operations from early-to-mid-stage product development through global</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manufacturing of both clinical and commercial products. Prior to joining Genmab, Mr. Waller served as Chief Operating Officer at Capsida Biotherapeutics, with responsibility for all aspects of technical operations as well as program management, human resources, and information technology. Prior to Capsida Biotherapeutics, Mr. Waller spent 27 years at Amgen in roles of increasing responsibility across manufacturing and supply chain Management. These roles included Vice President and site head of Amgen Manufacturing Limited in Puerto Rico, Vice President of European site operations, and Vice President of Global Supply Chain Management with responsibility for contract manufacturing, global supply management, alliance management, operations strategic planning, and risk management. Mr. Waller holds a Bachelor of Science degree in Business Administration from the University of Arizona.</w:t>
      </w:r>
    </w:p>
    <w:p>
      <w:pPr>
        <w:spacing w:after="0" w:line="188" w:lineRule="exact"/>
        <w:rPr>
          <w:sz w:val="20"/>
          <w:szCs w:val="20"/>
          <w:color w:val="auto"/>
        </w:rPr>
      </w:pPr>
    </w:p>
    <w:p>
      <w:pPr>
        <w:ind w:left="60" w:right="319"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Brad Bailey </w:t>
      </w:r>
      <w:r>
        <w:rPr>
          <w:rFonts w:ascii="Times New Roman" w:cs="Times New Roman" w:eastAsia="Times New Roman" w:hAnsi="Times New Roman"/>
          <w:sz w:val="18"/>
          <w:szCs w:val="18"/>
          <w:color w:val="auto"/>
        </w:rPr>
        <w:t>joined Genmab in 2020 and became Executive Vice President and Chief Commercial Officer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19, 2024. Mr. Bailey leads Genmab’s commercial organization globally and is responsible for driving growth across the company’s portfolio and delivering its antibody-based medicines to patients. In his prior role as Senior Vice President and General Manager Genmab’s United States operations, Mr. Bailey established the company’s commercial organization in the US and led the launches of Genmab’s first two marketed medicines. With more than 25 years in the healthcare industry, Mr. Bailey has extensive experience in strategic and operational commercial leadership roles across specialty biopharma, oncology, immunology, and other serious diseases in the US and around the world. He holds a Bachelor of Science in Business Administration from Clemson University.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9" w:lineRule="exact"/>
        <w:rPr>
          <w:sz w:val="20"/>
          <w:szCs w:val="20"/>
          <w:color w:val="auto"/>
        </w:rPr>
      </w:pPr>
    </w:p>
    <w:p>
      <w:pPr>
        <w:ind w:left="60" w:right="239" w:firstLine="324"/>
        <w:spacing w:after="0" w:line="277" w:lineRule="auto"/>
        <w:rPr>
          <w:sz w:val="20"/>
          <w:szCs w:val="20"/>
          <w:color w:val="auto"/>
        </w:rPr>
      </w:pPr>
      <w:r>
        <w:rPr>
          <w:rFonts w:ascii="Times New Roman" w:cs="Times New Roman" w:eastAsia="Times New Roman" w:hAnsi="Times New Roman"/>
          <w:sz w:val="17"/>
          <w:szCs w:val="17"/>
          <w:color w:val="auto"/>
        </w:rPr>
        <w:t>Remuneration to the Board includes base board fees, committee fees, and share-based compensation. No member of 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 Remuneration to Executive Management includes base salary, defined contribution plans, share-based compensation, annual cash bonuses, and other benefits.</w:t>
      </w:r>
    </w:p>
    <w:p>
      <w:pPr>
        <w:spacing w:after="0" w:line="16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See Note 5.1 to our Audited Financial Statements included in our Annual Report 2024 for details on compensation of our directors in connection with their membership to the Board and our Executive Management in connection with their employment with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Certain Executive Management Agreements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Remuneration given to each member of Executive Management, in accordance with their service agreements consists of a base salary, a cash bonus, and RSUs. The maximum bonus opportunity for Dr. van de Winkel is in accordance with the Remuneration Policy and as recommended by the Compensation Committee and approved by the Board in a range of 0 to 150 percent of his annual base salary. The maximum bonus opportunity for other members of our Executive Management is conditional upon the recommendation of the CEO, in an amount between 0 and 90 percent of the individual’s annual base salary, in accordance with the Remuneration Policy and as recommended by the Compensation Committee and approved by the Board; however, any bonus in excess of 100 percent of base salary for Dr. van de Winkel and 60 percent of base salary for other members of our Executive Management will be deferred into RSUs subject to three years’ vesting in accordance with Genmab’s Remuneration Policy. Each member of Executive Management qualifies for all of our benefit programs, including retirement plans.</w:t>
      </w:r>
    </w:p>
    <w:p>
      <w:pPr>
        <w:spacing w:after="0" w:line="194"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Each member of Executive Management can terminate their employment with us by giving a six-month notice. We can terminate their employment with us by giving them a 12-month notice. In the event that we terminate the service agreements without cause, we will be obliged to pay the then existing salary (including all benefits set forth in their respective service agreements) to Dr. van de Winkel for two years, and to other members of Executive Management for one year, after the end of the 12-month notice period.</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the event of a termination by us without cause in connection with a change in control (as defined in the individuals’ service agreements), the notice period will be extended up to 24 months in the first year after the change of control. In addition, we will pay an additional two years of then current salary (including all benefits set forth in his service agreement) to Dr. van de Winkel, and an additional year of then current salary (including all benefits set forth in their respective service agreements) to each other member of Executive Management. Dr. van de Winkel will also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receive an amount equal to two times the highest total bonus awarded to him, and other members of Executive Management will each receive an amount equal to the highest total bonus awarded to them, in any year during the term of their respective employment, in each case payable in a lump sum payment on the individual’s last working day.</w:t>
      </w:r>
    </w:p>
    <w:p>
      <w:pPr>
        <w:spacing w:after="0" w:line="176"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Other than as set out above, no member of Executive Management is entitled to any kind of remuneration upon termination of employment. We have not granted any loans, issued any guarantees or undertaken any other obligations to do so on behalf of any member of our Executive Management.</w:t>
      </w:r>
    </w:p>
    <w:p>
      <w:pPr>
        <w:spacing w:after="0" w:line="174" w:lineRule="exact"/>
        <w:rPr>
          <w:sz w:val="20"/>
          <w:szCs w:val="20"/>
          <w:color w:val="auto"/>
        </w:rPr>
      </w:pPr>
    </w:p>
    <w:p>
      <w:pPr>
        <w:ind w:left="60" w:right="99"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further details on the terms and conditions of the warrants, see </w:t>
      </w:r>
      <w:r>
        <w:rPr>
          <w:rFonts w:ascii="Times New Roman" w:cs="Times New Roman" w:eastAsia="Times New Roman" w:hAnsi="Times New Roman"/>
          <w:sz w:val="18"/>
          <w:szCs w:val="18"/>
          <w:i w:val="1"/>
          <w:iCs w:val="1"/>
          <w:color w:val="auto"/>
        </w:rPr>
        <w:t>“—Warrant Program”</w:t>
      </w:r>
      <w:r>
        <w:rPr>
          <w:rFonts w:ascii="Times New Roman" w:cs="Times New Roman" w:eastAsia="Times New Roman" w:hAnsi="Times New Roman"/>
          <w:sz w:val="18"/>
          <w:szCs w:val="18"/>
          <w:color w:val="auto"/>
        </w:rPr>
        <w:t xml:space="preserve"> below. For further details on the terms and conditions of the RSUs, see </w:t>
      </w:r>
      <w:r>
        <w:rPr>
          <w:rFonts w:ascii="Times New Roman" w:cs="Times New Roman" w:eastAsia="Times New Roman" w:hAnsi="Times New Roman"/>
          <w:sz w:val="18"/>
          <w:szCs w:val="18"/>
          <w:i w:val="1"/>
          <w:iCs w:val="1"/>
          <w:color w:val="auto"/>
        </w:rPr>
        <w:t>“—Restricted Stock Unit Program”</w:t>
      </w:r>
      <w:r>
        <w:rPr>
          <w:rFonts w:ascii="Times New Roman" w:cs="Times New Roman" w:eastAsia="Times New Roman" w:hAnsi="Times New Roman"/>
          <w:sz w:val="18"/>
          <w:szCs w:val="18"/>
          <w:color w:val="auto"/>
        </w:rPr>
        <w:t xml:space="preserve"> below.</w:t>
      </w:r>
    </w:p>
    <w:p>
      <w:pPr>
        <w:spacing w:after="0" w:line="160"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Other than as set out above, no exceptional or extraordinary agreements, including agreements regarding bonus schemes, other than ordinary incentive schemes and remuneration of the Executive Management implying financial obligations for us, have been concluded with members of our Executive Management.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Program</w:t>
      </w:r>
    </w:p>
    <w:p>
      <w:pPr>
        <w:spacing w:after="0" w:line="22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have established a warrant program (“</w:t>
      </w:r>
      <w:r>
        <w:rPr>
          <w:rFonts w:ascii="Times New Roman" w:cs="Times New Roman" w:eastAsia="Times New Roman" w:hAnsi="Times New Roman"/>
          <w:sz w:val="18"/>
          <w:szCs w:val="18"/>
          <w:b w:val="1"/>
          <w:bCs w:val="1"/>
          <w:color w:val="auto"/>
        </w:rPr>
        <w:t>Warrant Program</w:t>
      </w:r>
      <w:r>
        <w:rPr>
          <w:rFonts w:ascii="Times New Roman" w:cs="Times New Roman" w:eastAsia="Times New Roman" w:hAnsi="Times New Roman"/>
          <w:sz w:val="18"/>
          <w:szCs w:val="18"/>
          <w:color w:val="auto"/>
        </w:rPr>
        <w:t>”) as an incentive for our employees. Warrants are granted by the Board in accordance with authorizations given to it by our shareholders. Warrant grants are subject to the relevant terms of our articles of association and, if applicable, the Remuneration Policy or any incentive guidelines or remuneration principles adopted by the shareholders at the general meeting preceding the Remuneration Policy.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w:t>
      </w:r>
    </w:p>
    <w:p>
      <w:pPr>
        <w:spacing w:after="0" w:line="187"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See Note 4.6 to our Audited Financial Statements included in our Annual Report 2024 for more details of our warrant program, our outstanding warrants and a summary of the holders of such warrants as of December 31,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Compensation</w:t>
      </w:r>
    </w:p>
    <w:p>
      <w:pPr>
        <w:spacing w:after="0" w:line="227"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During 2024, no members of Executive Management were granted warrants by our Board. Following an amendment to the Remuneration Policy at our 2023 Annual General Meeting, members of Executive Management and members of the Board may only be granted RSUs.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Program</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an RSU program as an incentive for all our employees, members of Executive Management and members of the Board. RSUs are granted and performance vesting criteria, if any, are decided by the Board in its sole discretion. RSUs granted to members of Executive Management and members of the Board are subject to the Remuneration Policy or any incentive guidelines or remuneration principles adopted by the shareholders at the general meeting preceding the Remuneration Policy.</w:t>
      </w:r>
    </w:p>
    <w:p>
      <w:pPr>
        <w:spacing w:after="0" w:line="183"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See Note 4.6 to our Audited Financial Statements included in our Annual Report 2024 for more details of our RSU program, our outstanding RSUs and a summary of the holders of such RSUs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 Compensation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2024, our Board granted the following RSUs to members of our Board and our Executive Management:</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Board Member or Executive</w:t>
            </w:r>
          </w:p>
        </w:tc>
        <w:tc>
          <w:tcPr>
            <w:tcW w:w="2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 Price at Date of</w:t>
            </w:r>
          </w:p>
        </w:tc>
      </w:tr>
      <w:tr>
        <w:trPr>
          <w:trHeight w:val="215"/>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 Position</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 Date</w:t>
            </w:r>
          </w:p>
        </w:tc>
        <w:tc>
          <w:tcPr>
            <w:tcW w:w="14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7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Grant (DKK)</w:t>
            </w:r>
          </w:p>
        </w:tc>
      </w:tr>
      <w:tr>
        <w:trPr>
          <w:trHeight w:val="18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Deirdre P. Connelly,</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w:t>
            </w:r>
          </w:p>
        </w:tc>
        <w:tc>
          <w:tcPr>
            <w:tcW w:w="2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Pernille Erenbjerg,</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Deputy Chair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Anders Gersel Pedersen,</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2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Paolo Paoletti,</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Rolf Hoffmann,</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2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Elizabeth O'Farrell,</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Member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Mijke Zachariasse,</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Elected Member</w:t>
            </w:r>
          </w:p>
        </w:tc>
        <w:tc>
          <w:tcPr>
            <w:tcW w:w="2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Martin Schultz,</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Elected Member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Takahiro Hamatani,</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13,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Elected Member</w:t>
            </w:r>
          </w:p>
        </w:tc>
        <w:tc>
          <w:tcPr>
            <w:tcW w:w="2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 van de Winkel,</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28,408</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Anthony Pagano,</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13,329</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2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Anthony Mancini,</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14,827</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Operating Officer*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Judith Klimovsky,</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15,285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Development Officer</w:t>
            </w:r>
          </w:p>
        </w:tc>
        <w:tc>
          <w:tcPr>
            <w:tcW w:w="2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Tahamtan Ahmadi,</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14,440</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Birgitte Stephensen,</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Legal Officer</w:t>
            </w:r>
          </w:p>
        </w:tc>
        <w:tc>
          <w:tcPr>
            <w:tcW w:w="2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Cozic,</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People Officer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Martine J. van Vugt,</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Strategy Officer</w:t>
            </w:r>
          </w:p>
        </w:tc>
        <w:tc>
          <w:tcPr>
            <w:tcW w:w="2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Rayne Waller,</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26, 2024</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8,160</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Technical Operations Officer**</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 Bailey,</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26, 2024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2,510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Commercial Officer**</w:t>
            </w:r>
          </w:p>
        </w:tc>
        <w:tc>
          <w:tcPr>
            <w:tcW w:w="2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2"/>
          <w:szCs w:val="12"/>
          <w:color w:val="auto"/>
        </w:rPr>
        <w:t>* – Anthony Mancini stepped down as Chief Operating Officer in August 2024.</w:t>
      </w:r>
    </w:p>
    <w:p>
      <w:pPr>
        <w:spacing w:after="0" w:line="7" w:lineRule="exact"/>
        <w:rPr>
          <w:sz w:val="20"/>
          <w:szCs w:val="20"/>
          <w:color w:val="auto"/>
        </w:rPr>
      </w:pPr>
    </w:p>
    <w:p>
      <w:pPr>
        <w:ind w:left="60" w:right="239" w:hanging="10"/>
        <w:spacing w:after="0" w:line="241" w:lineRule="auto"/>
        <w:tabs>
          <w:tab w:leader="none" w:pos="183" w:val="left"/>
        </w:tabs>
        <w:numPr>
          <w:ilvl w:val="0"/>
          <w:numId w:val="37"/>
        </w:numPr>
        <w:rPr>
          <w:rFonts w:ascii="Arial" w:cs="Arial" w:eastAsia="Arial" w:hAnsi="Arial"/>
          <w:sz w:val="12"/>
          <w:szCs w:val="12"/>
          <w:color w:val="auto"/>
        </w:rPr>
      </w:pPr>
      <w:r>
        <w:rPr>
          <w:rFonts w:ascii="Arial" w:cs="Arial" w:eastAsia="Arial" w:hAnsi="Arial"/>
          <w:sz w:val="12"/>
          <w:szCs w:val="12"/>
          <w:color w:val="auto"/>
        </w:rPr>
        <w:t>– Brad Bailey and Rayne Waller were appointed Executive Vice President and Chief Commercial Officer, and Executive Vice President and Chief Technical Operations Officer, respectively, and members of the Executive Management in August 2024.</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and Discharge of Liability</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According to the DCA, shareholders, at the general meeting, are permitted to discharge our Board members and registered managers from liability for any particular financial year based on a resolution relating to the period covered by the Audited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our Board members and registered managers with directors’ and officers’ liability insurance, and have, similar to other Danish larger companies, implemented an indemnification scheme adopted during the 2024 Annual General Meeting that, in certain cases, covers the liability that Board members, registered managers and/or managerial employees may incur while acting in their capacities as such.</w:t>
      </w:r>
    </w:p>
    <w:p>
      <w:pPr>
        <w:spacing w:after="0" w:line="18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We have not granted any loans, guarantees, or other commitments to or on behalf of any members of our Board of Directors or Executive Management.</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Employment Agreement and Warrant Grants</w:t>
      </w:r>
    </w:p>
    <w:p>
      <w:pPr>
        <w:spacing w:after="0" w:line="229" w:lineRule="exact"/>
        <w:rPr>
          <w:sz w:val="20"/>
          <w:szCs w:val="20"/>
          <w:color w:val="auto"/>
        </w:rPr>
      </w:pPr>
    </w:p>
    <w:p>
      <w:pPr>
        <w:jc w:val="both"/>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and issued RSUs and warrants to, our Executive Management. See </w:t>
      </w:r>
      <w:r>
        <w:rPr>
          <w:rFonts w:ascii="Times New Roman" w:cs="Times New Roman" w:eastAsia="Times New Roman" w:hAnsi="Times New Roman"/>
          <w:sz w:val="18"/>
          <w:szCs w:val="18"/>
          <w:i w:val="1"/>
          <w:iCs w:val="1"/>
          <w:color w:val="auto"/>
        </w:rPr>
        <w:t>“—Compensation—Certain Executive Management Agreements”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“—Compensation—Warrant Program”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“—Compensation—Restricted Stock Unit Program” </w:t>
      </w:r>
      <w:r>
        <w:rPr>
          <w:rFonts w:ascii="Times New Roman" w:cs="Times New Roman" w:eastAsia="Times New Roman" w:hAnsi="Times New Roman"/>
          <w:sz w:val="18"/>
          <w:szCs w:val="18"/>
          <w:color w:val="auto"/>
        </w:rPr>
        <w:t>for more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Board plays an active role in setting our strategies and goals and monitoring our operations and results. Board duties include establishing policies for strategy, accounting, organization and finance 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spacing w:after="0" w:line="183"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The Board performs its duties in accordance with the rules of procedure of the Board. The rules of procedure are reviewed and updated by all members of the Board on a regular basis. The Board meets for at least eight scheduled face-to-face, telephonic, videoconference or Teams meetings during the year. During 2024, the Board held 10 meetings in addition to the informal ongoing communication between Board members and our CEO. Our Board may consist of between three and nine Shareholder Elected Members, elected for terms of one year, with the possibility of re-election. In addition, our employees may, pursuant to Danish statutory rules regarding the representation of employees on the Board of Directors and election regulations adopted by the Board, elect employee representatives to the Board, for terms of three years, with possibility of re-election. The employees of the Company have adopted a voluntary program which allows for election of employee representatives from the Company’s directly and indirectly owned subsidiaries. Currently, the Board has three Employee Elected Members, Takahiro Hamatani, Mijke Zachariasse, and Martin Schultz. In total, our Board currently consists of nine Board members (including six Shareholder Elected Members and three Employee Elected Members). The Board elects a chair and deputy chair from among its members. The majority of our Board members are considered to be independent under the corporate governance standards of the Nasdaq Stock Market and Nasdaq Copenhagen.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 Appointments</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Registered managers are appointed by the Board, which sets out the terms and conditions of their employment and the framework for their duties. Registered managers are responsible for our day-to-day management, including all assignments that rest upon them according to the Board and under Danish law, in compliance with the guidelines and directions issued by the Board. Management of our day-to-day operations does not include transactions of an unusual nature or of significant importance, or transactions being outside our business plan, which must be authorized by the Board. Non-registered managers are appointed by the CEO in consultation with the Board of Directors.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Board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meetings. Under Danish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corporate law, it is not possible to delegate the decision-making authority of the entire Board to board committees. Written charters specifying the tasks and responsibilities for each of the committees have been adopted by the Board.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Audit and Finance Committee</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According to the Audit and Finance Committee charter, the Audit and Finance Committee must consist of at least three non-executive Board members, all of whom must be independent. Furthermore, the Chair of the Board shall not be Chair of the Audit and Finance Committee. As of the date of this Annual Report on Form 20-F, the Audit and Finance Committee consists of members Rolf Hoffmann, Elizabeth O’Farrell and Deirdre P. Connelly and is chaired by Pernille Erenbjerg. The Audit and Finance Committee assists the Board with the oversight of the financial and sustainability reporting process, the effectiveness of internal controls over financial and sustainability reporting and risk management, the independent audit process and compliance with legal and regulatory requirements, in accordance with the Audit and Finance Committee charter. Each member of the Audit and Finance Committee satisfies the independence requirements of the corporate governance standards of the Nasdaq Stock Market, and both Pernille Erenbjerg and Elizabeth O’Farrell qualify as “audit committee financial experts,” as defined in Nasdaq Rule 5605(c)(2)(A) and Item 407(d)(5)(ii) of Regulation S-K of the SEC and as determined by our Board.</w:t>
      </w:r>
    </w:p>
    <w:p>
      <w:pPr>
        <w:spacing w:after="0" w:line="19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Our Audit and Finance Committee oversees our accounting and financial reporting processes and the audits of our consolidated financial statements. Our Audit and Finance Committee has the following principal responsibilities:</w:t>
      </w:r>
    </w:p>
    <w:p>
      <w:pPr>
        <w:spacing w:after="0" w:line="162" w:lineRule="exact"/>
        <w:rPr>
          <w:sz w:val="20"/>
          <w:szCs w:val="20"/>
          <w:color w:val="auto"/>
        </w:rPr>
      </w:pPr>
    </w:p>
    <w:p>
      <w:pPr>
        <w:ind w:left="1040" w:right="25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financial and sustainability reporting principles and process to ensure compliance with legal and regulatory requirements and the quality, transparency and integrity of the published financial and sustainability information;</w:t>
      </w:r>
    </w:p>
    <w:p>
      <w:pPr>
        <w:spacing w:after="0" w:line="175"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appropriateness and effectiveness of our internal controls over financial and sustainability reporting and risk management system and evaluating the need for an internal audit;</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5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our audits and assurances of the Company and the independent registered accounting firm and assurances processes, including recommending the appointment of the independent financial and sustainability auditors and overseeing the annual assessment of their performance and qualifications, preapproving, and overseeing all audit and non-audit services and, to the extent permitted by applicable law, being directly responsible for the appointment, retention and compensation of the independent auditors in connection with audit, review or attestation services;</w:t>
      </w:r>
    </w:p>
    <w:p>
      <w:pPr>
        <w:spacing w:after="0" w:line="187"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operation of the Company’s internal audit function, including approving the internal audit charter, the staffing and organizational structure of the internal audit function, and monitoring management’s responsiveness to the internal auditors’ findings and recommendations, including follow-ups;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considering the independence of the independent financial and sustainability auditors and any potential conflicts of interest, including by (a) ensuring receipt from the independent financial and sustainability auditors of a formal written statement delineating all relationships between the independent financial and sustainability auditors and the Company, (b) actively engaging in dialogue with the independent financial and sustainability auditors with respect to factors that may impact the independent financial and sustainability auditors’ objectivity and independence, and (c) taking, or recommending that the Board takes, appropriate action to oversee auditor independence;</w:t>
      </w:r>
    </w:p>
    <w:p>
      <w:pPr>
        <w:spacing w:after="0" w:line="188" w:lineRule="exact"/>
        <w:rPr>
          <w:rFonts w:ascii="Times New Roman" w:cs="Times New Roman" w:eastAsia="Times New Roman" w:hAnsi="Times New Roman"/>
          <w:sz w:val="18"/>
          <w:szCs w:val="18"/>
          <w:color w:val="auto"/>
        </w:rPr>
      </w:pPr>
    </w:p>
    <w:p>
      <w:pPr>
        <w:ind w:left="1040" w:right="31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ensuring that significant adjustments, unadjusted differences, disagreements between management and the independent financial auditors and management responses thereto are discussed with the independent auditors and resolving disagreements between management and the independent auditors;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13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assessing transactions between the Company and the Company’s related parties and, in respect of material related party transactions, submitting a recommendation for approval or </w:t>
      </w:r>
      <w:r>
        <w:rPr>
          <w:rFonts w:ascii="Times New Roman" w:cs="Times New Roman" w:eastAsia="Times New Roman" w:hAnsi="Times New Roman"/>
          <w:sz w:val="18"/>
          <w:szCs w:val="18"/>
          <w:color w:val="000000"/>
        </w:rPr>
        <w:t>non-approval of such transactions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Board prior to their completion;</w:t>
      </w:r>
    </w:p>
    <w:p>
      <w:pPr>
        <w:spacing w:after="0" w:line="175" w:lineRule="exact"/>
        <w:rPr>
          <w:rFonts w:ascii="Times New Roman" w:cs="Times New Roman" w:eastAsia="Times New Roman" w:hAnsi="Times New Roman"/>
          <w:sz w:val="18"/>
          <w:szCs w:val="18"/>
          <w:color w:val="auto"/>
        </w:rPr>
      </w:pPr>
    </w:p>
    <w:p>
      <w:pPr>
        <w:ind w:left="1040" w:right="239" w:hanging="315"/>
        <w:spacing w:after="0" w:line="258"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the Company’s IT systems, processes and data and periodically (but no less than annually), at its discretion, reviewing and assessing with Management (including the Head Internal Auditor and Chief Information Officer), the adequacy of security for the Company’s IT systems, processes and data and the Company’s contingency plans in the event of a breakdown or security breach affecting the Company’s IT systems, and data or the IT systems;</w:t>
      </w:r>
    </w:p>
    <w:p>
      <w:pPr>
        <w:spacing w:after="0" w:line="183"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compliance with legal and regulatory requirements in relation to financial and sustainability reporting and auditing and assurance regulation;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authority to obtain advice and assistance from independent counsel and other advisors;</w:t>
      </w:r>
    </w:p>
    <w:p>
      <w:pPr>
        <w:spacing w:after="0" w:line="225" w:lineRule="exact"/>
        <w:rPr>
          <w:rFonts w:ascii="Times New Roman" w:cs="Times New Roman" w:eastAsia="Times New Roman" w:hAnsi="Times New Roman"/>
          <w:sz w:val="18"/>
          <w:szCs w:val="18"/>
          <w:color w:val="auto"/>
        </w:rPr>
      </w:pPr>
    </w:p>
    <w:p>
      <w:pPr>
        <w:jc w:val="both"/>
        <w:ind w:left="1040" w:right="21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obtaining appropriate funding, as determined by the Audit and Finance Committee, for compensation to the independent financial and sustainability auditors and to any advisors that the Audit and Finance Committee chooses to engage;</w:t>
      </w:r>
    </w:p>
    <w:p>
      <w:pPr>
        <w:spacing w:after="0" w:line="175" w:lineRule="exact"/>
        <w:rPr>
          <w:rFonts w:ascii="Times New Roman" w:cs="Times New Roman" w:eastAsia="Times New Roman" w:hAnsi="Times New Roman"/>
          <w:sz w:val="18"/>
          <w:szCs w:val="18"/>
          <w:color w:val="auto"/>
        </w:rPr>
      </w:pPr>
    </w:p>
    <w:p>
      <w:pPr>
        <w:jc w:val="both"/>
        <w:ind w:left="1040" w:right="219" w:hanging="315"/>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monitoring the whistleblower function, including establishment of procedures for the receipt, retention and treatment of any complaints, including confidential anonymous submissions from our employees regarding accounting, auditing and internal control issues received through a formalized complaint process, as well as review of such complaints; and</w:t>
      </w:r>
    </w:p>
    <w:p>
      <w:pPr>
        <w:spacing w:after="0" w:line="179" w:lineRule="exact"/>
        <w:rPr>
          <w:rFonts w:ascii="Times New Roman" w:cs="Times New Roman" w:eastAsia="Times New Roman" w:hAnsi="Times New Roman"/>
          <w:sz w:val="18"/>
          <w:szCs w:val="18"/>
          <w:color w:val="auto"/>
        </w:rPr>
      </w:pPr>
    </w:p>
    <w:p>
      <w:pPr>
        <w:jc w:val="both"/>
        <w:ind w:left="1040" w:right="159" w:hanging="315"/>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evaluating its own performance and the achievement of its duties on a regular basis, and annually reviewing and updating the Audit and Finance Committee charter and discussing any required changes thereto with the Board.</w:t>
      </w:r>
    </w:p>
    <w:p>
      <w:pPr>
        <w:spacing w:after="0" w:line="176"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Audit and Finance Committee also performs such other functions and exercises such other powers as may be delegated to it by the Board from time to time.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According to its charter, our Compensation Committee must consist of at least three non-executive directors, appointed by the Board. A majority of the members must be independent. As of the date of this Annual Report on Form 20-F, the Compensation Committee consists of members Paolo Paoletti, Elizabeth O’Farrell and Deirdre P. Connelly and is chaired by Anders Gersel Pedersen. Paolo Paoletti, Elizabeth O’Farrell, and Deirdre P. Connelly satisfy the independence requirements of the corporate governance standards of the Nasdaq Stock Market. In accordance with the Danish corporate governance recommendations, we consider Anders Gersel Pedersen non-independent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policy, if adopted by the Board, is subject to the approval of our shareholders at the Annual General Meeting. The Compensation Committee’s primary responsibilities are as follows:</w:t>
      </w:r>
    </w:p>
    <w:p>
      <w:pPr>
        <w:spacing w:after="0" w:line="187" w:lineRule="exact"/>
        <w:rPr>
          <w:sz w:val="20"/>
          <w:szCs w:val="20"/>
          <w:color w:val="auto"/>
        </w:rPr>
      </w:pPr>
    </w:p>
    <w:p>
      <w:pPr>
        <w:jc w:val="both"/>
        <w:ind w:left="1040" w:right="31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trends in compensation and the competitiveness of our executive compensation programs to ensure (a) the attraction and retention of registered managers, (b) the motivation of registered managers to achieve our business objectives, and (c) the alignment of the interests of key leadership with the long-term interests of our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99" w:hanging="315"/>
        <w:spacing w:after="0" w:line="261"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proposals for the approval of the Board prior to approval by shareholders at the general meeting, on the remuneration policy for members of the Board and the registered managers, including the overall principles of incentive pay schemes, compensation structure and long-term incentive compensation plans and a remuneration policy applicable to the Company in general;</w:t>
      </w:r>
    </w:p>
    <w:p>
      <w:pPr>
        <w:spacing w:after="0" w:line="179" w:lineRule="exact"/>
        <w:rPr>
          <w:rFonts w:ascii="Times New Roman" w:cs="Times New Roman" w:eastAsia="Times New Roman" w:hAnsi="Times New Roman"/>
          <w:sz w:val="18"/>
          <w:szCs w:val="18"/>
          <w:color w:val="auto"/>
        </w:rPr>
      </w:pPr>
    </w:p>
    <w:p>
      <w:pPr>
        <w:jc w:val="both"/>
        <w:ind w:left="1040" w:right="299" w:hanging="315"/>
        <w:spacing w:after="0" w:line="266"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goals and objectives of our CEO and evaluating his performance to make recommendations concerning CEO compensation; the CEO may not be present during deliberations or voting concerning the CEO’s compensation;</w:t>
      </w:r>
    </w:p>
    <w:p>
      <w:pPr>
        <w:spacing w:after="0" w:line="175" w:lineRule="exact"/>
        <w:rPr>
          <w:rFonts w:ascii="Times New Roman" w:cs="Times New Roman" w:eastAsia="Times New Roman" w:hAnsi="Times New Roman"/>
          <w:sz w:val="18"/>
          <w:szCs w:val="18"/>
          <w:color w:val="auto"/>
        </w:rPr>
      </w:pPr>
    </w:p>
    <w:p>
      <w:pPr>
        <w:ind w:left="1040" w:right="299" w:hanging="315"/>
        <w:spacing w:after="0" w:line="261"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evaluation of the performance of the Company’s registered managers, and discussing their annual compensation, including salary, bonus, incentive and equity compensation, and the selection of performance measures, the setting of performance targets and the assessment of performance against those targets;</w:t>
      </w:r>
    </w:p>
    <w:p>
      <w:pPr>
        <w:spacing w:after="0" w:line="179"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Company’s policies relating to clawback of incentive awards and confirming that such policies continue to be appropriate;</w:t>
      </w:r>
    </w:p>
    <w:p>
      <w:pPr>
        <w:spacing w:after="0" w:line="16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plans for registered managers’ development and corporate succession plans for registered management;</w:t>
      </w:r>
    </w:p>
    <w:p>
      <w:pPr>
        <w:spacing w:after="0" w:line="161" w:lineRule="exact"/>
        <w:rPr>
          <w:rFonts w:ascii="Times New Roman" w:cs="Times New Roman" w:eastAsia="Times New Roman" w:hAnsi="Times New Roman"/>
          <w:sz w:val="18"/>
          <w:szCs w:val="18"/>
          <w:color w:val="auto"/>
        </w:rPr>
      </w:pPr>
    </w:p>
    <w:p>
      <w:pPr>
        <w:ind w:left="1040" w:right="107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termination and compensation packages for new registered managers as requested by management;</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55"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its sole discretion, retaining, terminating and receiving advice from outside counsel, compensation consultants or other advisors, upon consideration of (i) whether such counsel, consultant or advisor provides other services to the Company and the amount of fees they receive from the Company as a percentage of their total revenue, (ii) the policies of such counsel, consultant or advisor designed to prevent conflicts of interest, (iii) any business or personal relationship of the consultant, counsel or advisor with a member of the Compensation Committee or a member of Executive Management of the Company, and (iv) any ownership of shares in the Company by the consultant, legal counsel or advisor;</w:t>
      </w:r>
    </w:p>
    <w:p>
      <w:pPr>
        <w:spacing w:after="0" w:line="188"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approving the fees of outside counsel, compensation consultants or other advisors, to be appropriately funded by the Company and directly overseeing the work of such counsel, consultants or advisors; and</w:t>
      </w:r>
    </w:p>
    <w:p>
      <w:pPr>
        <w:spacing w:after="0" w:line="161" w:lineRule="exact"/>
        <w:rPr>
          <w:rFonts w:ascii="Times New Roman" w:cs="Times New Roman" w:eastAsia="Times New Roman" w:hAnsi="Times New Roman"/>
          <w:sz w:val="18"/>
          <w:szCs w:val="18"/>
          <w:color w:val="auto"/>
        </w:rPr>
      </w:pPr>
    </w:p>
    <w:p>
      <w:pPr>
        <w:ind w:left="1040" w:right="73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that the information in the annual report on the compensation of the Board and registered managers is correct, true and sufficient.</w:t>
      </w:r>
    </w:p>
    <w:p>
      <w:pPr>
        <w:spacing w:after="0" w:line="162"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also performs such other functions and exercises such other powers as may be delegated to it by the Board from time to time.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According to its charter, our Nominating and Corporate Governance Committee must include at least two non-executive directors, appointed by the Board. A majority of members must be independent. As of the date of this Annual Report on Form 20-F, the Nominating and Corporate Governance Committee consists of members Pernille Erenbjerg and Anders Gersel Pedersen and is chaired by Deirdre P. Connelly. Pernille Erenbjerg and Deirdre P. Connelly satisfy the independence requirements of the corporate governance standards of the Nasdaq Global Select Market. In accordance with the Danish corporate governance recommendations, we consider Anders Gersel Pedersen non-independent solely by virtue of the length of his tenure on our Board, following his election to the Board in 2003. The Nominating and Corporate Governance Committee identifies, reviews, evaluates and recommends to the full Board candidates to serve as directors of the Company and makes recommendations to the Board regarding Board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committee members and corporate governance issues. The Nominating and Corporate Governance Committee’s primary responsibilities include the following:</w:t>
      </w:r>
    </w:p>
    <w:p>
      <w:pPr>
        <w:spacing w:after="0" w:line="162" w:lineRule="exact"/>
        <w:rPr>
          <w:sz w:val="20"/>
          <w:szCs w:val="20"/>
          <w:color w:val="auto"/>
        </w:rPr>
      </w:pPr>
    </w:p>
    <w:p>
      <w:pPr>
        <w:ind w:left="1040" w:right="6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proposing to the full Board policies on the size and composition of the Board, including proposals for specific changes to Board size, composition or internal rules of the Board;</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describing the qualifications required for the Board and the registered managers and for a given position and identifying and recommending qualified candidates to the Board;</w:t>
      </w:r>
    </w:p>
    <w:p>
      <w:pPr>
        <w:spacing w:after="0" w:line="161" w:lineRule="exact"/>
        <w:rPr>
          <w:rFonts w:ascii="Times New Roman" w:cs="Times New Roman" w:eastAsia="Times New Roman" w:hAnsi="Times New Roman"/>
          <w:sz w:val="18"/>
          <w:szCs w:val="18"/>
          <w:color w:val="auto"/>
        </w:rPr>
      </w:pPr>
    </w:p>
    <w:p>
      <w:pPr>
        <w:jc w:val="both"/>
        <w:ind w:left="1040" w:right="119" w:hanging="315"/>
        <w:spacing w:after="0" w:line="266"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evaluating at least annually the skills, knowledge and experience of the individual members of the Board and the registered managers and evaluating, reviewing and considering whether to recommend existing directors for re-election;</w:t>
      </w:r>
    </w:p>
    <w:p>
      <w:pPr>
        <w:spacing w:after="0" w:line="175" w:lineRule="exact"/>
        <w:rPr>
          <w:rFonts w:ascii="Times New Roman" w:cs="Times New Roman" w:eastAsia="Times New Roman" w:hAnsi="Times New Roman"/>
          <w:sz w:val="18"/>
          <w:szCs w:val="18"/>
          <w:color w:val="auto"/>
        </w:rPr>
      </w:pPr>
    </w:p>
    <w:p>
      <w:pPr>
        <w:ind w:left="1040" w:right="239" w:hanging="315"/>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annually ahead of providing a recommendation to the Board on election or reelection of members to the Board, review and assess the board members’ current and planned time commitments outside the Company as well as review the attendance rate and engagement of each board member in the board meetings and relevant board committee meetings during their current term.</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maintaining an orientation and continuing education program for directors;</w:t>
      </w:r>
    </w:p>
    <w:p>
      <w:pPr>
        <w:spacing w:after="0" w:line="225" w:lineRule="exact"/>
        <w:rPr>
          <w:rFonts w:ascii="Times New Roman" w:cs="Times New Roman" w:eastAsia="Times New Roman" w:hAnsi="Times New Roman"/>
          <w:sz w:val="18"/>
          <w:szCs w:val="18"/>
          <w:color w:val="auto"/>
        </w:rPr>
      </w:pPr>
    </w:p>
    <w:p>
      <w:pPr>
        <w:ind w:left="1040" w:right="559" w:hanging="315"/>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establishing a process for the periodic review and assessment of the performance of the Board and its 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spacing w:after="0" w:line="179"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periodically assessing the independence of directors and our corporate governance principles and their application, and recommending any changes deemed appropriate to the Board, including in connection with any proposals submitted by shareholders that relate to corporate governance, corporate social responsibility and ESG matters;</w:t>
      </w:r>
    </w:p>
    <w:p>
      <w:pPr>
        <w:spacing w:after="0" w:line="179"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and reviewing the processes and procedures in place to ensure that the Board and its committees timely receive accurate, relevant and appropriately detailed information;</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adequacy of internal rules of the Board, management and any other codes of ethics with the Board and management;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the preparation and periodic review of a diversity policy for the Board’s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overseeing our policies and practices regarding philanthropic and political activities;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periodically reviewing, discussing and assessing the performance of the committee as well as the adequacy of its charter, and recommending any proposed changes to the Board for approval.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Scientific Committee</w:t>
      </w:r>
    </w:p>
    <w:p>
      <w:pPr>
        <w:spacing w:after="0" w:line="22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According to its charter, the Scientific Committee must include at least three non-executive directors, the majority of whom must be independent, with a broad scientific and medical understanding and experience, appointed by the Board. As of the date of this Annual Report on Form 20-F,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 pipeline in view of our overall strategy and vision. The Scientific Committee’s primary responsibilities include the following: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919" w:hanging="315"/>
        <w:spacing w:after="0" w:line="282" w:lineRule="auto"/>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and discussing our pre-clinical and clinical product portfolio, including the commercial attractiveness and the ranking thereof;</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and discussing our research and development strategy and reviewing scientific and technological trends that we believe are of significant importance and providing strategic advice and making recommendations with respect to our ongoing research and development programs;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providing advice on external opportunities related to our research and development strategy and pipeline;</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discuss and provide advice on the research and development capacity and its organization, including the product development process;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and discussing the Company’s intellectual property strategies.</w:t>
      </w:r>
    </w:p>
    <w:p>
      <w:pPr>
        <w:spacing w:after="0" w:line="22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Employees</w:t>
      </w:r>
    </w:p>
    <w:p>
      <w:pPr>
        <w:spacing w:after="0" w:line="22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As of December 31, 2024, we had 2,682 employees; 519 in Denmark, 792 in the Netherlands, 1,074 in the U.S., 186 in</w:t>
      </w:r>
    </w:p>
    <w:p>
      <w:pPr>
        <w:spacing w:after="0" w:line="3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Japan, and 111 in China. Of these employees, 1,886 were engaged in or supported research and development and 796 were in selling, administrative and business-related positions. Each of our employees has signed confidentiality and inventions assignment agreements or has signed employment agreements containing confidentiality and inventions assignment provisions, and none are covered by a collective bargaining agreement. We have never experienced employment-related work stoppages and consider our employee relations to be good.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7" w:lineRule="exact"/>
        <w:rPr>
          <w:sz w:val="20"/>
          <w:szCs w:val="20"/>
          <w:color w:val="auto"/>
        </w:rPr>
      </w:pPr>
    </w:p>
    <w:p>
      <w:pPr>
        <w:ind w:left="60" w:right="99"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the share ownership of our directors and members of Executive Management, see </w:t>
      </w:r>
      <w:r>
        <w:rPr>
          <w:rFonts w:ascii="Times New Roman" w:cs="Times New Roman" w:eastAsia="Times New Roman" w:hAnsi="Times New Roman"/>
          <w:sz w:val="18"/>
          <w:szCs w:val="18"/>
          <w:i w:val="1"/>
          <w:iCs w:val="1"/>
          <w:color w:val="auto"/>
        </w:rPr>
        <w:t>“Item 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7.A—Major Shareholders.”</w:t>
      </w:r>
    </w:p>
    <w:p>
      <w:pPr>
        <w:spacing w:after="0" w:line="156" w:lineRule="exact"/>
        <w:rPr>
          <w:sz w:val="20"/>
          <w:szCs w:val="20"/>
          <w:color w:val="auto"/>
        </w:rPr>
      </w:pPr>
    </w:p>
    <w:p>
      <w:pPr>
        <w:ind w:left="380" w:right="2279" w:hanging="330"/>
        <w:spacing w:after="0" w:line="500" w:lineRule="auto"/>
        <w:tabs>
          <w:tab w:leader="none" w:pos="329"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shares as of February 12,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1040" w:right="13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equal to or more than 5% of our outstanding shares;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Executive Management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Share Beneficial Ownership</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Fully Diluted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Fully Diluted</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and</w:t>
            </w:r>
          </w:p>
        </w:tc>
        <w:tc>
          <w:tcPr>
            <w:tcW w:w="138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20" w:type="dxa"/>
            <w:vAlign w:val="bottom"/>
            <w:vMerge w:val="continue"/>
          </w:tcPr>
          <w:p>
            <w:pPr>
              <w:spacing w:after="0"/>
              <w:rPr>
                <w:sz w:val="12"/>
                <w:szCs w:val="12"/>
                <w:color w:val="auto"/>
              </w:rPr>
            </w:pPr>
          </w:p>
        </w:tc>
        <w:tc>
          <w:tcPr>
            <w:tcW w:w="14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RSUs to be Settled</w:t>
            </w: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Within 60 days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 Shareholders</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4,513,441</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Board Members and Executive Management</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Deirdre P. Connelly</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Pernille Erenbjerg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Anders Gersel Pedersen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Paolo Paoletti</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Rolf Hoffmann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Elizabeth O’Farrell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Mijke Zachariasse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Martin Schultz</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Takahiro Hamatani</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Jan van de Winkel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630,588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35,581</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666,169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Pagano</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Judith Klimovsky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23,125</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0.05 %</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Tahamtan Ahmadi</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16,947</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21,809</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0" w:type="dxa"/>
            <w:vAlign w:val="bottom"/>
          </w:tcPr>
          <w:p>
            <w:pPr>
              <w:spacing w:after="0"/>
              <w:rPr>
                <w:sz w:val="1"/>
                <w:szCs w:val="1"/>
                <w:color w:val="auto"/>
              </w:rPr>
            </w:pPr>
          </w:p>
        </w:tc>
      </w:tr>
      <w:tr>
        <w:trPr>
          <w:trHeight w:val="202"/>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Birgitte Stephensen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Cozic</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Martine van Vugt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Brad Bailey</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Rayne Waller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Board Members and Executive Management as a</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group (18 persons)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115,811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808,696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80" w:right="179" w:hanging="330"/>
        <w:spacing w:after="0"/>
        <w:tabs>
          <w:tab w:leader="none" w:pos="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information is based solely on the Schedule 13G filed by BlackRock, Inc. on February 2, 2024 with the SEC. BlackRock, Inc. does not have different voting rights from other shareholders.</w:t>
      </w:r>
    </w:p>
    <w:p>
      <w:pPr>
        <w:spacing w:after="0" w:line="18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or member of our Board of Directors or Executive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for which the individual has the right to subscribe within 60 days of February 12, 2025 through the exercise of any options, warrants or other rights. There are 115,811 shares for which our board members and Executive Management as a group have the right to subscribe within 60 days of February 12, 2025 pursuant to the exercise of warrants or settlement of RSUs.</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Subject to applicable community property laws, the persons named in the table have sole voting and investment power with respect to all shares owned by that person. The percentage of shares beneficially owned is computed on the basis of 66,187,186 shares outstanding as of February 12, 2025. Shares for which a person has the right to subscribe within 60 days of February 12, 2025 are deemed outstanding for purposes of computing the percentage ownership of the person holding such rights, but are not deemed outstanding for purposes of computing the percentage ownership of any other person. We conducted our last beneficial ownership analysis as of June 30, 2024 and we estimated that approximately 44%, or 29.2 million (including shares in the form of ADSs), of our outstanding shares as of such date were beneficially held by U.S. residents.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Related-Party Transactions</w:t>
      </w:r>
    </w:p>
    <w:p>
      <w:pPr>
        <w:spacing w:after="0" w:line="229" w:lineRule="exact"/>
        <w:rPr>
          <w:sz w:val="20"/>
          <w:szCs w:val="20"/>
          <w:color w:val="auto"/>
        </w:rPr>
      </w:pPr>
    </w:p>
    <w:p>
      <w:pPr>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In the year ended December 31, 2024, there were no material related party transactions. The Company has employment agreements with, and has made equity compensation grants to, members of Executive Management in the ordinary course of business. The Company also has remuneration packages for members of the Board of Directors. See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“Item 6.B—Compensation”</w:t>
      </w:r>
      <w:r>
        <w:rPr>
          <w:rFonts w:ascii="Times New Roman" w:cs="Times New Roman" w:eastAsia="Times New Roman" w:hAnsi="Times New Roman"/>
          <w:sz w:val="18"/>
          <w:szCs w:val="18"/>
          <w:color w:val="auto"/>
        </w:rPr>
        <w:t>, Note 5.1 and Note 5.2 to our Audited Financial Statements included in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for details on related party transactions.</w:t>
      </w:r>
    </w:p>
    <w:p>
      <w:pPr>
        <w:spacing w:after="0" w:line="156" w:lineRule="exact"/>
        <w:rPr>
          <w:sz w:val="20"/>
          <w:szCs w:val="20"/>
          <w:color w:val="auto"/>
        </w:rPr>
      </w:pPr>
    </w:p>
    <w:p>
      <w:pPr>
        <w:ind w:left="380" w:right="6159" w:hanging="330"/>
        <w:spacing w:after="0" w:line="500" w:lineRule="auto"/>
        <w:tabs>
          <w:tab w:leader="none" w:pos="36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0" w:right="4159" w:hanging="10"/>
        <w:spacing w:after="0" w:line="502" w:lineRule="auto"/>
        <w:tabs>
          <w:tab w:leader="none" w:pos="37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Financial Statements</w:t>
      </w:r>
    </w:p>
    <w:p>
      <w:pPr>
        <w:ind w:left="60" w:right="239"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18—Financial Statements”</w:t>
      </w:r>
      <w:r>
        <w:rPr>
          <w:rFonts w:ascii="Times New Roman" w:cs="Times New Roman" w:eastAsia="Times New Roman" w:hAnsi="Times New Roman"/>
          <w:sz w:val="18"/>
          <w:szCs w:val="18"/>
          <w:color w:val="auto"/>
        </w:rPr>
        <w:t xml:space="preserve"> which contains our Audited Financial Statements prepared in accordance with IFRS Accounting Standards .</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From time to time in the ordinary course of business we may become involved in various lawsuits, claims and 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spacing w:after="0" w:line="16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September 2020, Genmab commenced arbitration against J&amp;J with respect to two different provisions of our license agreement for daratumumab, both relating to royalties payable to Genmab on net sales of daratumumab (marketed as DARZALEX for IV administration and as DARZALEX FASPRO in the U.S. and as DARZALEX SC in Europe for SC administration). In April 2022, the arbitral tribunal issued an award in that arbitration denying both of Genmab’s claims. Genmab did not seek review of the award. On June 9, 2022, Genmab commenced a second arbitration against J&amp;J under the license agreement, in which Genmab sought additional compensation from J&amp;J with respect to SC daratumumab based on Genmab’s position that the award in favor of J&amp;J in the first arbitration was premised on that tribunal’s determination that IV daratumumab and SC daratumumab were separate “Licensed Products” as that term is defined in the license agreement. Genmab’s claim in that second arbitration was denied by the tribunal on April 21, 2023, on the ground that it should have been brought in the first arbitration, and the dismissal was affirmed by an appellate arbitrator on January 23, 2024.</w:t>
      </w:r>
    </w:p>
    <w:p>
      <w:pPr>
        <w:spacing w:after="0" w:line="192" w:lineRule="exact"/>
        <w:rPr>
          <w:sz w:val="20"/>
          <w:szCs w:val="20"/>
          <w:color w:val="auto"/>
        </w:rPr>
      </w:pPr>
    </w:p>
    <w:p>
      <w:pPr>
        <w:ind w:left="60" w:right="619" w:firstLine="369"/>
        <w:spacing w:after="0" w:line="282" w:lineRule="auto"/>
        <w:rPr>
          <w:sz w:val="20"/>
          <w:szCs w:val="20"/>
          <w:color w:val="auto"/>
        </w:rPr>
      </w:pPr>
      <w:r>
        <w:rPr>
          <w:rFonts w:ascii="Times New Roman" w:cs="Times New Roman" w:eastAsia="Times New Roman" w:hAnsi="Times New Roman"/>
          <w:sz w:val="18"/>
          <w:szCs w:val="18"/>
          <w:color w:val="auto"/>
        </w:rPr>
        <w:t>See note 5.7 to our Audited Financial Statements included in our Annual Report 2024 for details on other legal matters.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w:t>
      </w:r>
    </w:p>
    <w:p>
      <w:pPr>
        <w:spacing w:after="0" w:line="179" w:lineRule="exact"/>
        <w:rPr>
          <w:sz w:val="20"/>
          <w:szCs w:val="20"/>
          <w:color w:val="auto"/>
        </w:rPr>
      </w:pPr>
    </w:p>
    <w:p>
      <w:pPr>
        <w:ind w:left="380" w:right="7139" w:hanging="330"/>
        <w:spacing w:after="0" w:line="537" w:lineRule="auto"/>
        <w:tabs>
          <w:tab w:leader="none" w:pos="35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Changes </w:t>
      </w: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Our shares are listed on NASDAQ Copenhagen in Denmark under the symbol “GMAB.” Our ADSs are listed on NASDAQ in the U.S. under the symbol “GMAB.”</w:t>
      </w:r>
    </w:p>
    <w:p>
      <w:pPr>
        <w:spacing w:after="0" w:line="158" w:lineRule="exact"/>
        <w:rPr>
          <w:sz w:val="20"/>
          <w:szCs w:val="20"/>
          <w:color w:val="auto"/>
        </w:rPr>
      </w:pPr>
    </w:p>
    <w:p>
      <w:pPr>
        <w:ind w:left="380" w:right="7139" w:hanging="330"/>
        <w:spacing w:after="0" w:line="530" w:lineRule="auto"/>
        <w:tabs>
          <w:tab w:leader="none" w:pos="356"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shares have been publicly traded since October 2000 and have been listed on NASDAQ Copenhagen in Denmark since that time.</w:t>
      </w:r>
    </w:p>
    <w:p>
      <w:pPr>
        <w:spacing w:after="0" w:line="162"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ADSs representing the shares, as evidenced by ADRs issued by Deutsche Bank Trust Company Americas as the Depository, have been listed on the Nasdaq Global Select Market in the U.S. since July 2019.</w:t>
      </w:r>
    </w:p>
    <w:p>
      <w:pPr>
        <w:spacing w:after="0" w:line="158" w:lineRule="exact"/>
        <w:rPr>
          <w:sz w:val="20"/>
          <w:szCs w:val="20"/>
          <w:color w:val="auto"/>
        </w:rPr>
      </w:pPr>
    </w:p>
    <w:p>
      <w:pPr>
        <w:ind w:left="380" w:right="7079" w:hanging="330"/>
        <w:spacing w:after="0" w:line="530" w:lineRule="auto"/>
        <w:tabs>
          <w:tab w:leader="none" w:pos="366"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80" w:right="7079" w:hanging="330"/>
        <w:spacing w:after="0" w:line="500" w:lineRule="auto"/>
        <w:tabs>
          <w:tab w:leader="none" w:pos="329"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jc w:val="both"/>
        <w:ind w:left="380" w:right="7539" w:hanging="330"/>
        <w:spacing w:after="0" w:line="530" w:lineRule="auto"/>
        <w:tabs>
          <w:tab w:leader="none" w:pos="366"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left="60" w:right="259"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entitled “Description of Share Capital and Certain Corporate Matters—Shareholders’ Register,” “Description of Share Capital and Certain Corporate Matters—Articles of Association and Danish Corporate Law” and “Description of Share Capital and Certain Corporate Matters—Comparison of Danish Corporate Law and our Articles of Association and Delaware Corporate Law” in the Company’s </w:t>
      </w:r>
      <w:hyperlink r:id="rId116">
        <w:r>
          <w:rPr>
            <w:rFonts w:ascii="Times New Roman" w:cs="Times New Roman" w:eastAsia="Times New Roman" w:hAnsi="Times New Roman"/>
            <w:sz w:val="18"/>
            <w:szCs w:val="18"/>
            <w:u w:val="single" w:color="auto"/>
            <w:color w:val="0000EE"/>
          </w:rPr>
          <w:t>prospectus, filed with the SEC on July 19,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are incorporated herein by reference.</w:t>
      </w:r>
    </w:p>
    <w:p>
      <w:pPr>
        <w:spacing w:after="0" w:line="17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Under the Danish foreign direct investment (“</w:t>
      </w:r>
      <w:r>
        <w:rPr>
          <w:rFonts w:ascii="Times New Roman" w:cs="Times New Roman" w:eastAsia="Times New Roman" w:hAnsi="Times New Roman"/>
          <w:sz w:val="18"/>
          <w:szCs w:val="18"/>
          <w:b w:val="1"/>
          <w:bCs w:val="1"/>
          <w:color w:val="auto"/>
        </w:rPr>
        <w:t>FDI</w:t>
      </w:r>
      <w:r>
        <w:rPr>
          <w:rFonts w:ascii="Times New Roman" w:cs="Times New Roman" w:eastAsia="Times New Roman" w:hAnsi="Times New Roman"/>
          <w:sz w:val="18"/>
          <w:szCs w:val="18"/>
          <w:color w:val="auto"/>
        </w:rPr>
        <w:t>”) Rules, a screening mechanism applies to foreign direct or indirect investments in certain sensitive sectors, if the foreign investor obtains at least 10% ownership or voting rights, or equivalent control by other means. Among such sensitive sectors are companies and entities within critical infrastructure in Denmark that are necessary to maintain or restore the production, registration, distribution, and monitoring of prescription drugs. If a contemplated foreign direct or indirect investment in Genmab A/S is considered to fall within the scope of the mandatory screening mechanism, the foreign investor is required to apply for prior authorization with the Danish Business Authority. If a foreign investor fails to comply with the Danish FDI Rules, the Danish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 xml:space="preserve">Authority may impose restrictions,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ordering to reverse the investment or to suspend the foreign investor’s voting rights.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we are not currently party to any material contract, other than contracts entered into in the ordinary course of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Other than the applicable international trade and financial sanctions as outlined below, (i) there are no governmental laws, decrees, or regulations in Denmark (including, but not limited to, foreign exchange controls) that restrict the export or import of capital, or that affect the remittance of dividends, interest or other payments to non-resident holders of the shares or the ADSs, and (ii) there are no limitations on the right of non-resident or foreign owners to hold or vote the shares or the ADSs imposed by the laws of Denmark or the Articles of Association of the Company solely due to the fact that such holders are non-residents or foreign owners.</w:t>
      </w:r>
    </w:p>
    <w:p>
      <w:pPr>
        <w:spacing w:after="0" w:line="18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International trade and financial sanctions are continually evolving. If applicable, such international trade and financial sanctions may under certain circumstances prevent the possibility of export and import of capital, and affect the remittance of dividends, interest and other payments to non-resident holders of shares or ADSs. In addition, international trade and financial sanctions may restrict the right of non-resident or foreign owners to acquire, transfer, hold or vote the shares and ADSs. Failure to comply with international trade and financial sanctions can lead to criminal and civil liability.</w:t>
      </w:r>
    </w:p>
    <w:p>
      <w:pPr>
        <w:spacing w:after="0" w:line="179" w:lineRule="exact"/>
        <w:rPr>
          <w:sz w:val="20"/>
          <w:szCs w:val="20"/>
          <w:color w:val="auto"/>
        </w:rPr>
      </w:pPr>
    </w:p>
    <w:p>
      <w:pPr>
        <w:ind w:left="60" w:right="7619" w:hanging="10"/>
        <w:spacing w:after="0" w:line="532" w:lineRule="auto"/>
        <w:tabs>
          <w:tab w:leader="none" w:pos="357"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Taxation Payment of Taxes</w:t>
      </w:r>
    </w:p>
    <w:p>
      <w:pPr>
        <w:spacing w:after="0" w:line="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Holders will be responsible for any taxes or other governmental charges payable, or which become payable, on their ADSs or on the deposited securities represented by any of their ADSs. The depositary may refuse to register or transfer their ADSs or allow holders to withdraw the deposited securities represented by their ADSs until such taxes or other charges are paid. It may apply payments owed to holders or sell deposited securities represented by their ADSs to pay any taxes owed and holders will remain liable for any deficiency. If the depositary sells deposited securities, it will, if appropriate, reduce the number of ADSs to reflect the sale and pay to holders any net proceeds, or send to holders any property, remaining after it has paid the taxes. Holders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holders. Holders’ obligations under this paragraph shall survive any transfer of ADRs, any surrender of ADRs and withdrawal of deposited securities or the termination of the deposit agreement.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7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Code, and U.S. Treasury regulations promulgated thereunder (“</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as well as judicial and administrative interpretations thereof as in effect as of the date of this Annual Report on Form 20-F. All of the foregoing authorities are subject to change, which change could apply retroactively and could affect the tax consequences described below, and there can be no assurance that the U.S.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U.S. courts will agree with the tax consequences described in this summary. The Company undertakes no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obligation to publicly update or otherwise revise this summary whether as a result of new Treasury Regulations, Code sections, judicial and administrative interpretations or otherwise.</w:t>
      </w:r>
    </w:p>
    <w:p>
      <w:pPr>
        <w:spacing w:after="0" w:line="20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This summary applies only to U.S. Holders (as defined below) that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non-U.S. tax consequences. This summary also does not address the tax considerations that may be relevant to certain types of investors subject to special treatment under U.S. federal income tax laws, such as:</w:t>
      </w:r>
    </w:p>
    <w:p>
      <w:pPr>
        <w:spacing w:after="0" w:line="224" w:lineRule="exact"/>
        <w:rPr>
          <w:sz w:val="20"/>
          <w:szCs w:val="20"/>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or currencies that use a mark-to-market method of accounting;</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1380" w:right="679" w:hanging="331"/>
        <w:spacing w:after="0" w:line="250"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exempt organizations, retirement plans, individual retirement accounts and other tax deferred accounts;</w:t>
      </w:r>
    </w:p>
    <w:p>
      <w:pPr>
        <w:ind w:left="1380" w:right="339" w:hanging="331"/>
        <w:spacing w:after="0" w:line="250"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as part of a straddle, hedging, conversion or integrated transaction for U.S. federal income tax purposes;</w:t>
      </w: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9" w:lineRule="exact"/>
        <w:rPr>
          <w:rFonts w:ascii="Times New Roman" w:cs="Times New Roman" w:eastAsia="Times New Roman" w:hAnsi="Times New Roman"/>
          <w:sz w:val="18"/>
          <w:szCs w:val="18"/>
          <w:color w:val="auto"/>
        </w:rPr>
      </w:pPr>
    </w:p>
    <w:p>
      <w:pPr>
        <w:ind w:left="1380" w:right="319" w:hanging="331"/>
        <w:spacing w:after="0" w:line="250"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or arrangement classified as a partnership for U.S. federal income tax purposes or investors therein;</w:t>
      </w:r>
    </w:p>
    <w:p>
      <w:pPr>
        <w:ind w:left="1380" w:right="159" w:hanging="331"/>
        <w:spacing w:after="0" w:line="250"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directly or constructively, 10% or more of the total combined voting power of all classes of the Company’s voting stock or 10% or more of the total value of shares of all classes of the Company’s stock;</w:t>
      </w:r>
    </w:p>
    <w:p>
      <w:pPr>
        <w:spacing w:after="0" w:line="1" w:lineRule="exact"/>
        <w:rPr>
          <w:rFonts w:ascii="Times New Roman" w:cs="Times New Roman" w:eastAsia="Times New Roman" w:hAnsi="Times New Roman"/>
          <w:sz w:val="18"/>
          <w:szCs w:val="18"/>
          <w:color w:val="auto"/>
        </w:rPr>
      </w:pPr>
    </w:p>
    <w:p>
      <w:pPr>
        <w:ind w:left="1380" w:right="119" w:hanging="331"/>
        <w:spacing w:after="0" w:line="250"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ADSs being taken into account in an applicable financial statement;</w:t>
      </w:r>
    </w:p>
    <w:p>
      <w:pPr>
        <w:ind w:left="1380" w:right="719" w:hanging="331"/>
        <w:spacing w:after="0" w:line="250"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ADSs pursuant to the exercise of an employee stock option or otherwise as compensation; or</w:t>
      </w:r>
    </w:p>
    <w:p>
      <w:pPr>
        <w:ind w:left="1380" w:hanging="331"/>
        <w:spacing w:after="0"/>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ADSs in connection with a trade or business conducted outside the U.S.</w:t>
      </w:r>
    </w:p>
    <w:p>
      <w:pPr>
        <w:spacing w:after="0" w:line="23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224"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the ADSs that is for U.S. federal income tax purposes:</w:t>
      </w:r>
    </w:p>
    <w:p>
      <w:pPr>
        <w:spacing w:after="0" w:line="202" w:lineRule="exact"/>
        <w:rPr>
          <w:sz w:val="20"/>
          <w:szCs w:val="20"/>
          <w:color w:val="auto"/>
        </w:rPr>
      </w:pP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U.S.;</w:t>
      </w:r>
    </w:p>
    <w:p>
      <w:pPr>
        <w:spacing w:after="0" w:line="27" w:lineRule="exact"/>
        <w:rPr>
          <w:rFonts w:ascii="Times New Roman" w:cs="Times New Roman" w:eastAsia="Times New Roman" w:hAnsi="Times New Roman"/>
          <w:sz w:val="18"/>
          <w:szCs w:val="18"/>
          <w:color w:val="auto"/>
        </w:rPr>
      </w:pPr>
    </w:p>
    <w:p>
      <w:pPr>
        <w:ind w:left="1380" w:right="339" w:hanging="331"/>
        <w:spacing w:after="0" w:line="250"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created or organized in or under the laws of the U.S., any state thereof or the District of Columbia;</w:t>
      </w:r>
    </w:p>
    <w:p>
      <w:pPr>
        <w:ind w:left="1380" w:hanging="331"/>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9" w:lineRule="exact"/>
        <w:rPr>
          <w:rFonts w:ascii="Times New Roman" w:cs="Times New Roman" w:eastAsia="Times New Roman" w:hAnsi="Times New Roman"/>
          <w:sz w:val="18"/>
          <w:szCs w:val="18"/>
          <w:color w:val="auto"/>
        </w:rPr>
      </w:pPr>
    </w:p>
    <w:p>
      <w:pPr>
        <w:ind w:left="1380" w:right="279" w:hanging="331"/>
        <w:spacing w:after="0" w:line="255"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U.S. and the control of one or more U.S. persons for all substantial decisions of the trust or (2) has a valid election in effect under applicable Treasury Regulations to be treated as a U.S. person.</w:t>
      </w:r>
    </w:p>
    <w:p>
      <w:pPr>
        <w:spacing w:after="0" w:line="21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tax advisors regarding the specific U.S. federal income tax consequences to them of the acquisition, ownership and disposition of the ADSs.</w:t>
      </w:r>
    </w:p>
    <w:p>
      <w:pPr>
        <w:spacing w:after="0" w:line="202" w:lineRule="exact"/>
        <w:rPr>
          <w:sz w:val="20"/>
          <w:szCs w:val="20"/>
          <w:color w:val="auto"/>
        </w:rPr>
      </w:pPr>
    </w:p>
    <w:p>
      <w:pPr>
        <w:ind w:left="60" w:right="199" w:firstLine="357"/>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56" w:lineRule="exact"/>
        <w:rPr>
          <w:sz w:val="20"/>
          <w:szCs w:val="20"/>
          <w:color w:val="auto"/>
        </w:rPr>
      </w:pPr>
    </w:p>
    <w:p>
      <w:pPr>
        <w:ind w:left="60" w:right="199" w:firstLine="36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U.S. Holders of ADSs generally will be treated as the beneficial owners of the underlying shares represented by the ADSs and an exchange of ADSs for the underlying shares generally will not be subject to U.S. federal income tax.</w:t>
      </w:r>
    </w:p>
    <w:p>
      <w:pPr>
        <w:spacing w:after="0" w:line="216" w:lineRule="exact"/>
        <w:rPr>
          <w:sz w:val="20"/>
          <w:szCs w:val="20"/>
          <w:color w:val="auto"/>
        </w:rPr>
      </w:pPr>
    </w:p>
    <w:p>
      <w:pPr>
        <w:ind w:left="60" w:right="79" w:firstLine="357"/>
        <w:spacing w:after="0" w:line="271" w:lineRule="auto"/>
        <w:rPr>
          <w:sz w:val="20"/>
          <w:szCs w:val="20"/>
          <w:color w:val="auto"/>
        </w:rPr>
      </w:pPr>
      <w:r>
        <w:rPr>
          <w:rFonts w:ascii="Times New Roman" w:cs="Times New Roman" w:eastAsia="Times New Roman" w:hAnsi="Times New Roman"/>
          <w:sz w:val="17"/>
          <w:szCs w:val="17"/>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made by the Company to a</w:t>
      </w:r>
    </w:p>
    <w:p>
      <w:pPr>
        <w:spacing w:after="0" w:line="2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spacing w:after="0" w:line="229" w:lineRule="exact"/>
        <w:rPr>
          <w:sz w:val="20"/>
          <w:szCs w:val="20"/>
          <w:color w:val="auto"/>
        </w:rPr>
      </w:pPr>
    </w:p>
    <w:p>
      <w:pPr>
        <w:ind w:left="60" w:right="59" w:firstLine="357"/>
        <w:spacing w:after="0" w:line="258" w:lineRule="auto"/>
        <w:rPr>
          <w:sz w:val="20"/>
          <w:szCs w:val="20"/>
          <w:color w:val="auto"/>
        </w:rPr>
      </w:pPr>
      <w:r>
        <w:rPr>
          <w:rFonts w:ascii="Times New Roman" w:cs="Times New Roman" w:eastAsia="Times New Roman" w:hAnsi="Times New Roman"/>
          <w:sz w:val="18"/>
          <w:szCs w:val="18"/>
          <w:color w:val="auto"/>
        </w:rPr>
        <w:t>With respect to certain non-corporate U.S. Holders, including individual U.S. Holders, dividends paid on the ADSs may be eligible to be taxed at favorable rates applicable to “qualified dividend income,” provided that (1) the ADSs are readily tradable on an established securities market in the U.S., (2) the Company is not a PFIC (as discussed below) with respect to the relevant U.S. Holder for either its taxable year in which the dividend is paid or the preceding taxable year and (3) certain minimum holding period and other requirements are met.</w:t>
      </w:r>
    </w:p>
    <w:p>
      <w:pPr>
        <w:spacing w:after="0" w:line="224" w:lineRule="exact"/>
        <w:rPr>
          <w:sz w:val="20"/>
          <w:szCs w:val="20"/>
          <w:color w:val="auto"/>
        </w:rPr>
      </w:pPr>
    </w:p>
    <w:p>
      <w:pPr>
        <w:ind w:left="60" w:right="79" w:firstLine="360"/>
        <w:spacing w:after="0" w:line="255"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ADSs representing such shares, are considered to be readily tradable on an established securities market in the U.S. if they are listed on the Nasdaq Global Select Market. Our ADSs are readily tradable on the Nasdaq Global Select Market. However, based on existing guidance, it is unclear whether the shares will be considered to be readily tradable on an established securities market in the U.S., because only the ADSs, and not the underlying shares, are listed on a securities market in the U.S. U.S. Holders should consult their tax advisors regarding the availability of the favorable rate applicable to qualified dividend income for any dividends the Company pays with respect to the ADSs.</w:t>
      </w:r>
    </w:p>
    <w:p>
      <w:pPr>
        <w:spacing w:after="0" w:line="216" w:lineRule="exact"/>
        <w:rPr>
          <w:sz w:val="20"/>
          <w:szCs w:val="20"/>
          <w:color w:val="auto"/>
        </w:rPr>
      </w:pPr>
    </w:p>
    <w:p>
      <w:pPr>
        <w:ind w:left="60" w:right="179" w:firstLine="357"/>
        <w:spacing w:after="0" w:line="261" w:lineRule="auto"/>
        <w:rPr>
          <w:sz w:val="20"/>
          <w:szCs w:val="20"/>
          <w:color w:val="auto"/>
        </w:rPr>
      </w:pPr>
      <w:r>
        <w:rPr>
          <w:rFonts w:ascii="Times New Roman" w:cs="Times New Roman" w:eastAsia="Times New Roman" w:hAnsi="Times New Roman"/>
          <w:sz w:val="18"/>
          <w:szCs w:val="18"/>
          <w:color w:val="auto"/>
        </w:rPr>
        <w:t>The amount of any distribution paid in Danish kroner will be included in a U.S. Holder’s income in an amount equal to the U.S. dollar value of such Danish kroner calculated by reference to the exchange rate in effect on the date the distribution is actually or constructively received by the depository, regardless of whether the payment is in fact converted into U.S. dollars at that time. If the distribution is converted into U.S. dollars on the date of receipt, a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216" w:lineRule="exact"/>
        <w:rPr>
          <w:sz w:val="20"/>
          <w:szCs w:val="20"/>
          <w:color w:val="auto"/>
        </w:rPr>
      </w:pPr>
    </w:p>
    <w:p>
      <w:pPr>
        <w:ind w:left="60" w:right="59" w:firstLine="350"/>
        <w:spacing w:after="0" w:line="252" w:lineRule="auto"/>
        <w:rPr>
          <w:sz w:val="20"/>
          <w:szCs w:val="20"/>
          <w:color w:val="auto"/>
        </w:rPr>
      </w:pPr>
      <w:r>
        <w:rPr>
          <w:rFonts w:ascii="Times New Roman" w:cs="Times New Roman" w:eastAsia="Times New Roman" w:hAnsi="Times New Roman"/>
          <w:sz w:val="18"/>
          <w:szCs w:val="18"/>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those introduced by Treasury Regulations that apply to foreign income taxes paid or accrued in taxable years beginning on or after December 28, 2021), such taxes may be treated as non-U.S. taxes eligible for credit against such U.S. Holder’s U.S. federal income tax liability (to the extent not exceeding the withholding rate applicable to the U.S. Holder). A U.S. Holder’s ability to use a foreign tax credit with respect to any such Danish taxes may not be allowed unless such holder elects benefits under an applicable income tax treaty with respect to such tax. In lieu of claiming a foreign tax credit, U.S. Holders may, at their election, deduct creditable non-U.S. taxes, including any Danish taxes withheld from dividends on the ADSs, in computing their taxable income, subject to generally applicable limitations under U.S. federal income tax law. An election to deduct non-U.S.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 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232" w:lineRule="exact"/>
        <w:rPr>
          <w:sz w:val="20"/>
          <w:szCs w:val="20"/>
          <w:color w:val="auto"/>
        </w:rPr>
      </w:pPr>
    </w:p>
    <w:p>
      <w:pPr>
        <w:ind w:left="60" w:right="139" w:firstLine="357"/>
        <w:spacing w:after="0" w:line="266" w:lineRule="auto"/>
        <w:rPr>
          <w:sz w:val="20"/>
          <w:szCs w:val="20"/>
          <w:color w:val="auto"/>
        </w:rPr>
      </w:pPr>
      <w:r>
        <w:rPr>
          <w:rFonts w:ascii="Times New Roman" w:cs="Times New Roman" w:eastAsia="Times New Roman" w:hAnsi="Times New Roman"/>
          <w:sz w:val="18"/>
          <w:szCs w:val="18"/>
          <w:color w:val="auto"/>
        </w:rPr>
        <w:t>The rules relating to the determination of the U.S. foreign tax credit and the deduction of non-U.S. taxes are complex, and U.S. Holders should consult their tax advisors to determine whether and to what extent a credit or deduction may be available in their particular circumstances.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Taxable Dispositions of the ADSs</w:t>
      </w:r>
    </w:p>
    <w:p>
      <w:pPr>
        <w:spacing w:after="0" w:line="270" w:lineRule="exact"/>
        <w:rPr>
          <w:sz w:val="20"/>
          <w:szCs w:val="20"/>
          <w:color w:val="auto"/>
        </w:rPr>
      </w:pPr>
    </w:p>
    <w:p>
      <w:pPr>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long-term capital gain or loss if the U.S. Holder has held the ADS for more than one year at the time of disposition. For certain non-corporate taxpayers (including individuals), long-term capital gains are subject to tax at favorable rates. The deductibility of capital losses is subject to limitations.</w:t>
      </w:r>
    </w:p>
    <w:p>
      <w:pPr>
        <w:spacing w:after="0" w:line="229" w:lineRule="exact"/>
        <w:rPr>
          <w:sz w:val="20"/>
          <w:szCs w:val="20"/>
          <w:color w:val="auto"/>
        </w:rPr>
      </w:pPr>
    </w:p>
    <w:p>
      <w:pPr>
        <w:ind w:left="60" w:right="219" w:firstLine="350"/>
        <w:spacing w:after="0" w:line="261" w:lineRule="auto"/>
        <w:rPr>
          <w:sz w:val="20"/>
          <w:szCs w:val="20"/>
          <w:color w:val="auto"/>
        </w:rPr>
      </w:pPr>
      <w:r>
        <w:rPr>
          <w:rFonts w:ascii="Times New Roman" w:cs="Times New Roman" w:eastAsia="Times New Roman" w:hAnsi="Times New Roman"/>
          <w:sz w:val="18"/>
          <w:szCs w:val="18"/>
          <w:color w:val="auto"/>
        </w:rPr>
        <w:t>Any gain or loss that a U.S. Holder recognizes on a sale or other taxable disposition of an ADS generally will be treated as U.S. source income or loss for U.S. foreign tax credit limitation purposes. U.S. Holders should consult their tax advisors regarding the proper treatment of any gain or loss in their particular circumstances, including the effects of any applicable income tax treaties.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70" w:lineRule="exact"/>
        <w:rPr>
          <w:sz w:val="20"/>
          <w:szCs w:val="20"/>
          <w:color w:val="auto"/>
        </w:rPr>
      </w:pPr>
    </w:p>
    <w:p>
      <w:pPr>
        <w:ind w:left="60" w:right="99" w:firstLine="360"/>
        <w:spacing w:after="0" w:line="254"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the nature and composition of the Company’s income and assets, the Company does not expect to be a PFIC for our current taxable year ending December 31, 2024, or in the foreseeable future. However,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taxable year ending December 31, 2024, or for any future taxable year. If we are a PFIC for any year during which a U.S. Holder holds 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224" w:lineRule="exact"/>
        <w:rPr>
          <w:sz w:val="20"/>
          <w:szCs w:val="20"/>
          <w:color w:val="auto"/>
        </w:rPr>
      </w:pPr>
    </w:p>
    <w:p>
      <w:pPr>
        <w:ind w:left="60" w:right="279" w:firstLine="350"/>
        <w:spacing w:after="0" w:line="282" w:lineRule="auto"/>
        <w:rPr>
          <w:sz w:val="20"/>
          <w:szCs w:val="20"/>
          <w:color w:val="auto"/>
        </w:rPr>
      </w:pPr>
      <w:r>
        <w:rPr>
          <w:rFonts w:ascii="Times New Roman" w:cs="Times New Roman" w:eastAsia="Times New Roman" w:hAnsi="Times New Roman"/>
          <w:sz w:val="18"/>
          <w:szCs w:val="18"/>
          <w:color w:val="auto"/>
        </w:rPr>
        <w:t>A non-U.S. corporation such as the Company will be treated as a PFIC for U.S. federal income tax purposes for any taxable year if, applying applicable look-through rules, either:</w:t>
      </w:r>
    </w:p>
    <w:p>
      <w:pPr>
        <w:spacing w:after="0" w:line="202" w:lineRule="exact"/>
        <w:rPr>
          <w:sz w:val="20"/>
          <w:szCs w:val="20"/>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for purposes of the PFIC rules; or</w:t>
      </w:r>
    </w:p>
    <w:p>
      <w:pPr>
        <w:spacing w:after="0" w:line="27" w:lineRule="exact"/>
        <w:rPr>
          <w:rFonts w:ascii="Times New Roman" w:cs="Times New Roman" w:eastAsia="Times New Roman" w:hAnsi="Times New Roman"/>
          <w:sz w:val="18"/>
          <w:szCs w:val="18"/>
          <w:color w:val="auto"/>
        </w:rPr>
      </w:pPr>
    </w:p>
    <w:p>
      <w:pPr>
        <w:ind w:left="1380" w:right="279" w:hanging="331"/>
        <w:spacing w:after="0" w:line="260"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(generally, determined based on a quarterly average) during such year is attributable to assets that produce or are held for the production of passive income.</w:t>
      </w:r>
    </w:p>
    <w:p>
      <w:pPr>
        <w:spacing w:after="0" w:line="208" w:lineRule="exact"/>
        <w:rPr>
          <w:sz w:val="20"/>
          <w:szCs w:val="20"/>
          <w:color w:val="auto"/>
        </w:rPr>
      </w:pPr>
    </w:p>
    <w:p>
      <w:pPr>
        <w:ind w:left="60" w:right="139" w:firstLine="360"/>
        <w:spacing w:after="0" w:line="261"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spacing w:after="0" w:line="220" w:lineRule="exact"/>
        <w:rPr>
          <w:sz w:val="20"/>
          <w:szCs w:val="20"/>
          <w:color w:val="auto"/>
        </w:rPr>
      </w:pPr>
    </w:p>
    <w:p>
      <w:pPr>
        <w:ind w:left="60" w:right="159" w:firstLine="360"/>
        <w:spacing w:after="0" w:line="273" w:lineRule="auto"/>
        <w:rPr>
          <w:sz w:val="20"/>
          <w:szCs w:val="20"/>
          <w:color w:val="auto"/>
        </w:rPr>
      </w:pPr>
      <w:r>
        <w:rPr>
          <w:rFonts w:ascii="Times New Roman" w:cs="Times New Roman" w:eastAsia="Times New Roman" w:hAnsi="Times New Roman"/>
          <w:sz w:val="17"/>
          <w:szCs w:val="17"/>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21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its holding period for the ADSs will be treated as an excess distribution. Under these rules:</w:t>
      </w:r>
    </w:p>
    <w:p>
      <w:pPr>
        <w:spacing w:after="0" w:line="216" w:lineRule="exact"/>
        <w:rPr>
          <w:sz w:val="20"/>
          <w:szCs w:val="20"/>
          <w:color w:val="auto"/>
        </w:rPr>
      </w:pPr>
    </w:p>
    <w:p>
      <w:pPr>
        <w:ind w:left="1380" w:right="439" w:hanging="331"/>
        <w:spacing w:after="0" w:line="261"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would be allocated ratably over the U.S. Holder’s holding period for the ADSs;</w:t>
      </w:r>
    </w:p>
    <w:p>
      <w:pPr>
        <w:ind w:left="1380" w:right="159" w:hanging="331"/>
        <w:spacing w:after="0" w:line="250"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spacing w:after="0" w:line="1" w:lineRule="exact"/>
        <w:rPr>
          <w:rFonts w:ascii="Times New Roman" w:cs="Times New Roman" w:eastAsia="Times New Roman" w:hAnsi="Times New Roman"/>
          <w:sz w:val="18"/>
          <w:szCs w:val="18"/>
          <w:color w:val="auto"/>
        </w:rPr>
      </w:pPr>
    </w:p>
    <w:p>
      <w:pPr>
        <w:ind w:left="1380" w:right="219" w:hanging="331"/>
        <w:spacing w:after="0" w:line="277" w:lineRule="auto"/>
        <w:tabs>
          <w:tab w:leader="none" w:pos="13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209" w:lineRule="exact"/>
        <w:rPr>
          <w:sz w:val="20"/>
          <w:szCs w:val="20"/>
          <w:color w:val="auto"/>
        </w:rPr>
      </w:pPr>
    </w:p>
    <w:p>
      <w:pPr>
        <w:ind w:left="60" w:right="99" w:firstLine="360"/>
        <w:spacing w:after="0" w:line="258" w:lineRule="auto"/>
        <w:rPr>
          <w:sz w:val="20"/>
          <w:szCs w:val="20"/>
          <w:color w:val="auto"/>
        </w:rPr>
      </w:pPr>
      <w:r>
        <w:rPr>
          <w:rFonts w:ascii="Times New Roman" w:cs="Times New Roman" w:eastAsia="Times New Roman" w:hAnsi="Times New Roman"/>
          <w:sz w:val="18"/>
          <w:szCs w:val="18"/>
          <w:color w:val="auto"/>
        </w:rPr>
        <w:t>If the Company were a PFIC for any taxable year during which a U.S. Holder holds ADSs and any of our non-U.S.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79" w:firstLine="360"/>
        <w:spacing w:after="0" w:line="256" w:lineRule="auto"/>
        <w:rPr>
          <w:sz w:val="20"/>
          <w:szCs w:val="20"/>
          <w:color w:val="auto"/>
        </w:rPr>
      </w:pPr>
      <w:r>
        <w:rPr>
          <w:rFonts w:ascii="Times New Roman" w:cs="Times New Roman" w:eastAsia="Times New Roman" w:hAnsi="Times New Roman"/>
          <w:sz w:val="18"/>
          <w:szCs w:val="18"/>
          <w:color w:val="auto"/>
        </w:rPr>
        <w:t>If the Company were a PFIC for any taxable year during which a U.S. Holder holds ADSs, then in lieu of being subject to the tax and interest-charge rules discussed above, the U.S. Holder may make an election to include gain on the ADSs as ordinary income under a mark-to-market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pacing w:after="0" w:line="228" w:lineRule="exact"/>
        <w:rPr>
          <w:sz w:val="20"/>
          <w:szCs w:val="20"/>
          <w:color w:val="auto"/>
        </w:rPr>
      </w:pPr>
    </w:p>
    <w:p>
      <w:pPr>
        <w:ind w:left="60" w:right="179" w:firstLine="360"/>
        <w:spacing w:after="0" w:line="266" w:lineRule="auto"/>
        <w:rPr>
          <w:sz w:val="20"/>
          <w:szCs w:val="20"/>
          <w:color w:val="auto"/>
        </w:rPr>
      </w:pPr>
      <w:r>
        <w:rPr>
          <w:rFonts w:ascii="Times New Roman" w:cs="Times New Roman" w:eastAsia="Times New Roman" w:hAnsi="Times New Roman"/>
          <w:sz w:val="18"/>
          <w:szCs w:val="18"/>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spacing w:after="0" w:line="203" w:lineRule="exact"/>
        <w:rPr>
          <w:sz w:val="20"/>
          <w:szCs w:val="20"/>
          <w:color w:val="auto"/>
        </w:rPr>
      </w:pPr>
    </w:p>
    <w:p>
      <w:pPr>
        <w:ind w:left="60" w:right="99" w:firstLine="360"/>
        <w:spacing w:after="0" w:line="258"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spacing w:after="0" w:line="224" w:lineRule="exact"/>
        <w:rPr>
          <w:sz w:val="20"/>
          <w:szCs w:val="20"/>
          <w:color w:val="auto"/>
        </w:rPr>
      </w:pPr>
    </w:p>
    <w:p>
      <w:pPr>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228" w:lineRule="exact"/>
        <w:rPr>
          <w:sz w:val="20"/>
          <w:szCs w:val="20"/>
          <w:color w:val="auto"/>
        </w:rPr>
      </w:pPr>
    </w:p>
    <w:p>
      <w:pPr>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If a U.S. Holder owns ADSs during any year in which the Company is a PFIC, such U.S. Holder (including, potentially, indirect holders) generally will be required to file an IRS Form 8621 with such holder’s U.S. federal income tax return for that year. U.S. Holders should consult their own tax advisors regarding the application of the PFIC rules to their ownership of the ADSs.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70"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the ADSs and proceeds from a sale, exchange, redemption or other taxable disposition of the ADSs made within the U.S. or through certain U.S. related financial intermediaries may be subject to information reporting to the IRS and possible U.S. backup withholding. Backup withholding will not apply, however, to a U.S. Holder that furnishes a correct taxpayer identification number and makes any other required certification on IRS Form W-9 or that is otherwise exempt from backup withholding. U.S. Holders of the ADSs should consult their tax advisors regarding the application of the U.S. information reporting and backup withholding rules.</w:t>
      </w:r>
    </w:p>
    <w:p>
      <w:pPr>
        <w:spacing w:after="0" w:line="228"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20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 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22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IMPORTANT TO YOU. PROSPECTIVE INVESTORS SHOULD CONSULT THEIR TAX</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ADVISORS REGARDING THE APPLICATION OF THE U.S. FEDERAL TAX RULES TO THEIR PARTICULAR CIRCUMSTANCES AS WELL AS THE STATE, LOCAL, NON-U.S. AND OTHER TAX CONSEQUENCES TO THEM OF THE ACQUISITION, OWNERSHIP AND DISPOSITION OF THE ADSS.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Danish Income Tax Considerations</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 following is a summary of material Danish tax considerations relating to the ownership and disposition of ADSs.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summary is for general information purposes only and does not constitute exhaustive tax or legal advice.</w:t>
      </w:r>
    </w:p>
    <w:p>
      <w:pPr>
        <w:spacing w:after="0" w:line="232"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 professional investors, certain institutional investors, insurance companies, pension companies, banks, stockbrokers and investors with tax liability on return on pension investments. The summary does further not apply to non-Danish tax resident investors that carry on business activities in Denmark through a permanent establishment, or to non-Danish tax resident investors, who are resident in jurisdictions, which are considered non-cooperative tax jurisdictions by the EU.</w:t>
      </w:r>
    </w:p>
    <w:p>
      <w:pPr>
        <w:spacing w:after="0" w:line="212" w:lineRule="exact"/>
        <w:rPr>
          <w:sz w:val="20"/>
          <w:szCs w:val="20"/>
          <w:color w:val="auto"/>
        </w:rPr>
      </w:pPr>
    </w:p>
    <w:p>
      <w:pPr>
        <w:ind w:left="60" w:right="6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 the context of the following section, “companies” refers to entities treated as separate taxable entities under domestic tax laws of their jurisdiction of incorporation.</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 summary is based solely on the tax laws of Denmark in effect on the date of this Annual Report on Form 20-F.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Danish tax laws may be subject to change, potentially with retroactive effect.</w:t>
      </w:r>
    </w:p>
    <w:p>
      <w:pPr>
        <w:spacing w:after="0" w:line="230" w:lineRule="exact"/>
        <w:rPr>
          <w:sz w:val="20"/>
          <w:szCs w:val="20"/>
          <w:color w:val="auto"/>
        </w:rPr>
      </w:pPr>
    </w:p>
    <w:p>
      <w:pPr>
        <w:ind w:left="60" w:right="97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Potential investors in the ADSs are advised to consult their tax advisors regarding the applicable tax consequences of ownership and disposition of the ADSs based on their particular circumstances.</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ADSs Under Danish Tax Law</w:t>
      </w:r>
    </w:p>
    <w:p>
      <w:pPr>
        <w:spacing w:after="0" w:line="189" w:lineRule="exact"/>
        <w:rPr>
          <w:sz w:val="20"/>
          <w:szCs w:val="20"/>
          <w:color w:val="auto"/>
        </w:rPr>
      </w:pPr>
    </w:p>
    <w:p>
      <w:pPr>
        <w:ind w:left="60" w:right="99" w:firstLine="360"/>
        <w:spacing w:after="0" w:line="253" w:lineRule="auto"/>
        <w:rPr>
          <w:sz w:val="20"/>
          <w:szCs w:val="20"/>
          <w:color w:val="auto"/>
        </w:rPr>
      </w:pPr>
      <w:r>
        <w:rPr>
          <w:rFonts w:ascii="Times New Roman" w:cs="Times New Roman" w:eastAsia="Times New Roman" w:hAnsi="Times New Roman"/>
          <w:sz w:val="18"/>
          <w:szCs w:val="18"/>
          <w:color w:val="auto"/>
        </w:rPr>
        <w:t>It is currently not clear under Danish tax legislation or case law how ADSs are to be treated for Danish tax purposes. Recent administrative practice from the Danish tax authorities indicates that the ADSs may not be treated as shares for Danish tax purposes, and that the ADS holder may not be treated as the direct owner of the shares underlying the ADSs and accordingly not as the shareholder for Danish tax purposes. Thus, according to recent administrative practice, the Danish tax authorities are of the opinion that the depositary bank may be the owner of the shares underlying the ADSs, and that the qualification of whether the ADS holder or the depositary bank is the holder of the underlying shares for Danish tax purposes depends on an assessment of the specific ADS program, with the main emphasis on the allocation of the administrative rights attached to the shares, in particular the voting rights. Furthermore, the Danish tax authorities are of the opinion that the ADS holder cannot be regarded as a holder of the underlying shares for Danish tax purposes to the extent the number of ADS certificates held by the ADS holder represents a fraction of a share.</w:t>
      </w:r>
    </w:p>
    <w:p>
      <w:pPr>
        <w:spacing w:after="0" w:line="154"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While it therefore is highly uncertain whether the ADS holder in respect of the ADSs is treated as the direct owner of the shares underlying the ADSs and accordingly as the shareholder for Danish domestic tax law purposes, the summary in the section immediately below assumes that the ADS holder for Danish tax purposes is treated as the direct owner of the shares underlying the ADSs.</w:t>
      </w:r>
    </w:p>
    <w:p>
      <w:pPr>
        <w:spacing w:after="0" w:line="15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If, however, an ADS holder is found not to be the owner of the shares underlying the ADSs and accordingly not to be a shareholder for Danish tax purposes, then the ADSs will likely be taxed pursuant to the Danish tax rules on taxation of financial contracts. The taxation of financial contracts differs from the taxation of shares in several ways, and, among other differences, any Danish resident ADS holders will - if taxed under the rules on financial contracts - be subject to a mark-to-market taxation, i.e., annual taxation on any unrealized gains accrued during the year. A high-level summary of the tax treatment of financial contracts is laid out in a later section.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ADS holders considered to be owners of the underlying shares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Danish Tax Resident Individuals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18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Capital gains from the sale of shares realized by Danish tax resident individuals are taxed as share income at a rate of 27% on the first DKK 67,500 (for cohabiting spouses, a total of DKK 135,000) and at a rate of 42% on share income exceeding DKK 67,500 (for cohabiting spouses over DKK 135,000) (all 2025 amounts and thresholds). The threshold is subject to annual adjustments and includes all share income included in the calculation (i.e., all capital gains on shares and dividends derived by the individual or cohabiting spouses, respectively).</w:t>
      </w:r>
    </w:p>
    <w:p>
      <w:pPr>
        <w:spacing w:after="0" w:line="156" w:lineRule="exact"/>
        <w:rPr>
          <w:sz w:val="20"/>
          <w:szCs w:val="20"/>
          <w:color w:val="auto"/>
        </w:rPr>
      </w:pPr>
    </w:p>
    <w:p>
      <w:pPr>
        <w:jc w:val="both"/>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Gains and losses on the sale of shares are calculated as the difference between the purchase price and the sales price. The purchase price is based on the average purchase price paid for the shares in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not the purchase price paid for each share).</w:t>
      </w:r>
    </w:p>
    <w:p>
      <w:pPr>
        <w:spacing w:after="0" w:line="133"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Losses on the sale of listed shares can only be offset against other share income deriving from listed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0" w:right="139" w:firstLine="360"/>
        <w:spacing w:after="0" w:line="281" w:lineRule="auto"/>
        <w:rPr>
          <w:sz w:val="20"/>
          <w:szCs w:val="20"/>
          <w:color w:val="auto"/>
        </w:rPr>
      </w:pPr>
      <w:r>
        <w:rPr>
          <w:rFonts w:ascii="Times New Roman" w:cs="Times New Roman" w:eastAsia="Times New Roman" w:hAnsi="Times New Roman"/>
          <w:sz w:val="17"/>
          <w:szCs w:val="17"/>
          <w:color w:val="auto"/>
        </w:rPr>
        <w:t>It is highly uncertain if the actual distribution of dividends to the ADS holder are considered dividends for Danish tax purposes. However, if dividends paid to Danish tax resident individuals who are holders of ADSs are treated as dividends for Danish tax purposes, then such dividends are included in the individual’s share income and taxed as such, as outlined above. Dividends paid to Danish tax resident individuals are generally subject to withholding tax at the rate of 27%.</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Non-Danish Tax Resident Individuals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187" w:lineRule="exact"/>
        <w:rPr>
          <w:sz w:val="20"/>
          <w:szCs w:val="20"/>
          <w:color w:val="auto"/>
        </w:rPr>
      </w:pPr>
    </w:p>
    <w:p>
      <w:pPr>
        <w:ind w:left="60" w:right="59" w:firstLine="360"/>
        <w:spacing w:after="0" w:line="282" w:lineRule="auto"/>
        <w:rPr>
          <w:sz w:val="20"/>
          <w:szCs w:val="20"/>
          <w:color w:val="auto"/>
        </w:rPr>
      </w:pPr>
      <w:r>
        <w:rPr>
          <w:rFonts w:ascii="Times New Roman" w:cs="Times New Roman" w:eastAsia="Times New Roman" w:hAnsi="Times New Roman"/>
          <w:sz w:val="18"/>
          <w:szCs w:val="18"/>
          <w:color w:val="auto"/>
        </w:rPr>
        <w:t>Non-Danish tax resident individuals, including individuals tax resident in the U.S., are generally not taxed in Denmark on gains realized on the sale of shares, subject to certain anti-avoidance rules (see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Dividends paid on the shares underlying the ADSs to non-Danish tax resident individuals, including individuals tax resident in the U.S., are generally subject to withholding tax at the rate of 27%. No additional tax should be imposed.</w:t>
      </w:r>
    </w:p>
    <w:p>
      <w:pPr>
        <w:spacing w:after="0" w:line="99" w:lineRule="exact"/>
        <w:rPr>
          <w:sz w:val="20"/>
          <w:szCs w:val="20"/>
          <w:color w:val="auto"/>
        </w:rPr>
      </w:pPr>
    </w:p>
    <w:p>
      <w:pPr>
        <w:jc w:val="both"/>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It is highly uncertain if the ADS holder is considered the holder of the shares underlying the ADSs. If the ADS holder is considered to be the owner of the shares underlying the ADSs for Danish tax purposes and is the beneficial owner of the dividends paid on the shares, then the ADS holder may in certain circumstances seek a refund of tax withheld on dividends paid on the shares.</w:t>
      </w:r>
    </w:p>
    <w:p>
      <w:pPr>
        <w:spacing w:after="0" w:line="15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If this is the case, and the ADS holder is tax resident in a state with which Denmark has entered into a tax treaty and is entitled to benefits under such tax treaty, the ADS holder may seek a refund from the Danish Tax Agency of the tax withheld in excess of the applicable treaty rate (Danish tax treaties typically provide for a 15% tax rate). Denmark has entered into tax treaties with dozens of countries, including the U.S. and almost all EU member states. The treaty between Denmark and the U.S. generally provides for a 15% tax rate.</w:t>
      </w:r>
    </w:p>
    <w:p>
      <w:pPr>
        <w:spacing w:after="0" w:line="143" w:lineRule="exact"/>
        <w:rPr>
          <w:sz w:val="20"/>
          <w:szCs w:val="20"/>
          <w:color w:val="auto"/>
        </w:rPr>
      </w:pPr>
    </w:p>
    <w:p>
      <w:pPr>
        <w:ind w:left="60" w:right="419" w:firstLine="324"/>
        <w:spacing w:after="0" w:line="289" w:lineRule="auto"/>
        <w:rPr>
          <w:sz w:val="20"/>
          <w:szCs w:val="20"/>
          <w:color w:val="auto"/>
        </w:rPr>
      </w:pPr>
      <w:r>
        <w:rPr>
          <w:rFonts w:ascii="Times New Roman" w:cs="Times New Roman" w:eastAsia="Times New Roman" w:hAnsi="Times New Roman"/>
          <w:sz w:val="17"/>
          <w:szCs w:val="17"/>
          <w:color w:val="auto"/>
        </w:rPr>
        <w:t>Similarly, if the ADS holder for Danish tax purposes is considered the owner of the underlying shares and the beneficial owner of the dividends paid on the shares, Danish domestic tax law provides for a 15% tax rate, if the ADS holder holds less than 10% of the nominal share capital in the company and is tax resident in a state that is obligated to</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exchange information with Denmark under a tax treaty or an international agreement, convention or other administrative agreement on assistance in tax matters. If the ADS holder is a tax resident outside the EU, it is an additional requirement for application of the 15% tax rate that the ADS holder together with related shareholders holds less than 10% of the share capital of the company.</w:t>
      </w:r>
    </w:p>
    <w:p>
      <w:pPr>
        <w:spacing w:after="0" w:line="153" w:lineRule="exact"/>
        <w:rPr>
          <w:sz w:val="20"/>
          <w:szCs w:val="20"/>
          <w:color w:val="auto"/>
        </w:rPr>
      </w:pPr>
    </w:p>
    <w:p>
      <w:pPr>
        <w:jc w:val="both"/>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If the depositary bank is considered the owner of the shares underlying the ADSs for Danish tax purposes, then the depositary bank may potentially in certain circumstances seek a refund of tax withheld on dividends paid on the shares.</w:t>
      </w:r>
    </w:p>
    <w:p>
      <w:pPr>
        <w:spacing w:after="0" w:line="9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Any reduced tax rate according to an applicable tax treaty and/or Danish domestic tax law will not affect the withholding rate (27%). In order to receive a refund (from 27% 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15%), the shareholder must make a claim for such a refund through certain certification procedures.</w:t>
      </w:r>
    </w:p>
    <w:p>
      <w:pPr>
        <w:spacing w:after="0" w:line="13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As a general rule, the refund shall be paid within six months following the Danish Tax Agency’s receipt of the refund claim. If the refund is paid later than six months after the receipt of the claim, interest will in general be calculated on the amount of the refund. The rate per month will be 0.2833% plus a premium (fixed annually). The six-month deadline is suspended by the Danish Tax Agency, if the Tax Agency is unable to determine whether the taxpayer is entitled to a refund based on the taxpayer’s affairs. If the deadline is suspended accordingly, computation of interest is also suspended.</w:t>
      </w:r>
    </w:p>
    <w:p>
      <w:pPr>
        <w:spacing w:after="0" w:line="15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Danish Tax Agency has published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on Form 20-F. We have included such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Danish Tax Resident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268" w:lineRule="exact"/>
        <w:rPr>
          <w:sz w:val="20"/>
          <w:szCs w:val="20"/>
          <w:color w:val="auto"/>
        </w:rPr>
      </w:pPr>
    </w:p>
    <w:p>
      <w:pPr>
        <w:ind w:left="60" w:right="339" w:firstLine="360"/>
        <w:spacing w:after="0" w:line="282" w:lineRule="auto"/>
        <w:rPr>
          <w:sz w:val="20"/>
          <w:szCs w:val="20"/>
          <w:color w:val="auto"/>
        </w:rPr>
      </w:pPr>
      <w:r>
        <w:rPr>
          <w:rFonts w:ascii="Times New Roman" w:cs="Times New Roman" w:eastAsia="Times New Roman" w:hAnsi="Times New Roman"/>
          <w:sz w:val="18"/>
          <w:szCs w:val="18"/>
          <w:color w:val="auto"/>
        </w:rPr>
        <w:t>For the purpose of taxation of sales of shares made by corporate shareholders (and dividends received by corporate shareholders, see below), a distinction is made between:</w:t>
      </w:r>
    </w:p>
    <w:p>
      <w:pPr>
        <w:spacing w:after="0" w:line="185" w:lineRule="exact"/>
        <w:rPr>
          <w:sz w:val="20"/>
          <w:szCs w:val="20"/>
          <w:color w:val="auto"/>
        </w:rPr>
      </w:pPr>
    </w:p>
    <w:p>
      <w:pPr>
        <w:ind w:left="60" w:right="1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Shares</w:t>
      </w:r>
      <w:r>
        <w:rPr>
          <w:rFonts w:ascii="Times New Roman" w:cs="Times New Roman" w:eastAsia="Times New Roman" w:hAnsi="Times New Roman"/>
          <w:sz w:val="18"/>
          <w:szCs w:val="18"/>
          <w:color w:val="auto"/>
        </w:rPr>
        <w:t>,” which are generally defined as shares owned by a shareholder holding at least 10% of the share capital of the issuing company;</w:t>
      </w:r>
    </w:p>
    <w:p>
      <w:pPr>
        <w:spacing w:after="0" w:line="195" w:lineRule="exact"/>
        <w:rPr>
          <w:sz w:val="20"/>
          <w:szCs w:val="20"/>
          <w:color w:val="auto"/>
        </w:rPr>
      </w:pPr>
    </w:p>
    <w:p>
      <w:pPr>
        <w:jc w:val="both"/>
        <w:ind w:left="60" w:right="2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Shares</w:t>
      </w:r>
      <w:r>
        <w:rPr>
          <w:rFonts w:ascii="Times New Roman" w:cs="Times New Roman" w:eastAsia="Times New Roman" w:hAnsi="Times New Roman"/>
          <w:sz w:val="18"/>
          <w:szCs w:val="18"/>
          <w:color w:val="auto"/>
        </w:rPr>
        <w:t>,” which are generally defined as shares in a company in which the shareholder of the company and the issuing company are subject to Danish joint taxation or satisfy the requirements for international joint taxation under Danish law;</w:t>
      </w:r>
    </w:p>
    <w:p>
      <w:pPr>
        <w:spacing w:after="0" w:line="211" w:lineRule="exact"/>
        <w:rPr>
          <w:sz w:val="20"/>
          <w:szCs w:val="20"/>
          <w:color w:val="auto"/>
        </w:rPr>
      </w:pPr>
    </w:p>
    <w:p>
      <w:pPr>
        <w:ind w:left="60" w:right="1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Tax-Exempt Portfolio Shares</w:t>
      </w:r>
      <w:r>
        <w:rPr>
          <w:rFonts w:ascii="Times New Roman" w:cs="Times New Roman" w:eastAsia="Times New Roman" w:hAnsi="Times New Roman"/>
          <w:sz w:val="18"/>
          <w:szCs w:val="18"/>
          <w:color w:val="auto"/>
        </w:rPr>
        <w:t>,” which are generally defined as unlisted shares owned by a shareholder holding less than 10% of the share capital of the issuing company; and</w:t>
      </w:r>
    </w:p>
    <w:p>
      <w:pPr>
        <w:spacing w:after="0" w:line="182" w:lineRule="exact"/>
        <w:rPr>
          <w:sz w:val="20"/>
          <w:szCs w:val="20"/>
          <w:color w:val="auto"/>
        </w:rPr>
      </w:pPr>
    </w:p>
    <w:p>
      <w:pPr>
        <w:ind w:left="60" w:right="3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Portfolio Shares</w:t>
      </w:r>
      <w:r>
        <w:rPr>
          <w:rFonts w:ascii="Times New Roman" w:cs="Times New Roman" w:eastAsia="Times New Roman" w:hAnsi="Times New Roman"/>
          <w:sz w:val="18"/>
          <w:szCs w:val="18"/>
          <w:color w:val="auto"/>
        </w:rPr>
        <w:t>,” which are defined as shares that do not qualify as Subsidiary Shares, Group Shares or Tax-Exempt Portfolio Shares.</w:t>
      </w:r>
    </w:p>
    <w:p>
      <w:pPr>
        <w:spacing w:after="0" w:line="199" w:lineRule="exact"/>
        <w:rPr>
          <w:sz w:val="20"/>
          <w:szCs w:val="20"/>
          <w:color w:val="auto"/>
        </w:rPr>
      </w:pPr>
    </w:p>
    <w:p>
      <w:pPr>
        <w:ind w:left="60" w:right="99" w:firstLine="360"/>
        <w:spacing w:after="0" w:line="266" w:lineRule="auto"/>
        <w:rPr>
          <w:sz w:val="20"/>
          <w:szCs w:val="20"/>
          <w:color w:val="auto"/>
        </w:rPr>
      </w:pPr>
      <w:r>
        <w:rPr>
          <w:rFonts w:ascii="Times New Roman" w:cs="Times New Roman" w:eastAsia="Times New Roman" w:hAnsi="Times New Roman"/>
          <w:sz w:val="18"/>
          <w:szCs w:val="18"/>
          <w:color w:val="auto"/>
        </w:rPr>
        <w:t>Gains and losses on disposal of Subsidiary Shares, Group Shares and Tax-Exempt Portfolio Shares realized by Danish tax resident companies are generally not included in the taxable income of the shareholder, subject to certain anti-avoidance rules (see below).</w:t>
      </w:r>
    </w:p>
    <w:p>
      <w:pPr>
        <w:spacing w:after="0" w:line="216"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Capital gains on listed Taxable Portfolio Shares are taxable at the general Danish corporate tax rate of 22% and losses on such shares are generally deductible. Gains and losses on listed Taxable Portfolio Shares are generally taxed under the mark-to-market principle irrespective of realization.</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It is highly uncertain if the actual distribution of dividends to the ADS holder are considered dividends for Danish tax purposes. However, if dividends paid to Danish tax resident companies who are holders of ADSs are treated as dividends for Danish tax purposes, then the following should apply:</w:t>
      </w:r>
    </w:p>
    <w:p>
      <w:pPr>
        <w:spacing w:after="0" w:line="1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Dividends received on Subsidiary Shares and Group Shares are generally tax-exempt, subject to certain anti-avoidance rules (see below).</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Dividends received on Taxable Portfolio Shares are taxable at the general Danish corporate tax rate of 22% and tax is generally withheld similarly at 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Non-Danish Tax Resident Companies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Shares</w:t>
      </w:r>
    </w:p>
    <w:p>
      <w:pPr>
        <w:spacing w:after="0" w:line="268"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Non-Danish tax resident companies, including companies tax resident in the U.S., are generally not taxed in Denmark on gains realized on the sale of shares, subject to certain anti-avoidance rules (see below).</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Dividends paid on the shares underlying the ADSs to non-Danish tax resident companies, including companies tax resident in the U.S., are generally subject to withholding tax at the rate of 27%.</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It is highly uncertain if the ADS holder is considered the holder of the shares underlying the ADSs. If the ADS holder is considered to be the owner of the shares underlying the ADSs for Danish tax purposes and is the beneficial owner of the dividends paid on the shares, then the ADS holder may in certain circumstances benefit from certain exemptions from withholding tax on dividends or seek a refund of tax withheld on dividends paid on the shares.</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If the ADS holder for Danish tax purposes is considered the holder of the shares underlying the ADSs and is considered the beneficial owner of dividends paid on the shares, then the following exemptions apply if the shares held by the ADS holder qualify as Subsidiary Shares or Group Shares: dividends received on Subsidiary Shares are exempt from Danish withholding tax provided that taxation shall be waived or reduced under the Parent-Subsidiary Directive (2011/96/EU)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9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other cases, dividends will generally be subject to tax at a rate of 22% effective for dividends distributed. However, the withholding rate is 27%, meaning that foreign corporate shareholders receiving taxable dividends distributed from Danish companies generally will be able to apply for a refund of at least 5% of the total dividend.</w:t>
      </w:r>
    </w:p>
    <w:p>
      <w:pPr>
        <w:spacing w:after="0" w:line="176"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Further, if the ADS holder for Danish tax purposes is considered the holder of the shares underlying the ADSs, is considered the beneficial owner of dividends paid on the shares, and is tax resident in a state with which Denmark has entered into a tax treaty and is entitled to the benefits under such tax treaty, the ADS holder may seek a refund from the Danish Tax Agency of the tax withheld in excess of the applicable treaty rate (Danish tax treaties typically provide for a 15% tax rate). Denmark has entered into tax treaties with dozens of countries, including the U.S. and almost all EU member states. The treaty between Denmark and the U.S. generally provides for a 15% tax rate.</w:t>
      </w:r>
    </w:p>
    <w:p>
      <w:pPr>
        <w:spacing w:after="0" w:line="187"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7"/>
          <w:szCs w:val="17"/>
          <w:color w:val="auto"/>
        </w:rPr>
        <w:t>Similarly, in the event the ADS holder for Danish tax purposes is considered both the owner of the underlying shares and the beneficial owner of the dividends paid on the shares, Danish domestic tax law provides for an applicable 15% tax rate, if the ADS holder holds less than 10% of the share capital in the company and is tax resident in a state that is obligated to exchange information with Denmark under a tax treaty or an international agreement, convention or other administrative agreement on assistance in tax matters. If the ADS holder is a tax resident outside the EU, it is an additional requirement for eligibility for the 15% tax rate that the ADS holder together with related shareholders (i) holds less than 10% of the nominal share capital of the company (unless the ADS holder is tax resident in a country forming part of the EEA (European Economic Area) and which has entered into a tax treaty with Denmark) and (ii) has no controlling interest over the company (unless the ADS holder is tax resident in a country which has entered into a tax treaty with Denmark).</w:t>
      </w:r>
    </w:p>
    <w:p>
      <w:pPr>
        <w:spacing w:after="0" w:line="200" w:lineRule="exact"/>
        <w:rPr>
          <w:sz w:val="20"/>
          <w:szCs w:val="20"/>
          <w:color w:val="auto"/>
        </w:rPr>
      </w:pPr>
    </w:p>
    <w:p>
      <w:pPr>
        <w:jc w:val="both"/>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If the depositary bank is considered the owner of the shares underlying the ADSs for Danish tax purposes, then the depositary bank may potentially in certain circumstances seek a refund of tax withheld on dividends paid on the shares.</w:t>
      </w:r>
    </w:p>
    <w:p>
      <w:pPr>
        <w:spacing w:after="0" w:line="140"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Any reduced tax rate according to an applicable tax treaty (and/or the 15% tax rate provided for under Danish domestic tax law) will not affect the withholding rate (27%). In order to receive a refund (from 27% to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15%), the shareholder must make a claim for such a refund through certain certification procedures.</w:t>
      </w:r>
    </w:p>
    <w:p>
      <w:pPr>
        <w:spacing w:after="0" w:line="176" w:lineRule="exact"/>
        <w:rPr>
          <w:sz w:val="20"/>
          <w:szCs w:val="20"/>
          <w:color w:val="auto"/>
        </w:rPr>
      </w:pPr>
    </w:p>
    <w:p>
      <w:pPr>
        <w:jc w:val="both"/>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As a general rule, the refund shall be paid within six months following the Danish Tax Agency’s receipt of the refund claim. If the refund is paid later than six months after the receipt of the claim, interest will be calculated on the amount of refund. The rate per month will be 0.2833%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6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Danish Tax Agency has published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on Form 20-F. We have included such website address as an inactive textual reference only.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Taxation of ADS holders not considered to be owners of the underlying shares</w:t>
      </w:r>
    </w:p>
    <w:p>
      <w:pPr>
        <w:spacing w:after="0" w:line="229"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Pursuant to Danish administrative practice, ADSs which do not constitute shares for tax purposes are instead likely taxed as financial contracts, but there is some uncertainty in this respect. A high-level summary of the tax treatment of financial contracts is laid out below.</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Danish tax resident ADS holder individuals and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Gains and losses</w:t>
      </w:r>
    </w:p>
    <w:p>
      <w:pPr>
        <w:spacing w:after="0" w:line="254"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Danish tax resident holders of financial contracts are generally taxed according to a mark-to-market principle in respect of gains and losses on the financial contracts. The mark-to-market principle entails that unrealized gains and losses on financial contracts are taxed annually regardless of whether the ADSs have been sold. The deductibility of losses may in certain cases be restricted.</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If the ADS holders are not considered the shareholders for Danish tax purposes, any dividends received by the ADS holders in respect of the ADSs will likely be taxable, and the ADS holders will likely not be able to obtain a refund of any tax withholding on the dividend.</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Non-Danish tax resident ADS holder individuals and companies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Gains and losses</w:t>
      </w:r>
    </w:p>
    <w:p>
      <w:pPr>
        <w:spacing w:after="0" w:line="227" w:lineRule="exact"/>
        <w:rPr>
          <w:sz w:val="20"/>
          <w:szCs w:val="20"/>
          <w:color w:val="auto"/>
        </w:rPr>
      </w:pPr>
    </w:p>
    <w:p>
      <w:pPr>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Non-Danish tax resident individuals and companies, including individuals and companies tax resident in the U.S., are generally not taxed in Denmark on gains realized on financial contracts, subject to certain anti-avoidance rules (see below).</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If the ADS holders are not considered the shareholders for Danish tax purposes, the ADS holders will likely not be eligible for a refund of withholding tax on dividends. Communications from the Danish tax authorities indicate that the depository bank in such cases in certain circumstances may be entitled to apply for a refund of Danish withholding tax on dividends.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Danish Anti-Avoidance Rules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below summary of Danish anti-avoidance rules is not exhaustive.</w:t>
      </w:r>
    </w:p>
    <w:p>
      <w:pPr>
        <w:spacing w:after="0" w:line="225"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Payments may be subject to Danish withholding tax irrespective of the above, if the shareholder is not the beneficial owner of the shares and dividend (e.g., if the shareholder reassigns the payments to a person or entity not itself entitled to the above exemptions).</w:t>
      </w:r>
    </w:p>
    <w:p>
      <w:pPr>
        <w:spacing w:after="0" w:line="172" w:lineRule="exact"/>
        <w:rPr>
          <w:sz w:val="20"/>
          <w:szCs w:val="20"/>
          <w:color w:val="auto"/>
        </w:rPr>
      </w:pPr>
    </w:p>
    <w:p>
      <w:pPr>
        <w:ind w:left="60" w:right="159" w:firstLine="324"/>
        <w:spacing w:after="0" w:line="257" w:lineRule="auto"/>
        <w:rPr>
          <w:sz w:val="20"/>
          <w:szCs w:val="20"/>
          <w:color w:val="auto"/>
        </w:rPr>
      </w:pPr>
      <w:r>
        <w:rPr>
          <w:rFonts w:ascii="Times New Roman" w:cs="Times New Roman" w:eastAsia="Times New Roman" w:hAnsi="Times New Roman"/>
          <w:sz w:val="18"/>
          <w:szCs w:val="18"/>
          <w:color w:val="auto"/>
        </w:rPr>
        <w:t>Further, Danish law has certain general anti-avoidance rules (“</w:t>
      </w:r>
      <w:r>
        <w:rPr>
          <w:rFonts w:ascii="Times New Roman" w:cs="Times New Roman" w:eastAsia="Times New Roman" w:hAnsi="Times New Roman"/>
          <w:sz w:val="18"/>
          <w:szCs w:val="18"/>
          <w:b w:val="1"/>
          <w:bCs w:val="1"/>
          <w:color w:val="auto"/>
        </w:rPr>
        <w:t>GAAR</w:t>
      </w:r>
      <w:r>
        <w:rPr>
          <w:rFonts w:ascii="Times New Roman" w:cs="Times New Roman" w:eastAsia="Times New Roman" w:hAnsi="Times New Roman"/>
          <w:sz w:val="18"/>
          <w:szCs w:val="18"/>
          <w:color w:val="auto"/>
        </w:rPr>
        <w:t>”), which focus on substance over form. Under these rules the Danish tax authorities can set aside a setup, which, having been put into place for the main purpose or one of the main purposes of obtaining a tax advantage that defeats the object or purpose of the applicable tax law, is not genuine having regard to all relevant facts and circumstances. Subject to the conditions of the GAAR an investor might be denied the benefits of the Parent-Subsidiary Directive (2011/96/EU) or a tax treaty, and Danish withholding tax of 27% will in such cases be levied.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Finally, it should be noted that it is the shareholder who owns the share at the time of the general meeting where the decision to distribute a dividend is passed to the shareholder, who is subject to Danish taxation on the dividend, and thereby is entitled to make a tax reclaim if any.</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80" w:right="6999" w:hanging="330"/>
        <w:spacing w:after="0" w:line="530" w:lineRule="auto"/>
        <w:tabs>
          <w:tab w:leader="none" w:pos="376"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80" w:hanging="330"/>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left="60" w:right="99"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this Annual Report on Form 20-F, as well as our </w:t>
      </w:r>
      <w:hyperlink r:id="rId13">
        <w:r>
          <w:rPr>
            <w:rFonts w:ascii="Times New Roman" w:cs="Times New Roman" w:eastAsia="Times New Roman" w:hAnsi="Times New Roman"/>
            <w:sz w:val="18"/>
            <w:szCs w:val="18"/>
            <w:u w:val="single" w:color="auto"/>
            <w:color w:val="0000EE"/>
          </w:rPr>
          <w:t>Annual Report 2024</w:t>
        </w:r>
      </w:hyperlink>
      <w:r>
        <w:rPr>
          <w:rFonts w:ascii="Times New Roman" w:cs="Times New Roman" w:eastAsia="Times New Roman" w:hAnsi="Times New Roman"/>
          <w:sz w:val="18"/>
          <w:szCs w:val="18"/>
          <w:color w:val="auto"/>
        </w:rPr>
        <w:t>, which includes our Audited Financial Statements, can be downloaded from the “Investors” page at www.genmab.com. The contents of our website are not incorporated by reference into this Annual Report on Form 20-F. This Annual Report on Form 20-F is also filed and can be viewed via EDGAR on www.sec.gov.</w:t>
      </w:r>
    </w:p>
    <w:p>
      <w:pPr>
        <w:spacing w:after="0" w:line="176" w:lineRule="exact"/>
        <w:rPr>
          <w:sz w:val="20"/>
          <w:szCs w:val="20"/>
          <w:color w:val="auto"/>
        </w:rPr>
      </w:pPr>
    </w:p>
    <w:p>
      <w:pPr>
        <w:ind w:left="380" w:right="6899" w:hanging="330"/>
        <w:spacing w:after="0" w:line="546" w:lineRule="auto"/>
        <w:tabs>
          <w:tab w:leader="none" w:pos="306"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00" w:hanging="250"/>
        <w:spacing w:after="0"/>
        <w:tabs>
          <w:tab w:leader="none" w:pos="3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83" w:lineRule="exact"/>
        <w:rPr>
          <w:sz w:val="20"/>
          <w:szCs w:val="20"/>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2024 has been furnished to the SEC as </w:t>
      </w:r>
      <w:hyperlink r:id="rId13">
        <w:r>
          <w:rPr>
            <w:rFonts w:ascii="Times New Roman" w:cs="Times New Roman" w:eastAsia="Times New Roman" w:hAnsi="Times New Roman"/>
            <w:sz w:val="18"/>
            <w:szCs w:val="18"/>
            <w:u w:val="single" w:color="auto"/>
            <w:color w:val="0000EE"/>
          </w:rPr>
          <w:t>Exhibit 99.1(a) to Form 6-K, dated February 12, 2025</w:t>
        </w:r>
      </w:hyperlink>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QUALITATIVE AND QUANTITATIVE DISCLOSURES ABOUT MARKET RISKS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For qualitative and quantitative disclosures about market risks including foreign currency risk, interest rate risk, and credit risk, see Note 4.2 to our Audited Financial Statements included in our Annual Report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jc w:val="both"/>
        <w:ind w:left="380" w:right="7499" w:hanging="330"/>
        <w:spacing w:after="0" w:line="530" w:lineRule="auto"/>
        <w:tabs>
          <w:tab w:leader="none" w:pos="366"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80" w:right="7059" w:hanging="330"/>
        <w:spacing w:after="0" w:line="530" w:lineRule="auto"/>
        <w:tabs>
          <w:tab w:leader="none" w:pos="353"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80" w:right="7399" w:hanging="330"/>
        <w:spacing w:after="0" w:line="530" w:lineRule="auto"/>
        <w:tabs>
          <w:tab w:leader="none" w:pos="366"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60" w:hanging="310"/>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Genmab’s ADS program is administered by Deutsche Bank Trust Company Americas, as depositary. The principal executive office of the depositary is located at 60 Wall Street, New York, NY 10005, USA. Below is a summary of fees and expenses payable by ADS holders and of fees and payments by the depositary to us. Please refer to Exhibit 2.3 hereto for a summary of certain other material provisions of the amended and restated deposit agreement related to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ADS program. For more complete information, holders should read the entire amended and restated deposit agreement and the form of American Depositary Receipt incorporated by reference as Exhibits 2.1 and 2.2 hereto, respectively.</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ADS holders will be required to pay the following service fees to the depositary bank and certain taxes and governmental charges (in addition to any applicable fees, expenses, taxes and other governmental charges payable on the deposited securities represented by any of their ADSs):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40" w:type="dxa"/>
            <w:vAlign w:val="bottom"/>
          </w:tcPr>
          <w:p>
            <w:pPr>
              <w:spacing w:after="0"/>
              <w:rPr>
                <w:sz w:val="16"/>
                <w:szCs w:val="16"/>
                <w:color w:val="auto"/>
              </w:rPr>
            </w:pPr>
          </w:p>
        </w:tc>
        <w:tc>
          <w:tcPr>
            <w:tcW w:w="394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51"/>
        </w:trPr>
        <w:tc>
          <w:tcPr>
            <w:tcW w:w="20" w:type="dxa"/>
            <w:vAlign w:val="bottom"/>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191"/>
        </w:trPr>
        <w:tc>
          <w:tcPr>
            <w:tcW w:w="20" w:type="dxa"/>
            <w:vAlign w:val="bottom"/>
          </w:tcPr>
          <w:p>
            <w:pPr>
              <w:spacing w:after="0"/>
              <w:rPr>
                <w:sz w:val="16"/>
                <w:szCs w:val="16"/>
                <w:color w:val="auto"/>
              </w:rPr>
            </w:pPr>
          </w:p>
        </w:tc>
        <w:tc>
          <w:tcPr>
            <w:tcW w:w="47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w:t>
            </w:r>
          </w:p>
        </w:tc>
        <w:tc>
          <w:tcPr>
            <w:tcW w:w="24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Up to $0.05 per ADS issued</w:t>
            </w:r>
          </w:p>
        </w:tc>
        <w:tc>
          <w:tcPr>
            <w:tcW w:w="1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which a distribution is made in respect of ADS distributions</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pursuant to stock dividends or other free distributions of</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bonus distributions, stock splits or other distributions</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(except where converted to cash)</w:t>
            </w: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including the case of termination of</w:t>
            </w:r>
          </w:p>
        </w:tc>
        <w:tc>
          <w:tcPr>
            <w:tcW w:w="418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cancelled</w:t>
            </w:r>
          </w:p>
        </w:tc>
      </w:tr>
      <w:tr>
        <w:trPr>
          <w:trHeight w:val="234"/>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deposit agreement</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41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198"/>
        </w:trPr>
        <w:tc>
          <w:tcPr>
            <w:tcW w:w="2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entitlements (other than cash dividends)</w:t>
            </w:r>
          </w:p>
        </w:tc>
        <w:tc>
          <w:tcPr>
            <w:tcW w:w="418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held</w:t>
            </w:r>
          </w:p>
        </w:tc>
      </w:tr>
      <w:tr>
        <w:trPr>
          <w:trHeight w:val="216"/>
        </w:trPr>
        <w:tc>
          <w:tcPr>
            <w:tcW w:w="2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and/or cash proceeds from the sale of rights, securities and</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entitlements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41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198"/>
        </w:trPr>
        <w:tc>
          <w:tcPr>
            <w:tcW w:w="20" w:type="dxa"/>
            <w:vAlign w:val="bottom"/>
          </w:tcPr>
          <w:p>
            <w:pPr>
              <w:spacing w:after="0"/>
              <w:rPr>
                <w:sz w:val="17"/>
                <w:szCs w:val="17"/>
                <w:color w:val="auto"/>
              </w:rPr>
            </w:pP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securities other than ADSs or rights to</w:t>
            </w:r>
          </w:p>
        </w:tc>
        <w:tc>
          <w:tcPr>
            <w:tcW w:w="418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2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additional ADSs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Depositary services</w:t>
            </w:r>
          </w:p>
        </w:tc>
        <w:tc>
          <w:tcPr>
            <w:tcW w:w="4180" w:type="dxa"/>
            <w:vAlign w:val="bottom"/>
            <w:gridSpan w:val="3"/>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Up to $0.05 per ADS held on the applicable record</w:t>
            </w: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41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bl>
    <w:p>
      <w:pPr>
        <w:spacing w:after="0" w:line="198"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ADS holders will also be responsible to pay certain fees and expenses incurred by the depositary bank and certain taxes and governmental charges (in addition to any applicable fees, expenses, taxes and other governmental charges payable on the deposited securities represented by any of their ADSs) such as:</w:t>
      </w:r>
    </w:p>
    <w:p>
      <w:pPr>
        <w:spacing w:after="0" w:line="176" w:lineRule="exact"/>
        <w:rPr>
          <w:sz w:val="20"/>
          <w:szCs w:val="20"/>
          <w:color w:val="auto"/>
        </w:rPr>
      </w:pPr>
    </w:p>
    <w:p>
      <w:pPr>
        <w:ind w:left="1040" w:right="19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shares charged by the registrar and issuing agent for the shares in the Kingdom of Denmark (i.e., upon deposit and withdrawal of shares);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shares are deposited or withdrawn from deposit);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shares on deposit;</w:t>
      </w:r>
    </w:p>
    <w:p>
      <w:pPr>
        <w:spacing w:after="0" w:line="225"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shares, deposited securities, ADSs and ADRs;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depositary services fee are charged by the depositary bank to the holders of record of ADSs as of the applicable ADS record date.</w:t>
      </w:r>
    </w:p>
    <w:p>
      <w:pPr>
        <w:spacing w:after="0" w:line="16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Depositary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8"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Fees and Payments by the Depositary to Us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Exchange Act), as of the end of the period covered by this Annual Report on Form 20-F. Based on such evaluation, management, our principal executive officer and principal financial officer have concluded that our disclosure controls and procedures were effective as of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Genmab Management on Internal Control over Financial Reporting</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Internal control over financial reporting is designed to provide reasonable assurance regarding the reliability of financial reporting and the preparation of financial statements for external purposes in accordance with IFRS as issued by the IASB.</w:t>
      </w:r>
    </w:p>
    <w:p>
      <w:pPr>
        <w:spacing w:after="0" w:line="180"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due to error or fraud. Also, projections of any evaluation of effectiveness to future periods are subject to the risk that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controls may become inadequate because of changes in conditions, or that the degree of compliance with the policies or procedures may deteriorate.</w:t>
      </w:r>
    </w:p>
    <w:p>
      <w:pPr>
        <w:spacing w:after="0" w:line="162"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 the effectiveness of our internal control over financial reporting as of December 31, 2024, using the criteria established in the Internal Control – Integrated Framework (2013) issued by the Committee of Sponsoring Organizations of the Treadway Commission (“</w:t>
      </w:r>
      <w:r>
        <w:rPr>
          <w:rFonts w:ascii="Times New Roman" w:cs="Times New Roman" w:eastAsia="Times New Roman" w:hAnsi="Times New Roman"/>
          <w:sz w:val="18"/>
          <w:szCs w:val="18"/>
          <w:b w:val="1"/>
          <w:bCs w:val="1"/>
          <w:color w:val="auto"/>
        </w:rPr>
        <w:t>COSO</w:t>
      </w:r>
      <w:r>
        <w:rPr>
          <w:rFonts w:ascii="Times New Roman" w:cs="Times New Roman" w:eastAsia="Times New Roman" w:hAnsi="Times New Roman"/>
          <w:sz w:val="18"/>
          <w:szCs w:val="18"/>
          <w:color w:val="auto"/>
        </w:rPr>
        <w:t>”). Based on this assessment our management concluded that, as of December 31, 2024, Genmab’s internal control over financial reporting was effective based on the COSO criteria. The effectiveness of the Company’s internal control over financial reporting as of December 31, 2024 has been audited by Deloitte, Statsautoriseret Revisionspartnerselskab, Denmark, an independent registered public accounting firm, as stated in their report which appears on page 124 of this Annual Report on Form 20-F.</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w:t>
      </w:r>
    </w:p>
    <w:p>
      <w:pPr>
        <w:spacing w:after="0" w:line="229" w:lineRule="exact"/>
        <w:rPr>
          <w:sz w:val="20"/>
          <w:szCs w:val="20"/>
          <w:color w:val="auto"/>
        </w:rPr>
      </w:pPr>
    </w:p>
    <w:p>
      <w:pPr>
        <w:ind w:left="60" w:right="99" w:firstLine="182"/>
        <w:spacing w:after="0" w:line="254" w:lineRule="auto"/>
        <w:rPr>
          <w:sz w:val="20"/>
          <w:szCs w:val="20"/>
          <w:color w:val="auto"/>
        </w:rPr>
      </w:pPr>
      <w:r>
        <w:rPr>
          <w:rFonts w:ascii="Times New Roman" w:cs="Times New Roman" w:eastAsia="Times New Roman" w:hAnsi="Times New Roman"/>
          <w:sz w:val="18"/>
          <w:szCs w:val="18"/>
          <w:color w:val="auto"/>
        </w:rPr>
        <w:t>We reported a material weakness relating to the design of our internal control over financial reporting in our annual report on Form 20-F for the year ended December 31, 2023. Company management did not design and maintain effective internal control relating to the recording of royalty revenue, specifically for assessing and accounting for royalty reduction provisions within the Company’s commercial agreements with collaboration partners. While this material weakness did not cause a material misstatement of the Company’s consolidated financial statements for any period, the underlying control deficiency resulted in immaterial errors in reported royalty revenue, current receivables and retained earnings in periods prior to December 31, 2023 and correcting the cumulative impact of such errors was material to the Company’s consolidated statement of comprehensive income for the year ended December 31, 2023.</w:t>
      </w:r>
    </w:p>
    <w:p>
      <w:pPr>
        <w:spacing w:after="0" w:line="19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During 2024, management implemented our previously disclosed remediation plans, including (i) strengthening cross functional communication to identify, catalogue, evaluate and assess all royalty reduction provisions in contracts and ongoing application to financial reporting; (ii) enhancing procedures designed to allow the timely review of existing and new contracts, as well as contract amendments, containing royalty provisions and requiring that appropriate business functions provide a specific approval and periodic internal certification process to facilitate appropriate quarterly accounting including, in particular, royalty reduction provisions; and (iii) enhancing documentation, accountability and training related to the reporting of royalties and royalty reductions and related analysis.</w:t>
      </w:r>
    </w:p>
    <w:p>
      <w:pPr>
        <w:spacing w:after="0" w:line="18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completed our testing of the operating effectiveness of our controls, including the effects of the remediation actions described above, and found them to be effective. As a result, we have concluded the material weakness has been remediated as of December 31, 2024.</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5" w:lineRule="exact"/>
        <w:rPr>
          <w:sz w:val="20"/>
          <w:szCs w:val="20"/>
          <w:color w:val="auto"/>
        </w:rPr>
      </w:pPr>
    </w:p>
    <w:p>
      <w:pPr>
        <w:ind w:left="60" w:right="59" w:firstLine="324"/>
        <w:spacing w:after="0" w:line="262" w:lineRule="auto"/>
        <w:rPr>
          <w:sz w:val="20"/>
          <w:szCs w:val="20"/>
          <w:color w:val="auto"/>
        </w:rPr>
      </w:pPr>
      <w:r>
        <w:rPr>
          <w:rFonts w:ascii="Times New Roman" w:cs="Times New Roman" w:eastAsia="Times New Roman" w:hAnsi="Times New Roman"/>
          <w:sz w:val="18"/>
          <w:szCs w:val="18"/>
          <w:color w:val="auto"/>
        </w:rPr>
        <w:t>Except as described above in the section titled “—</w:t>
      </w:r>
      <w:r>
        <w:rPr>
          <w:rFonts w:ascii="Times New Roman" w:cs="Times New Roman" w:eastAsia="Times New Roman" w:hAnsi="Times New Roman"/>
          <w:sz w:val="18"/>
          <w:szCs w:val="18"/>
          <w:i w:val="1"/>
          <w:iCs w:val="1"/>
          <w:color w:val="auto"/>
        </w:rPr>
        <w:t>Remediation of Previously Reported Material Weakness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were no changes in our internal control over financial reporting (as defined in Rule 13a-15(f) under the Exchange Act) during the period covered by this Annual Report on Form 20-F that have materially affected, or is reasonably likely to materially affect, internal control over financial reporting.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EXPERTS</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Audit and Finance Committee consists of members Rolf Hoffmann, Elizabeth O’Farrell, and Deirdre P. Connelly and is chaired by Pernille Erenbjerg. Each member of the Audit and Finance Committee satisfies the independence requirements of the corporate governance standards of the Nasdaq Stock Market. Due to their professional experience, including their service in senior finance leadership positions and as audit committee chairs and members of other public companies, both Pernille Erenbjerg and Elizabeth O’Farrell qualify as “audit committee financial experts,” as defined in Nasdaq Rule 5605(c)(2)(A) and Item 407(d)(5)(ii) of Regulation S-K of the Securities and Exchange Commission, and as determined by our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Conduct, which outlines the principles of legal and ethical business conduct under which we do business. The Code of Conduct applies to all of our directors and employees. This document is available on our website (www.genmab.com). The contents of this website are not incorporated by reference into this Annual Report on Form 20-F.</w:t>
      </w:r>
    </w:p>
    <w:p>
      <w:pPr>
        <w:spacing w:after="0" w:line="180"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During 2024, the Company did not amend its Code of Conduct or grant any waiver, including any implicit waiver, from any provision of the Code of Conduct to any of its directors or employees. We expect that any amendments to the current Code of Conduct, or any waivers of its requirements, will be disclosed on our website.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For principal accountant fees and services, see Note 5.4 to our Audited Financial Statements included in our Annual Report 2024.</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audit opinion of Deloitte Statsautoriseret Revisionspartnerselskab (PCAOB no. 1294) is included in Item 18.</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Audit-related fees consist of assurance and related services by the principal accountant that are reasonably related to the performance of the audit or review of the registrant’s financial statements and are not reported under “Audit Fees”. Fees for audit-related services include consultations concerning financial accounting reporting standards.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Tax fees consist of fees billed for professional services rendered by the principal accountant for tax compliance, tax advice, and tax planning, including tax fees billed for tax consultations.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All other fees consist of products and services provided by the principal accountant, other than the services reported in “Audit Fees,” “Audit-Related Fees” and “Tax Fees”.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Fees for other services comprise fees billed for other permitted services.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Audit Committee assesses and pre-approves all audit and non-audit services provided by the principal accountant.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2024, share repurchases were conducted pursuant to two share buy-back programs. The share buy-back program announced on February 14, 2024 provided for the repurchase of up to 190,000 ordinary shares, and expired on March 15, 2024 (the “February Share Buy-Back Program”). The share buy-back program announced on March 15, 2024 provided for the repurchase of up to DKK 3,500,000,000 worth of ordinary shares, and expired on December 16, 2024 (the “March Share Buy-Back Program”). Genmab made purchases of its ordinary shares under the February Share Buy-Back Program in connection with covering its obligations under its RSU and warrant programs. See </w:t>
      </w:r>
      <w:r>
        <w:rPr>
          <w:rFonts w:ascii="Times New Roman" w:cs="Times New Roman" w:eastAsia="Times New Roman" w:hAnsi="Times New Roman"/>
          <w:sz w:val="18"/>
          <w:szCs w:val="18"/>
          <w:i w:val="1"/>
          <w:iCs w:val="1"/>
          <w:color w:val="auto"/>
        </w:rPr>
        <w:t>“Item 6—Directors,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and Employees—B. Compensation” </w:t>
      </w:r>
      <w:r>
        <w:rPr>
          <w:rFonts w:ascii="Times New Roman" w:cs="Times New Roman" w:eastAsia="Times New Roman" w:hAnsi="Times New Roman"/>
          <w:sz w:val="18"/>
          <w:szCs w:val="18"/>
          <w:color w:val="auto"/>
        </w:rPr>
        <w:t>for more details on the RSU and warrant programs. Genmab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its ordinary shares under the March Share Buy-Back Program in support of Genmab’s capital allocation strategy.</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 May Yet</w:t>
            </w:r>
          </w:p>
        </w:tc>
      </w:tr>
      <w:tr>
        <w:trPr>
          <w:trHeight w:val="216"/>
        </w:trPr>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Be Purchased Under</w:t>
            </w:r>
          </w:p>
        </w:tc>
      </w:tr>
      <w:tr>
        <w:trPr>
          <w:trHeight w:val="216"/>
        </w:trPr>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 DKK</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09"/>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 Repurchase Programs</w:t>
            </w:r>
          </w:p>
        </w:tc>
        <w:tc>
          <w:tcPr>
            <w:tcW w:w="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15, 2024 - February 29,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1,985.50</w:t>
            </w:r>
          </w:p>
        </w:tc>
        <w:tc>
          <w:tcPr>
            <w:tcW w:w="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176,123</w:t>
            </w:r>
          </w:p>
        </w:tc>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2,042.36</w:t>
            </w: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176,123</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 2024 - April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519,806</w:t>
            </w:r>
          </w:p>
        </w:tc>
        <w:tc>
          <w:tcPr>
            <w:tcW w:w="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519,806</w:t>
            </w:r>
          </w:p>
        </w:tc>
        <w:tc>
          <w:tcPr>
            <w:tcW w:w="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391,492</w:t>
            </w:r>
          </w:p>
        </w:tc>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1,952.10</w:t>
            </w:r>
          </w:p>
        </w:tc>
        <w:tc>
          <w:tcPr>
            <w:tcW w:w="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391,492</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2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June 3, 2024 - June 26, 2024</w:t>
            </w:r>
          </w:p>
        </w:tc>
        <w:tc>
          <w:tcPr>
            <w:tcW w:w="1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789,432</w:t>
            </w:r>
          </w:p>
        </w:tc>
        <w:tc>
          <w:tcPr>
            <w:tcW w:w="4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1,821.83</w:t>
            </w:r>
          </w:p>
        </w:tc>
        <w:tc>
          <w:tcPr>
            <w:tcW w:w="20" w:type="dxa"/>
            <w:vAlign w:val="bottom"/>
          </w:tcPr>
          <w:p>
            <w:pPr>
              <w:spacing w:after="0"/>
              <w:rPr>
                <w:sz w:val="16"/>
                <w:szCs w:val="16"/>
                <w:color w:val="auto"/>
              </w:rPr>
            </w:pPr>
          </w:p>
        </w:tc>
        <w:tc>
          <w:tcPr>
            <w:tcW w:w="1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789,432</w:t>
            </w:r>
          </w:p>
        </w:tc>
        <w:tc>
          <w:tcPr>
            <w:tcW w:w="20" w:type="dxa"/>
            <w:vAlign w:val="bottom"/>
          </w:tcPr>
          <w:p>
            <w:pPr>
              <w:spacing w:after="0"/>
              <w:rPr>
                <w:sz w:val="16"/>
                <w:szCs w:val="16"/>
                <w:color w:val="auto"/>
              </w:rPr>
            </w:pPr>
          </w:p>
        </w:tc>
        <w:tc>
          <w:tcPr>
            <w:tcW w:w="1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2,011,853</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2,011,853</w:t>
            </w:r>
          </w:p>
        </w:tc>
        <w:tc>
          <w:tcPr>
            <w:tcW w:w="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February Share Buy-Back Program was conducted pursuant to authorization of our shareholders to repurchase up to 500,000 shares with a nominal value of DKK 500,000, given in April 2021, which expires in April 2026 (the “2021 Authorization”). No shares remain to be repurchased under the February Share Buy-Back Program, but up to 50,000 shares are authorized for repurchase by the shareholders pursuant to the 2021 Authorization, should additional share buy-back programs be implemented in the future.</w:t>
      </w:r>
    </w:p>
    <w:p>
      <w:pPr>
        <w:spacing w:after="0" w:line="183"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March Share Buy-Back Program was conducted pursuant to authorization of our shareholders to repurchase up to 3,500,000 shares with a nominal value of DKK 3,500,000, given in March 2024, which expires in March 2029 (the “2024 Authorization”). The March Share Buy-Back Program resulted in the repurchase of 1,821,853 shares worth approximately DKK 3,500,000,000. As a result, no shares remain to be repurchased under the March Share Buy-Back Program, but up to 1,678,147 shares remain authorized for repurchase by the shareholders pursuant to the 2024 Authorization, should additional share buy-back programs be implemented in the future.</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a result of mandatory rotation of independent audit firms for public companies in Denmark, as established by the European Union regulations, Genmab could not renew PricewaterhouseCoopers Statsautoriseret Revisionspartnerselskab (“PwC”) contract for the fiscal year beginning January 1, 2024. Accordingly, the Board of Directors in accordance with a recommendation from the Audit and Finance Committee proposed the appointment of Deloitte Statsautoriseret Revisionspartnerselskab (“Deloitte”) as Genmab’s new statutory auditor and independent registered public accounting firm. Deloitte was confirmed as statutory auditor for the fiscal year beginning January 1, 2024 at the annual general meeting held on March 13, 2024, replacing PwC. PwC was dismissed as Genmab’s independent registered public accounting firm on February 14, 2024 upon the issuance of its audit report in respect of the fiscal year ended December 31, 2023.</w:t>
      </w:r>
    </w:p>
    <w:p>
      <w:pPr>
        <w:spacing w:after="0" w:line="18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PwC’s audit reports on Genmab’s consolidated financial statements for the years ended December 31, 2023 and 2022 contained no adverse opinion or a disclaimer of opinion and were not qualified or modified as to uncertainty, audit scope, or accounting principle.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2023 and 2022, and through February 14, 2024, there have been (i) no disagreements between Genmab and PwC on any matters of accounting principles or practices, financial statement disclosure, or auditing scope or procedure, which disagreement, if not resolved to the satisfaction of PwC, would have caused PwC to make reference thereto in their reports on the financial statements for such years, and (ii) no “reportable events” as that term is defined in Item 16F(a)(1)(v) of Form 20-F, except for the material weakness in the Company’s internal control over financial reporting as reported in Item 15 of the Company’s Annual Report on Form 20-F for the year-ended December 31, 2023 relating to the design and maintenance of effective controls to assess and account for royalty revenue reduction provisions within agreements with collaboration partners.</w:t>
      </w:r>
    </w:p>
    <w:p>
      <w:pPr>
        <w:spacing w:after="0" w:line="19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Genmab has provided PwC with a copy of the foregoing disclosure under this Item 16F and has requested PwC to furnish Genmab with a letter addressed to the Securities and Exchange Commission stating whether or not PwC agrees with such disclosure. A copy of PwC's letter dated February 12, 2025 is provided as Exhibit 15.4 of this Annual Report on Form 20-F.</w:t>
      </w:r>
    </w:p>
    <w:p>
      <w:pPr>
        <w:spacing w:after="0" w:line="18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and through March 13, 2024, neither Genmab nor anyone on its behalf consulted Deloitte in relation to either: (1) the application of accounting principles to a specified transaction, either completed or proposed, or the type of audit opinion that might be rendered on Genmab’s consolidated financial statements and neither a written report was provided to Genmab or oral advice was provided that Deloitte concluded was an important factor considered by Genmab in reaching a decision as to the accounting, auditing or financial reporting issue or (2) any matter that was either the subject of a disagreement (as defined in Item 16F(a)(1)(iv)) of Form 20-F or a reportable event as that term is defined in Item 16F(a)(1)(v) of Form 20-F.</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5" w:lineRule="exact"/>
        <w:rPr>
          <w:sz w:val="20"/>
          <w:szCs w:val="20"/>
          <w:color w:val="auto"/>
        </w:rPr>
      </w:pPr>
    </w:p>
    <w:p>
      <w:pPr>
        <w:ind w:left="60" w:right="99" w:firstLine="324"/>
        <w:spacing w:after="0" w:line="262" w:lineRule="auto"/>
        <w:rPr>
          <w:sz w:val="20"/>
          <w:szCs w:val="20"/>
          <w:color w:val="auto"/>
        </w:rPr>
      </w:pPr>
      <w:r>
        <w:rPr>
          <w:rFonts w:ascii="Times New Roman" w:cs="Times New Roman" w:eastAsia="Times New Roman" w:hAnsi="Times New Roman"/>
          <w:sz w:val="18"/>
          <w:szCs w:val="18"/>
          <w:color w:val="231F20"/>
        </w:rPr>
        <w:t>The listing rules of the Nasdaq (the “</w:t>
      </w:r>
      <w:r>
        <w:rPr>
          <w:rFonts w:ascii="Times New Roman" w:cs="Times New Roman" w:eastAsia="Times New Roman" w:hAnsi="Times New Roman"/>
          <w:sz w:val="18"/>
          <w:szCs w:val="18"/>
          <w:b w:val="1"/>
          <w:bCs w:val="1"/>
          <w:color w:val="231F20"/>
        </w:rPr>
        <w:t>Nasdaq Listing Rules</w:t>
      </w:r>
      <w:r>
        <w:rPr>
          <w:rFonts w:ascii="Times New Roman" w:cs="Times New Roman" w:eastAsia="Times New Roman" w:hAnsi="Times New Roman"/>
          <w:sz w:val="18"/>
          <w:szCs w:val="18"/>
          <w:color w:val="231F20"/>
        </w:rPr>
        <w:t>”)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we follow in lieu of the Nasdaq Listing Rules are described below.</w:t>
      </w:r>
    </w:p>
    <w:p>
      <w:pPr>
        <w:spacing w:after="0" w:line="180" w:lineRule="exact"/>
        <w:rPr>
          <w:sz w:val="20"/>
          <w:szCs w:val="20"/>
          <w:color w:val="auto"/>
        </w:rPr>
      </w:pPr>
    </w:p>
    <w:p>
      <w:pPr>
        <w:ind w:left="1040" w:right="159" w:hanging="315"/>
        <w:spacing w:after="0" w:line="266"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quorum requirements of the Nasdaq Stock Market applicable to meetings of shareholders. In accordance with Danish corporate law and generally accepted business practice, our articles of association do not provide quorum requirements for general meetings of shareholders.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54"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requirements of the Nasdaq Stock Market regarding the provision of proxy statements 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Rather than providing proxy statements, we provide notice prior to convening a general meeting, including an agenda and other relevant documents, to the Danish Business Authority and written notice to all registered shareholders who have so requested.</w:t>
      </w:r>
    </w:p>
    <w:p>
      <w:pPr>
        <w:spacing w:after="0" w:line="188" w:lineRule="exact"/>
        <w:rPr>
          <w:rFonts w:ascii="Times New Roman" w:cs="Times New Roman" w:eastAsia="Times New Roman" w:hAnsi="Times New Roman"/>
          <w:sz w:val="18"/>
          <w:szCs w:val="18"/>
          <w:color w:val="auto"/>
        </w:rPr>
      </w:pPr>
    </w:p>
    <w:p>
      <w:pPr>
        <w:ind w:left="1040" w:right="159" w:hanging="315"/>
        <w:spacing w:after="0" w:line="289" w:lineRule="auto"/>
        <w:tabs>
          <w:tab w:leader="none" w:pos="10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We do not follow the requirements of the Nasdaq Stock Market regarding shareholder approval for certain issuances of securities under Nasdaq Listing Rule 5635. Pursuant to Danish </w:t>
      </w:r>
      <w:r>
        <w:rPr>
          <w:rFonts w:ascii="Times New Roman" w:cs="Times New Roman" w:eastAsia="Times New Roman" w:hAnsi="Times New Roman"/>
          <w:sz w:val="17"/>
          <w:szCs w:val="17"/>
          <w:color w:val="000000"/>
        </w:rPr>
        <w:t>corporate law and our articles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association, our shareholders have authorized our Board to issue securities, including shares and warrants.</w:t>
      </w:r>
    </w:p>
    <w:p>
      <w:pPr>
        <w:spacing w:after="0" w:line="157" w:lineRule="exact"/>
        <w:rPr>
          <w:rFonts w:ascii="Times New Roman" w:cs="Times New Roman" w:eastAsia="Times New Roman" w:hAnsi="Times New Roman"/>
          <w:sz w:val="17"/>
          <w:szCs w:val="17"/>
          <w:color w:val="auto"/>
        </w:rPr>
      </w:pPr>
    </w:p>
    <w:p>
      <w:pPr>
        <w:ind w:left="1040" w:right="139" w:hanging="315"/>
        <w:spacing w:after="0" w:line="261"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 of the Nasdaq Stock Market that each member of the Compensation Committee be independent as defined under Nasdaq Listing Rule 5605(a)(2). No such requirement exists pursuant to Danish law. We do not have an independent Compensation Committee within the meaning of the Nasdaq Listing Rules because we consider Anders Gersel Pedersen, a member of the Compensation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139"/>
        <w:spacing w:after="0" w:line="252" w:lineRule="auto"/>
        <w:rPr>
          <w:sz w:val="20"/>
          <w:szCs w:val="20"/>
          <w:color w:val="auto"/>
        </w:rPr>
      </w:pPr>
      <w:r>
        <w:rPr>
          <w:rFonts w:ascii="Times New Roman" w:cs="Times New Roman" w:eastAsia="Times New Roman" w:hAnsi="Times New Roman"/>
          <w:sz w:val="18"/>
          <w:szCs w:val="18"/>
          <w:color w:val="231F20"/>
        </w:rPr>
        <w:t>Committee, to be a non-independent director solely by virtue of the length of his tenure on our Board, following his election to the Board in 2003. We do not consider Dr. Pedersen’s tenure as material to his ability to be independent from Executive Management in connection with his duties as a Compensation Committee member. The charter of the Compensation Committee requires a majority of its members to meet the independence requirements established by the Board and applicable laws, regulations, corporate governance recommendations, and listing requirements (if any).We do not follow the requirement of the Nasdaq Stock Market that we have independent director oversight of director nominations as prescribed by Nasdaq Listing Rule 5605(e)(1). No such requirement exists pursuant to Danish law. We do not have independent oversight of director nominations because we consider Anders Gersel Pedersen to be a non-independent director solely by virtue of the length of his tenure on our Board, following his election to the Board in 2003. We do not consider Dr. Pedersen’s tenure as material to his ability to be independent from Executive Management in connection with his duties as a member of the Nominating and Corporate Governance Committee. The charter of the Nominating and Corporate Governance Committee requires a majority of its members to meet the independence requirements established by the Board and applicable laws, regulations, corporate governance recommendations, and listing requirements (if any).</w:t>
      </w:r>
    </w:p>
    <w:p>
      <w:pPr>
        <w:spacing w:after="0" w:line="196" w:lineRule="exact"/>
        <w:rPr>
          <w:sz w:val="20"/>
          <w:szCs w:val="20"/>
          <w:color w:val="auto"/>
        </w:rPr>
      </w:pPr>
    </w:p>
    <w:p>
      <w:pPr>
        <w:ind w:left="1040" w:right="139" w:hanging="315"/>
        <w:spacing w:after="0" w:line="258"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do not follow the requirement of the Nasdaq Stock Market that our independent directors must have regularly scheduled meetings at which only independent directors are present. No such requirement exists pursuant to Danish law. Our directors regularly meet in executive sessions without the participation of management. However, our Employee Elected Directors, who are not independent within the meaning of the Nasdaq Listing Rules, attend these executive sessions.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have adopted two insider trading policies, one of which governs the purchase, sale, and other transactions in our securities by our Board of Directors, Executive Management and other permanent insiders and the other governs such transactions by our employees, and employees of our directly and indirectly owned subsidiaries. These policies have been reasonably designed to promote compliance with applicable insider trading laws, rules and regulations, and any listing standards applicable to us. Copies of our insider trading policies are attached as Exhibits 11.1 and 11.2 to this Annual Report.</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Cybersecurity Program and Risk Management</w:t>
      </w:r>
    </w:p>
    <w:p>
      <w:pPr>
        <w:spacing w:after="0" w:line="22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Safeguarding the confidentiality, integrity, and availability of systems, data and applications as well as protecting trade secrets and data privacy is an essential pillar in ensuring the business continuity of Genmab, and complying with regulatory requirements, and maintaining the trust of our patients, employees, shareholders, partners, and other stakeholders. Genmab maintains a comprehensive cybersecurity program based on the National Institute of Standards and Technology’s NIST 800 Special Publication Information Security standard (“</w:t>
      </w:r>
      <w:r>
        <w:rPr>
          <w:rFonts w:ascii="Times New Roman" w:cs="Times New Roman" w:eastAsia="Times New Roman" w:hAnsi="Times New Roman"/>
          <w:sz w:val="17"/>
          <w:szCs w:val="17"/>
          <w:b w:val="1"/>
          <w:bCs w:val="1"/>
          <w:color w:val="auto"/>
        </w:rPr>
        <w:t>NIST Standard</w:t>
      </w:r>
      <w:r>
        <w:rPr>
          <w:rFonts w:ascii="Times New Roman" w:cs="Times New Roman" w:eastAsia="Times New Roman" w:hAnsi="Times New Roman"/>
          <w:sz w:val="17"/>
          <w:szCs w:val="17"/>
          <w:color w:val="auto"/>
        </w:rPr>
        <w:t>”) for managing cybersecurity activities, including formulation of global objectives of the cybersecurity program and risk identification and mitigation activities.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Genmab’s Information Security Department, led by the Global Head of Information Security and Information Technology Risk &amp; Compliance Management, is responsible for administering and annually updating our enterprise-wide information security program. The program includes activities and projects in all six functions (govern, identify, protect, detect, respond, recover) of the NIST standard with the goal of further improving Genmab’s security profile and adapting, where needed, to changes in Genmab’s business strategy and threat environment. Input for the program comes from the annual attack and penetration test, periodic threat landscape and security maturity assessments, as well as requirements of applicable cybersecurity regulations. The Information Security Department is also responsible for a number of global security processes and services that Genmab undertakes, such as the following:</w:t>
      </w:r>
    </w:p>
    <w:p>
      <w:pPr>
        <w:spacing w:after="0" w:line="192" w:lineRule="exact"/>
        <w:rPr>
          <w:sz w:val="20"/>
          <w:szCs w:val="20"/>
          <w:color w:val="auto"/>
        </w:rPr>
      </w:pPr>
    </w:p>
    <w:p>
      <w:pPr>
        <w:ind w:left="760" w:hanging="31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and administering information security policies and standards;</w:t>
      </w:r>
    </w:p>
    <w:p>
      <w:pPr>
        <w:spacing w:after="0" w:line="225" w:lineRule="exact"/>
        <w:rPr>
          <w:rFonts w:ascii="Times New Roman" w:cs="Times New Roman" w:eastAsia="Times New Roman" w:hAnsi="Times New Roman"/>
          <w:sz w:val="18"/>
          <w:szCs w:val="18"/>
          <w:color w:val="auto"/>
        </w:rPr>
      </w:pPr>
    </w:p>
    <w:p>
      <w:pPr>
        <w:ind w:left="760" w:right="179" w:hanging="31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training (including the administration of a third-party phishing learning platform, conducting periodic global security awareness events and preparing other learning materials);</w:t>
      </w:r>
    </w:p>
    <w:p>
      <w:pPr>
        <w:spacing w:after="0" w:line="161" w:lineRule="exact"/>
        <w:rPr>
          <w:rFonts w:ascii="Times New Roman" w:cs="Times New Roman" w:eastAsia="Times New Roman" w:hAnsi="Times New Roman"/>
          <w:sz w:val="18"/>
          <w:szCs w:val="18"/>
          <w:color w:val="auto"/>
        </w:rPr>
      </w:pPr>
    </w:p>
    <w:p>
      <w:pPr>
        <w:ind w:left="760" w:right="419" w:hanging="31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 assessment of new and existing vendors, partners and other third parties with respect to whom a security risk assessment is deemed appropriate;</w:t>
      </w:r>
    </w:p>
    <w:p>
      <w:pPr>
        <w:spacing w:after="0" w:line="161"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new contracts and assessment of the impact of new technologies on security;</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 detection and management;</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operational security incident exercises, and vulnerability scanning.</w:t>
      </w:r>
    </w:p>
    <w:p>
      <w:pPr>
        <w:spacing w:after="0" w:line="225" w:lineRule="exact"/>
        <w:rPr>
          <w:sz w:val="20"/>
          <w:szCs w:val="20"/>
          <w:color w:val="auto"/>
        </w:rPr>
      </w:pPr>
    </w:p>
    <w:p>
      <w:pPr>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We work with consultants and other third-party advisors to perform security services and conduct security assessments and independent audits of the security and resilience of our systems and networks. We have also established a cyber response task force consisting of leaders from Finance, Legal, Compliance, Communications, and Information Technology</w:t>
      </w:r>
    </w:p>
    <w:p>
      <w:pPr>
        <w:spacing w:after="0" w:line="2" w:lineRule="exact"/>
        <w:rPr>
          <w:sz w:val="20"/>
          <w:szCs w:val="20"/>
          <w:color w:val="auto"/>
        </w:rPr>
      </w:pPr>
    </w:p>
    <w:p>
      <w:pPr>
        <w:ind w:left="60" w:right="119" w:hanging="10"/>
        <w:spacing w:after="0" w:line="253"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t>
      </w:r>
      <w:r>
        <w:rPr>
          <w:rFonts w:ascii="Times New Roman" w:cs="Times New Roman" w:eastAsia="Times New Roman" w:hAnsi="Times New Roman"/>
          <w:sz w:val="18"/>
          <w:szCs w:val="18"/>
          <w:b w:val="1"/>
          <w:bCs w:val="1"/>
          <w:color w:val="auto"/>
        </w:rPr>
        <w:t>IT&amp;D</w:t>
      </w:r>
      <w:r>
        <w:rPr>
          <w:rFonts w:ascii="Times New Roman" w:cs="Times New Roman" w:eastAsia="Times New Roman" w:hAnsi="Times New Roman"/>
          <w:sz w:val="18"/>
          <w:szCs w:val="18"/>
          <w:color w:val="auto"/>
        </w:rPr>
        <w:t>”) departments. The task force is responsible for cybersecurity crisis preparedness and the management of cybersecurity crisis situations. This task force regularly leads scenario exercises, which include engagement of all levels of management including members of Genmab’s Executive Committee, to assess Genmab’s resilience capabilities in the event of a cybersecurity crisis.</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have integrated information security risk management into our overall risk management infrastructure through our enterprise risk management program. The enterprise risk management program, which is overseen by our Global Compliance &amp; Risk Committee (“</w:t>
      </w:r>
      <w:r>
        <w:rPr>
          <w:rFonts w:ascii="Times New Roman" w:cs="Times New Roman" w:eastAsia="Times New Roman" w:hAnsi="Times New Roman"/>
          <w:sz w:val="18"/>
          <w:szCs w:val="18"/>
          <w:b w:val="1"/>
          <w:bCs w:val="1"/>
          <w:color w:val="auto"/>
        </w:rPr>
        <w:t>GCRC</w:t>
      </w:r>
      <w:r>
        <w:rPr>
          <w:rFonts w:ascii="Times New Roman" w:cs="Times New Roman" w:eastAsia="Times New Roman" w:hAnsi="Times New Roman"/>
          <w:sz w:val="18"/>
          <w:szCs w:val="18"/>
          <w:color w:val="auto"/>
        </w:rPr>
        <w:t>”), entails a formal process that seeks to identify, assess, mitigate and manage the risks from both internal and external conditions that could significantly impact the Company and influence our business strategy and performance.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229"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 Global Head of Information Security and Information Technology Risk &amp; Compliance Management is responsible for information security within Genmab and reports to the Global Head of IT&amp;D. Our current Global Head of Information Security and Information Technology Risk &amp; Compliance Management has more than 15 years of experience in leading global information and cyber security departments and programs, and our current Global Head of IT&amp;D has more than 20 years of experience in leading, managing and transforming IT departments, in each case for large, global organizations.</w:t>
      </w:r>
    </w:p>
    <w:p>
      <w:pPr>
        <w:spacing w:after="0" w:line="16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Global Head of Information Security and Information Technology Risk &amp; Compliance Management reports the status of the Genmab information security program, security threats, incidents, and risks quarterly to the GCRC, chaired by Genmab’s CEO and the Senior Vice President, Head of Global Compliance and Risk, and in which members of our Executive Committee participate. The status of risk mitigation actions and newly identified risks are discussed during periodic meetings of the Information Technology Risk Governance Board, consisting of members of the IT&amp;D Leadership Team and chaired by the Global Head of IT&amp;D. Results of security assessments and periodic cyber threat landscape assessments may also be integrated in strategic reports to Genmab’s relevant business leaders and the GCRC when appropriate.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oversees our approach to overall risk management. The board has delegated oversight of information security strategy and risks to the Audit and Finance Committee. The Audit and Finance Committee is responsible for reviewing Genmab’s information security strategy and program, including with respect to identification and management of cybersecurity risks and threats. The Global Head of Information Security and IT Risk &amp; Compliance Management presents an update on the status of the Genmab information security strategy and program, including strategic priorities, progress made in respect of those priorities and a review of cybersecurity incidents, risks, and threats to the Audit and Finance Committee at least annually. A summary management report on the information security strategy, program, incidents, risks and threats is presented to the Board of Directors periodically and is supplemented by discussions between the Board of Directors and Audit and Finance Committee.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18—Financial Statements.”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incorporated herein by reference to pages 139-182 of our Annual Report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p>
      <w:pPr>
        <w:ind w:left="380" w:hanging="330"/>
        <w:spacing w:after="0"/>
        <w:tabs>
          <w:tab w:leader="none" w:pos="3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60" w:right="219" w:firstLine="324"/>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The following pages from our </w:t>
        </w:r>
        <w:r>
          <w:rPr>
            <w:rFonts w:ascii="Times New Roman" w:cs="Times New Roman" w:eastAsia="Times New Roman" w:hAnsi="Times New Roman"/>
            <w:sz w:val="18"/>
            <w:szCs w:val="18"/>
            <w:u w:val="single" w:color="auto"/>
            <w:color w:val="0000EE"/>
          </w:rPr>
          <w:t>Annual Report 2024, furnished to the SEC as Exhibit 99.1(a) to Form 6-K, dated</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u w:val="single" w:color="auto"/>
            <w:color w:val="0000EE"/>
          </w:rPr>
          <w:t>February 12,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are incorporated by reference into this Form 20-F. The content of websites, scientific articles and </w:t>
        </w:r>
      </w:hyperlink>
      <w:r>
        <w:rPr>
          <w:rFonts w:ascii="Times New Roman" w:cs="Times New Roman" w:eastAsia="Times New Roman" w:hAnsi="Times New Roman"/>
          <w:sz w:val="18"/>
          <w:szCs w:val="18"/>
          <w:color w:val="0000EE"/>
        </w:rPr>
        <w:t xml:space="preserve">other </w:t>
      </w:r>
      <w:r>
        <w:rPr>
          <w:rFonts w:ascii="Times New Roman" w:cs="Times New Roman" w:eastAsia="Times New Roman" w:hAnsi="Times New Roman"/>
          <w:sz w:val="18"/>
          <w:szCs w:val="18"/>
          <w:color w:val="000000"/>
        </w:rPr>
        <w:t>sources referenced on these pages are not incorporated by reference into this Annual Report on Form 20-F.</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Page(s) incorporated by reference from our Annual Report 2024</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Financial Review – pages 52-60</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Financial Statements for the Genmab Group – pages 139-182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right="359"/>
        <w:spacing w:after="0" w:line="282" w:lineRule="auto"/>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 – page 140</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 – page 141</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 – page 142</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2024, 2023 and 2022 – page 143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Notes to the Consolidated Financial Statements – pages 144-182</w:t>
      </w:r>
    </w:p>
    <w:p>
      <w:pPr>
        <w:spacing w:after="0" w:line="221" w:lineRule="exact"/>
        <w:rPr>
          <w:sz w:val="20"/>
          <w:szCs w:val="20"/>
          <w:color w:val="auto"/>
        </w:rPr>
      </w:pPr>
    </w:p>
    <w:p>
      <w:pPr>
        <w:ind w:left="380" w:hanging="330"/>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28"/>
        </w:trPr>
        <w:tc>
          <w:tcPr>
            <w:tcW w:w="1140" w:type="dxa"/>
            <w:vAlign w:val="bottom"/>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rPr>
              <w:t>1.1</w:t>
            </w:r>
          </w:p>
        </w:tc>
        <w:tc>
          <w:tcPr>
            <w:tcW w:w="3940" w:type="dxa"/>
            <w:vAlign w:val="bottom"/>
            <w:gridSpan w:val="5"/>
          </w:tcPr>
          <w:p>
            <w:pPr>
              <w:spacing w:after="0" w:line="12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English translation of Articles of Association of Genmab A/S, as</w:t>
              </w:r>
            </w:hyperlink>
          </w:p>
        </w:tc>
        <w:tc>
          <w:tcPr>
            <w:tcW w:w="378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Incorporated by reference to the Registrant’s Report furnished</w:t>
            </w:r>
          </w:p>
        </w:tc>
      </w:tr>
      <w:tr>
        <w:trPr>
          <w:trHeight w:val="128"/>
        </w:trPr>
        <w:tc>
          <w:tcPr>
            <w:tcW w:w="1140" w:type="dxa"/>
            <w:vAlign w:val="bottom"/>
          </w:tcPr>
          <w:p>
            <w:pPr>
              <w:spacing w:after="0"/>
              <w:rPr>
                <w:sz w:val="11"/>
                <w:szCs w:val="11"/>
                <w:color w:val="auto"/>
              </w:rPr>
            </w:pPr>
          </w:p>
        </w:tc>
        <w:tc>
          <w:tcPr>
            <w:tcW w:w="104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currently in effect</w:t>
              </w:r>
            </w:hyperlink>
          </w:p>
        </w:tc>
        <w:tc>
          <w:tcPr>
            <w:tcW w:w="2700" w:type="dxa"/>
            <w:vAlign w:val="bottom"/>
            <w:tcBorders>
              <w:top w:val="single" w:sz="8" w:color="0000EE"/>
            </w:tcBorders>
            <w:gridSpan w:val="3"/>
          </w:tcPr>
          <w:p>
            <w:pPr>
              <w:spacing w:after="0"/>
              <w:rPr>
                <w:sz w:val="11"/>
                <w:szCs w:val="11"/>
                <w:color w:val="auto"/>
              </w:rPr>
            </w:pPr>
          </w:p>
        </w:tc>
        <w:tc>
          <w:tcPr>
            <w:tcW w:w="200" w:type="dxa"/>
            <w:vAlign w:val="bottom"/>
          </w:tcPr>
          <w:p>
            <w:pPr>
              <w:spacing w:after="0"/>
              <w:rPr>
                <w:sz w:val="11"/>
                <w:szCs w:val="11"/>
                <w:color w:val="auto"/>
              </w:rPr>
            </w:pPr>
          </w:p>
        </w:tc>
        <w:tc>
          <w:tcPr>
            <w:tcW w:w="378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to the SEC on Form 6-K on January 29, 2025</w:t>
            </w:r>
          </w:p>
        </w:tc>
      </w:tr>
      <w:tr>
        <w:trPr>
          <w:trHeight w:val="277"/>
        </w:trPr>
        <w:tc>
          <w:tcPr>
            <w:tcW w:w="1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w:t>
            </w:r>
          </w:p>
        </w:tc>
        <w:tc>
          <w:tcPr>
            <w:tcW w:w="3940" w:type="dxa"/>
            <w:vAlign w:val="bottom"/>
            <w:gridSpan w:val="5"/>
          </w:tcPr>
          <w:p>
            <w:pPr>
              <w:spacing w:after="0"/>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Amended and Restated Deposit Agreement</w:t>
              </w:r>
            </w:hyperlink>
          </w:p>
        </w:tc>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Incorporated by reference to Exhibit (a)(3) to the Registrant’s</w:t>
            </w:r>
          </w:p>
        </w:tc>
      </w:tr>
      <w:tr>
        <w:trPr>
          <w:trHeight w:val="168"/>
        </w:trPr>
        <w:tc>
          <w:tcPr>
            <w:tcW w:w="1140" w:type="dxa"/>
            <w:vAlign w:val="bottom"/>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Form F-6 filed with the SEC on July 15, 2019</w:t>
            </w:r>
          </w:p>
        </w:tc>
      </w:tr>
      <w:tr>
        <w:trPr>
          <w:trHeight w:val="257"/>
        </w:trPr>
        <w:tc>
          <w:tcPr>
            <w:tcW w:w="1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2.2</w:t>
            </w:r>
          </w:p>
        </w:tc>
        <w:tc>
          <w:tcPr>
            <w:tcW w:w="3940" w:type="dxa"/>
            <w:vAlign w:val="bottom"/>
            <w:gridSpan w:val="5"/>
          </w:tcPr>
          <w:p>
            <w:pPr>
              <w:spacing w:after="0"/>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Form of American Depositary Receipt</w:t>
              </w:r>
            </w:hyperlink>
          </w:p>
        </w:tc>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Included in Exhibit 2.1, which is incorporated by reference to</w:t>
            </w:r>
          </w:p>
        </w:tc>
      </w:tr>
      <w:tr>
        <w:trPr>
          <w:trHeight w:val="119"/>
        </w:trPr>
        <w:tc>
          <w:tcPr>
            <w:tcW w:w="1140" w:type="dxa"/>
            <w:vAlign w:val="bottom"/>
          </w:tcPr>
          <w:p>
            <w:pPr>
              <w:spacing w:after="0"/>
              <w:rPr>
                <w:sz w:val="10"/>
                <w:szCs w:val="10"/>
                <w:color w:val="auto"/>
              </w:rPr>
            </w:pPr>
          </w:p>
        </w:tc>
        <w:tc>
          <w:tcPr>
            <w:tcW w:w="104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80" w:type="dxa"/>
            <w:vAlign w:val="bottom"/>
          </w:tcPr>
          <w:p>
            <w:pPr>
              <w:ind w:left="200"/>
              <w:spacing w:after="0" w:line="119" w:lineRule="exact"/>
              <w:rPr>
                <w:sz w:val="20"/>
                <w:szCs w:val="20"/>
                <w:color w:val="auto"/>
              </w:rPr>
            </w:pPr>
            <w:r>
              <w:rPr>
                <w:rFonts w:ascii="Times New Roman" w:cs="Times New Roman" w:eastAsia="Times New Roman" w:hAnsi="Times New Roman"/>
                <w:sz w:val="13"/>
                <w:szCs w:val="13"/>
                <w:color w:val="auto"/>
              </w:rPr>
              <w:t>Exhibit (a)(3) to the Registrant’s Form F-6 filed with the SEC</w:t>
            </w:r>
          </w:p>
        </w:tc>
      </w:tr>
      <w:tr>
        <w:trPr>
          <w:trHeight w:val="188"/>
        </w:trPr>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on July 15, 2019</w:t>
            </w:r>
          </w:p>
        </w:tc>
      </w:tr>
    </w:tbl>
    <w:p>
      <w:pPr>
        <w:spacing w:after="0" w:line="109"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1200" w:right="520" w:hanging="489"/>
        <w:spacing w:after="0" w:line="26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2.3</w:t>
      </w:r>
      <w:r>
        <w:rPr>
          <w:sz w:val="20"/>
          <w:szCs w:val="20"/>
          <w:color w:val="auto"/>
        </w:rPr>
        <w:tab/>
      </w:r>
      <w:hyperlink r:id="rId142">
        <w:r>
          <w:rPr>
            <w:rFonts w:ascii="Times New Roman" w:cs="Times New Roman" w:eastAsia="Times New Roman" w:hAnsi="Times New Roman"/>
            <w:sz w:val="14"/>
            <w:szCs w:val="14"/>
            <w:u w:val="single" w:color="auto"/>
            <w:color w:val="0000EE"/>
          </w:rPr>
          <w:t>Description of Securities Registered under Section 12 of the</w:t>
        </w:r>
      </w:hyperlink>
      <w:r>
        <w:rPr>
          <w:rFonts w:ascii="Times New Roman" w:cs="Times New Roman" w:eastAsia="Times New Roman" w:hAnsi="Times New Roman"/>
          <w:sz w:val="14"/>
          <w:szCs w:val="14"/>
          <w:u w:val="single" w:color="auto"/>
          <w:color w:val="0000EE"/>
        </w:rPr>
        <w:t xml:space="preserve"> </w:t>
      </w:r>
      <w:hyperlink r:id="rId142">
        <w:r>
          <w:rPr>
            <w:rFonts w:ascii="Times New Roman" w:cs="Times New Roman" w:eastAsia="Times New Roman" w:hAnsi="Times New Roman"/>
            <w:sz w:val="14"/>
            <w:szCs w:val="14"/>
            <w:u w:val="single" w:color="auto"/>
            <w:color w:val="0000EE"/>
          </w:rPr>
          <w:t>Exchange Act</w:t>
        </w:r>
      </w:hyperlink>
    </w:p>
    <w:p>
      <w:pPr>
        <w:spacing w:after="0" w:line="240" w:lineRule="exact"/>
        <w:rPr>
          <w:sz w:val="20"/>
          <w:szCs w:val="20"/>
          <w:color w:val="auto"/>
        </w:rPr>
      </w:pPr>
    </w:p>
    <w:p>
      <w:pPr>
        <w:jc w:val="both"/>
        <w:ind w:left="1200" w:right="140" w:hanging="557"/>
        <w:spacing w:after="0" w:line="243"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rFonts w:ascii="Times New Roman" w:cs="Times New Roman" w:eastAsia="Times New Roman" w:hAnsi="Times New Roman"/>
          <w:sz w:val="13"/>
          <w:szCs w:val="13"/>
          <w:color w:val="auto"/>
        </w:rPr>
        <w:t>†</w:t>
      </w:r>
      <w:r>
        <w:rPr>
          <w:sz w:val="20"/>
          <w:szCs w:val="20"/>
          <w:color w:val="auto"/>
        </w:rPr>
        <w:tab/>
      </w:r>
      <w:hyperlink r:id="rId143">
        <w:r>
          <w:rPr>
            <w:rFonts w:ascii="Times New Roman" w:cs="Times New Roman" w:eastAsia="Times New Roman" w:hAnsi="Times New Roman"/>
            <w:sz w:val="14"/>
            <w:szCs w:val="14"/>
            <w:i w:val="1"/>
            <w:iCs w:val="1"/>
            <w:u w:val="single" w:color="auto"/>
            <w:color w:val="0000EE"/>
          </w:rPr>
          <w:t xml:space="preserve">Agreement with J&amp;J related to DARZALEX - </w:t>
        </w:r>
        <w:r>
          <w:rPr>
            <w:rFonts w:ascii="Times New Roman" w:cs="Times New Roman" w:eastAsia="Times New Roman" w:hAnsi="Times New Roman"/>
            <w:sz w:val="14"/>
            <w:szCs w:val="14"/>
            <w:u w:val="single" w:color="auto"/>
            <w:color w:val="0000EE"/>
          </w:rPr>
          <w:t>License Agreement,</w:t>
        </w:r>
      </w:hyperlink>
      <w:r>
        <w:rPr>
          <w:rFonts w:ascii="Times New Roman" w:cs="Times New Roman" w:eastAsia="Times New Roman" w:hAnsi="Times New Roman"/>
          <w:sz w:val="14"/>
          <w:szCs w:val="14"/>
          <w:i w:val="1"/>
          <w:iCs w:val="1"/>
          <w:u w:val="single" w:color="auto"/>
          <w:color w:val="0000EE"/>
        </w:rPr>
        <w:t xml:space="preserve"> </w:t>
      </w:r>
      <w:hyperlink r:id="rId143">
        <w:r>
          <w:rPr>
            <w:rFonts w:ascii="Times New Roman" w:cs="Times New Roman" w:eastAsia="Times New Roman" w:hAnsi="Times New Roman"/>
            <w:sz w:val="14"/>
            <w:szCs w:val="14"/>
            <w:u w:val="single" w:color="auto"/>
            <w:color w:val="0000EE"/>
          </w:rPr>
          <w:t>dated as of August 30, 2012, by and between Janssen Biotech, Inc.</w:t>
        </w:r>
      </w:hyperlink>
      <w:r>
        <w:rPr>
          <w:rFonts w:ascii="Times New Roman" w:cs="Times New Roman" w:eastAsia="Times New Roman" w:hAnsi="Times New Roman"/>
          <w:sz w:val="14"/>
          <w:szCs w:val="14"/>
          <w:u w:val="single" w:color="auto"/>
          <w:color w:val="0000EE"/>
        </w:rPr>
        <w:t xml:space="preserve"> </w:t>
      </w:r>
      <w:hyperlink r:id="rId143">
        <w:r>
          <w:rPr>
            <w:rFonts w:ascii="Times New Roman" w:cs="Times New Roman" w:eastAsia="Times New Roman" w:hAnsi="Times New Roman"/>
            <w:sz w:val="14"/>
            <w:szCs w:val="14"/>
            <w:u w:val="single" w:color="auto"/>
            <w:color w:val="0000EE"/>
          </w:rPr>
          <w:t>and Genmab A/S</w:t>
        </w:r>
      </w:hyperlink>
    </w:p>
    <w:p>
      <w:pPr>
        <w:spacing w:after="0" w:line="105" w:lineRule="exact"/>
        <w:rPr>
          <w:rFonts w:ascii="Times New Roman" w:cs="Times New Roman" w:eastAsia="Times New Roman" w:hAnsi="Times New Roman"/>
          <w:sz w:val="14"/>
          <w:szCs w:val="14"/>
          <w:i w:val="1"/>
          <w:iCs w:val="1"/>
          <w:u w:val="single" w:color="auto"/>
          <w:color w:val="0000EE"/>
        </w:rPr>
      </w:pPr>
    </w:p>
    <w:p>
      <w:pPr>
        <w:ind w:left="1200" w:hanging="557"/>
        <w:spacing w:after="0" w:line="242"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r>
        <w:rPr>
          <w:rFonts w:ascii="Times New Roman" w:cs="Times New Roman" w:eastAsia="Times New Roman" w:hAnsi="Times New Roman"/>
          <w:sz w:val="13"/>
          <w:szCs w:val="13"/>
          <w:color w:val="auto"/>
        </w:rPr>
        <w:t>†</w:t>
      </w:r>
      <w:r>
        <w:rPr>
          <w:sz w:val="20"/>
          <w:szCs w:val="20"/>
          <w:color w:val="auto"/>
        </w:rPr>
        <w:tab/>
      </w:r>
      <w:hyperlink r:id="rId144">
        <w:r>
          <w:rPr>
            <w:rFonts w:ascii="Times New Roman" w:cs="Times New Roman" w:eastAsia="Times New Roman" w:hAnsi="Times New Roman"/>
            <w:sz w:val="14"/>
            <w:szCs w:val="14"/>
            <w:u w:val="single" w:color="auto"/>
            <w:color w:val="0000EE"/>
          </w:rPr>
          <w:t>Amendment Number 1 to the License Agreement, dated as of</w:t>
        </w:r>
      </w:hyperlink>
      <w:r>
        <w:rPr>
          <w:rFonts w:ascii="Times New Roman" w:cs="Times New Roman" w:eastAsia="Times New Roman" w:hAnsi="Times New Roman"/>
          <w:sz w:val="14"/>
          <w:szCs w:val="14"/>
          <w:u w:val="single" w:color="auto"/>
          <w:color w:val="0000EE"/>
        </w:rPr>
        <w:t xml:space="preserve"> </w:t>
      </w:r>
      <w:hyperlink r:id="rId144">
        <w:r>
          <w:rPr>
            <w:rFonts w:ascii="Times New Roman" w:cs="Times New Roman" w:eastAsia="Times New Roman" w:hAnsi="Times New Roman"/>
            <w:sz w:val="14"/>
            <w:szCs w:val="14"/>
            <w:u w:val="single" w:color="auto"/>
            <w:color w:val="0000EE"/>
          </w:rPr>
          <w:t>January 31, 2013, by and between Janssen Biotech, Inc. and Genmab</w:t>
        </w:r>
      </w:hyperlink>
      <w:r>
        <w:rPr>
          <w:rFonts w:ascii="Times New Roman" w:cs="Times New Roman" w:eastAsia="Times New Roman" w:hAnsi="Times New Roman"/>
          <w:sz w:val="14"/>
          <w:szCs w:val="14"/>
          <w:u w:val="single" w:color="auto"/>
          <w:color w:val="0000EE"/>
        </w:rPr>
        <w:t xml:space="preserve"> </w:t>
      </w:r>
      <w:hyperlink r:id="rId144">
        <w:r>
          <w:rPr>
            <w:rFonts w:ascii="Times New Roman" w:cs="Times New Roman" w:eastAsia="Times New Roman" w:hAnsi="Times New Roman"/>
            <w:sz w:val="14"/>
            <w:szCs w:val="14"/>
            <w:u w:val="single" w:color="auto"/>
            <w:color w:val="0000EE"/>
          </w:rPr>
          <w:t>A/S</w:t>
        </w:r>
      </w:hyperlink>
    </w:p>
    <w:p>
      <w:pPr>
        <w:spacing w:after="0" w:line="269" w:lineRule="exact"/>
        <w:rPr>
          <w:rFonts w:ascii="Times New Roman" w:cs="Times New Roman" w:eastAsia="Times New Roman" w:hAnsi="Times New Roman"/>
          <w:sz w:val="14"/>
          <w:szCs w:val="14"/>
          <w:u w:val="single" w:color="auto"/>
          <w:color w:val="0000EE"/>
        </w:rPr>
      </w:pPr>
    </w:p>
    <w:p>
      <w:pPr>
        <w:jc w:val="both"/>
        <w:ind w:left="1200" w:right="440" w:hanging="557"/>
        <w:spacing w:after="0" w:line="24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r>
        <w:rPr>
          <w:rFonts w:ascii="Times New Roman" w:cs="Times New Roman" w:eastAsia="Times New Roman" w:hAnsi="Times New Roman"/>
          <w:sz w:val="13"/>
          <w:szCs w:val="13"/>
          <w:color w:val="auto"/>
        </w:rPr>
        <w:t>†</w:t>
      </w:r>
      <w:r>
        <w:rPr>
          <w:sz w:val="20"/>
          <w:szCs w:val="20"/>
          <w:color w:val="auto"/>
        </w:rPr>
        <w:tab/>
      </w:r>
      <w:hyperlink r:id="rId145">
        <w:r>
          <w:rPr>
            <w:rFonts w:ascii="Times New Roman" w:cs="Times New Roman" w:eastAsia="Times New Roman" w:hAnsi="Times New Roman"/>
            <w:sz w:val="14"/>
            <w:szCs w:val="14"/>
            <w:u w:val="single" w:color="auto"/>
            <w:color w:val="0000EE"/>
          </w:rPr>
          <w:t>Amendment Number 2 to the License Agreement, dated as of</w:t>
        </w:r>
      </w:hyperlink>
      <w:r>
        <w:rPr>
          <w:rFonts w:ascii="Times New Roman" w:cs="Times New Roman" w:eastAsia="Times New Roman" w:hAnsi="Times New Roman"/>
          <w:sz w:val="14"/>
          <w:szCs w:val="14"/>
          <w:u w:val="single" w:color="auto"/>
          <w:color w:val="0000EE"/>
        </w:rPr>
        <w:t xml:space="preserve"> </w:t>
      </w:r>
      <w:hyperlink r:id="rId145">
        <w:r>
          <w:rPr>
            <w:rFonts w:ascii="Times New Roman" w:cs="Times New Roman" w:eastAsia="Times New Roman" w:hAnsi="Times New Roman"/>
            <w:sz w:val="14"/>
            <w:szCs w:val="14"/>
            <w:u w:val="single" w:color="auto"/>
            <w:color w:val="0000EE"/>
          </w:rPr>
          <w:t>October 10, 2013, by and between Janssen Biotech, Inc. and</w:t>
        </w:r>
      </w:hyperlink>
      <w:r>
        <w:rPr>
          <w:rFonts w:ascii="Times New Roman" w:cs="Times New Roman" w:eastAsia="Times New Roman" w:hAnsi="Times New Roman"/>
          <w:sz w:val="14"/>
          <w:szCs w:val="14"/>
          <w:u w:val="single" w:color="auto"/>
          <w:color w:val="0000EE"/>
        </w:rPr>
        <w:t xml:space="preserve"> </w:t>
      </w:r>
      <w:hyperlink r:id="rId145">
        <w:r>
          <w:rPr>
            <w:rFonts w:ascii="Times New Roman" w:cs="Times New Roman" w:eastAsia="Times New Roman" w:hAnsi="Times New Roman"/>
            <w:sz w:val="14"/>
            <w:szCs w:val="14"/>
            <w:u w:val="single" w:color="auto"/>
            <w:color w:val="0000EE"/>
          </w:rPr>
          <w:t>Genmab A/S</w:t>
        </w:r>
      </w:hyperlink>
    </w:p>
    <w:p>
      <w:pPr>
        <w:spacing w:after="0" w:line="109" w:lineRule="exact"/>
        <w:rPr>
          <w:rFonts w:ascii="Times New Roman" w:cs="Times New Roman" w:eastAsia="Times New Roman" w:hAnsi="Times New Roman"/>
          <w:sz w:val="14"/>
          <w:szCs w:val="14"/>
          <w:u w:val="single" w:color="auto"/>
          <w:color w:val="0000EE"/>
        </w:rPr>
      </w:pPr>
    </w:p>
    <w:p>
      <w:pPr>
        <w:ind w:left="1200" w:right="500" w:hanging="557"/>
        <w:spacing w:after="0" w:line="26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4.5</w:t>
      </w:r>
      <w:r>
        <w:rPr>
          <w:rFonts w:ascii="Times New Roman" w:cs="Times New Roman" w:eastAsia="Times New Roman" w:hAnsi="Times New Roman"/>
          <w:sz w:val="13"/>
          <w:szCs w:val="13"/>
          <w:color w:val="auto"/>
        </w:rPr>
        <w:t>†</w:t>
      </w:r>
      <w:r>
        <w:rPr>
          <w:sz w:val="20"/>
          <w:szCs w:val="20"/>
          <w:color w:val="auto"/>
        </w:rPr>
        <w:tab/>
      </w:r>
      <w:hyperlink r:id="rId146">
        <w:r>
          <w:rPr>
            <w:rFonts w:ascii="Times New Roman" w:cs="Times New Roman" w:eastAsia="Times New Roman" w:hAnsi="Times New Roman"/>
            <w:sz w:val="14"/>
            <w:szCs w:val="14"/>
            <w:u w:val="single" w:color="auto"/>
            <w:color w:val="0000EE"/>
          </w:rPr>
          <w:t>Joint Commercialization Agreement dated October 19, 2020</w:t>
        </w:r>
      </w:hyperlink>
      <w:r>
        <w:rPr>
          <w:rFonts w:ascii="Times New Roman" w:cs="Times New Roman" w:eastAsia="Times New Roman" w:hAnsi="Times New Roman"/>
          <w:sz w:val="14"/>
          <w:szCs w:val="14"/>
          <w:u w:val="single" w:color="auto"/>
          <w:color w:val="0000EE"/>
        </w:rPr>
        <w:t xml:space="preserve"> </w:t>
      </w:r>
      <w:hyperlink r:id="rId146">
        <w:r>
          <w:rPr>
            <w:rFonts w:ascii="Times New Roman" w:cs="Times New Roman" w:eastAsia="Times New Roman" w:hAnsi="Times New Roman"/>
            <w:sz w:val="14"/>
            <w:szCs w:val="14"/>
            <w:u w:val="single" w:color="auto"/>
            <w:color w:val="0000EE"/>
          </w:rPr>
          <w:t>between Genmab A/S and Seagen Inc.</w:t>
        </w:r>
      </w:hyperlink>
    </w:p>
    <w:p>
      <w:pPr>
        <w:spacing w:after="0" w:line="244" w:lineRule="exact"/>
        <w:rPr>
          <w:sz w:val="20"/>
          <w:szCs w:val="20"/>
          <w:color w:val="auto"/>
        </w:rPr>
      </w:pPr>
    </w:p>
    <w:p>
      <w:pPr>
        <w:ind w:left="1200" w:right="340" w:hanging="557"/>
        <w:spacing w:after="0" w:line="24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4.6</w:t>
      </w:r>
      <w:r>
        <w:rPr>
          <w:rFonts w:ascii="Times New Roman" w:cs="Times New Roman" w:eastAsia="Times New Roman" w:hAnsi="Times New Roman"/>
          <w:sz w:val="13"/>
          <w:szCs w:val="13"/>
          <w:color w:val="auto"/>
        </w:rPr>
        <w:t>†</w:t>
      </w:r>
      <w:r>
        <w:rPr>
          <w:sz w:val="20"/>
          <w:szCs w:val="20"/>
          <w:color w:val="auto"/>
        </w:rPr>
        <w:tab/>
      </w:r>
      <w:hyperlink r:id="rId147">
        <w:r>
          <w:rPr>
            <w:rFonts w:ascii="Times New Roman" w:cs="Times New Roman" w:eastAsia="Times New Roman" w:hAnsi="Times New Roman"/>
            <w:sz w:val="14"/>
            <w:szCs w:val="14"/>
            <w:u w:val="single" w:color="auto"/>
            <w:color w:val="0000EE"/>
          </w:rPr>
          <w:t>Co-development and Collaboration Agreement, dated as of</w:t>
        </w:r>
      </w:hyperlink>
      <w:r>
        <w:rPr>
          <w:rFonts w:ascii="Times New Roman" w:cs="Times New Roman" w:eastAsia="Times New Roman" w:hAnsi="Times New Roman"/>
          <w:sz w:val="14"/>
          <w:szCs w:val="14"/>
          <w:u w:val="single" w:color="auto"/>
          <w:color w:val="0000EE"/>
        </w:rPr>
        <w:t xml:space="preserve"> </w:t>
      </w:r>
      <w:hyperlink r:id="rId147">
        <w:r>
          <w:rPr>
            <w:rFonts w:ascii="Times New Roman" w:cs="Times New Roman" w:eastAsia="Times New Roman" w:hAnsi="Times New Roman"/>
            <w:sz w:val="14"/>
            <w:szCs w:val="14"/>
            <w:u w:val="single" w:color="auto"/>
            <w:color w:val="0000EE"/>
          </w:rPr>
          <w:t>December 19, 2006, by and between Glaxo Group Limited and</w:t>
        </w:r>
      </w:hyperlink>
      <w:r>
        <w:rPr>
          <w:rFonts w:ascii="Times New Roman" w:cs="Times New Roman" w:eastAsia="Times New Roman" w:hAnsi="Times New Roman"/>
          <w:sz w:val="14"/>
          <w:szCs w:val="14"/>
          <w:u w:val="single" w:color="auto"/>
          <w:color w:val="0000EE"/>
        </w:rPr>
        <w:t xml:space="preserve"> </w:t>
      </w:r>
      <w:hyperlink r:id="rId147">
        <w:r>
          <w:rPr>
            <w:rFonts w:ascii="Times New Roman" w:cs="Times New Roman" w:eastAsia="Times New Roman" w:hAnsi="Times New Roman"/>
            <w:sz w:val="14"/>
            <w:szCs w:val="14"/>
            <w:u w:val="single" w:color="auto"/>
            <w:color w:val="0000EE"/>
          </w:rPr>
          <w:t>Genmab A/S</w:t>
        </w:r>
      </w:hyperlink>
    </w:p>
    <w:p>
      <w:pPr>
        <w:spacing w:after="0" w:line="109" w:lineRule="exact"/>
        <w:rPr>
          <w:rFonts w:ascii="Times New Roman" w:cs="Times New Roman" w:eastAsia="Times New Roman" w:hAnsi="Times New Roman"/>
          <w:sz w:val="14"/>
          <w:szCs w:val="14"/>
          <w:u w:val="single" w:color="auto"/>
          <w:color w:val="0000EE"/>
        </w:rPr>
      </w:pPr>
    </w:p>
    <w:p>
      <w:pPr>
        <w:ind w:left="1200" w:right="40" w:hanging="557"/>
        <w:spacing w:after="0" w:line="24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4.7</w:t>
      </w:r>
      <w:r>
        <w:rPr>
          <w:rFonts w:ascii="Times New Roman" w:cs="Times New Roman" w:eastAsia="Times New Roman" w:hAnsi="Times New Roman"/>
          <w:sz w:val="13"/>
          <w:szCs w:val="13"/>
          <w:color w:val="auto"/>
        </w:rPr>
        <w:t>†</w:t>
      </w:r>
      <w:r>
        <w:rPr>
          <w:sz w:val="20"/>
          <w:szCs w:val="20"/>
          <w:color w:val="auto"/>
        </w:rPr>
        <w:tab/>
      </w:r>
      <w:hyperlink r:id="rId148">
        <w:r>
          <w:rPr>
            <w:rFonts w:ascii="Times New Roman" w:cs="Times New Roman" w:eastAsia="Times New Roman" w:hAnsi="Times New Roman"/>
            <w:sz w:val="14"/>
            <w:szCs w:val="14"/>
            <w:u w:val="single" w:color="auto"/>
            <w:color w:val="0000EE"/>
          </w:rPr>
          <w:t>Amendment Number 1 to the Co-development and Collaboration</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Agreement, dated as of June 30, 2008, by and between Glaxo Group</w:t>
        </w:r>
      </w:hyperlink>
      <w:r>
        <w:rPr>
          <w:rFonts w:ascii="Times New Roman" w:cs="Times New Roman" w:eastAsia="Times New Roman" w:hAnsi="Times New Roman"/>
          <w:sz w:val="14"/>
          <w:szCs w:val="14"/>
          <w:u w:val="single" w:color="auto"/>
          <w:color w:val="0000EE"/>
        </w:rPr>
        <w:t xml:space="preserve"> </w:t>
      </w:r>
      <w:hyperlink r:id="rId148">
        <w:r>
          <w:rPr>
            <w:rFonts w:ascii="Times New Roman" w:cs="Times New Roman" w:eastAsia="Times New Roman" w:hAnsi="Times New Roman"/>
            <w:sz w:val="14"/>
            <w:szCs w:val="14"/>
            <w:u w:val="single" w:color="auto"/>
            <w:color w:val="0000EE"/>
          </w:rPr>
          <w:t>Limited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200" w:right="120" w:hanging="557"/>
        <w:spacing w:after="0" w:line="24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4.8</w:t>
      </w:r>
      <w:r>
        <w:rPr>
          <w:rFonts w:ascii="Times New Roman" w:cs="Times New Roman" w:eastAsia="Times New Roman" w:hAnsi="Times New Roman"/>
          <w:sz w:val="13"/>
          <w:szCs w:val="13"/>
          <w:color w:val="auto"/>
        </w:rPr>
        <w:t>†</w:t>
      </w:r>
      <w:r>
        <w:rPr>
          <w:sz w:val="20"/>
          <w:szCs w:val="20"/>
          <w:color w:val="auto"/>
        </w:rPr>
        <w:tab/>
      </w:r>
      <w:hyperlink r:id="rId149">
        <w:r>
          <w:rPr>
            <w:rFonts w:ascii="Times New Roman" w:cs="Times New Roman" w:eastAsia="Times New Roman" w:hAnsi="Times New Roman"/>
            <w:sz w:val="14"/>
            <w:szCs w:val="14"/>
            <w:u w:val="single" w:color="auto"/>
            <w:color w:val="0000EE"/>
          </w:rPr>
          <w:t>Amendment Number 2 to the Co-development and Collaboration</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Agreement, dated as of December 18, 2008, by and between Glaxo</w:t>
        </w:r>
      </w:hyperlink>
      <w:r>
        <w:rPr>
          <w:rFonts w:ascii="Times New Roman" w:cs="Times New Roman" w:eastAsia="Times New Roman" w:hAnsi="Times New Roman"/>
          <w:sz w:val="14"/>
          <w:szCs w:val="14"/>
          <w:u w:val="single" w:color="auto"/>
          <w:color w:val="0000EE"/>
        </w:rPr>
        <w:t xml:space="preserve"> </w:t>
      </w:r>
      <w:hyperlink r:id="rId149">
        <w:r>
          <w:rPr>
            <w:rFonts w:ascii="Times New Roman" w:cs="Times New Roman" w:eastAsia="Times New Roman" w:hAnsi="Times New Roman"/>
            <w:sz w:val="14"/>
            <w:szCs w:val="14"/>
            <w:u w:val="single" w:color="auto"/>
            <w:color w:val="0000EE"/>
          </w:rPr>
          <w:t>Group Limited and Genmab A/S</w:t>
        </w:r>
      </w:hyperlink>
    </w:p>
    <w:p>
      <w:pPr>
        <w:spacing w:after="0" w:line="109" w:lineRule="exact"/>
        <w:rPr>
          <w:rFonts w:ascii="Times New Roman" w:cs="Times New Roman" w:eastAsia="Times New Roman" w:hAnsi="Times New Roman"/>
          <w:sz w:val="14"/>
          <w:szCs w:val="14"/>
          <w:u w:val="single" w:color="auto"/>
          <w:color w:val="0000EE"/>
        </w:rPr>
      </w:pPr>
    </w:p>
    <w:p>
      <w:pPr>
        <w:ind w:left="1200" w:right="140" w:hanging="557"/>
        <w:spacing w:after="0" w:line="241" w:lineRule="auto"/>
        <w:tabs>
          <w:tab w:leader="none" w:pos="11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4.9</w:t>
      </w:r>
      <w:r>
        <w:rPr>
          <w:rFonts w:ascii="Times New Roman" w:cs="Times New Roman" w:eastAsia="Times New Roman" w:hAnsi="Times New Roman"/>
          <w:sz w:val="13"/>
          <w:szCs w:val="13"/>
          <w:color w:val="auto"/>
        </w:rPr>
        <w:t>†</w:t>
      </w:r>
      <w:r>
        <w:rPr>
          <w:sz w:val="20"/>
          <w:szCs w:val="20"/>
          <w:color w:val="auto"/>
        </w:rPr>
        <w:tab/>
      </w:r>
      <w:hyperlink r:id="rId150">
        <w:r>
          <w:rPr>
            <w:rFonts w:ascii="Times New Roman" w:cs="Times New Roman" w:eastAsia="Times New Roman" w:hAnsi="Times New Roman"/>
            <w:sz w:val="14"/>
            <w:szCs w:val="14"/>
            <w:u w:val="single" w:color="auto"/>
            <w:color w:val="0000EE"/>
          </w:rPr>
          <w:t>Amendment Number 3 to the Co-development and Collaboration</w:t>
        </w:r>
      </w:hyperlink>
      <w:r>
        <w:rPr>
          <w:rFonts w:ascii="Times New Roman" w:cs="Times New Roman" w:eastAsia="Times New Roman" w:hAnsi="Times New Roman"/>
          <w:sz w:val="14"/>
          <w:szCs w:val="14"/>
          <w:u w:val="single" w:color="auto"/>
          <w:color w:val="0000EE"/>
        </w:rPr>
        <w:t xml:space="preserve"> </w:t>
      </w:r>
      <w:hyperlink r:id="rId150">
        <w:r>
          <w:rPr>
            <w:rFonts w:ascii="Times New Roman" w:cs="Times New Roman" w:eastAsia="Times New Roman" w:hAnsi="Times New Roman"/>
            <w:sz w:val="14"/>
            <w:szCs w:val="14"/>
            <w:u w:val="single" w:color="auto"/>
            <w:color w:val="0000EE"/>
          </w:rPr>
          <w:t>Agreement, dated as of July 1, 2010, by and between Glaxo Group</w:t>
        </w:r>
      </w:hyperlink>
      <w:r>
        <w:rPr>
          <w:rFonts w:ascii="Times New Roman" w:cs="Times New Roman" w:eastAsia="Times New Roman" w:hAnsi="Times New Roman"/>
          <w:sz w:val="14"/>
          <w:szCs w:val="14"/>
          <w:u w:val="single" w:color="auto"/>
          <w:color w:val="0000EE"/>
        </w:rPr>
        <w:t xml:space="preserve"> </w:t>
      </w:r>
      <w:hyperlink r:id="rId150">
        <w:r>
          <w:rPr>
            <w:rFonts w:ascii="Times New Roman" w:cs="Times New Roman" w:eastAsia="Times New Roman" w:hAnsi="Times New Roman"/>
            <w:sz w:val="14"/>
            <w:szCs w:val="14"/>
            <w:u w:val="single" w:color="auto"/>
            <w:color w:val="0000EE"/>
          </w:rPr>
          <w:t>Limited and Genmab A/S</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br w:type="column"/>
      </w:r>
    </w:p>
    <w:p>
      <w:pPr>
        <w:jc w:val="both"/>
        <w:ind w:right="29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2.3 to the Registrant’s Annual Report on Form 20-F filed with the SEC on March 29, 2021</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10.1 to the Registrant’s registration statement on Form F-1/A filed with the SEC on July 16, 2019</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10.2 to the Registrant’s registration statement on Form F-1/A filed with the SEC on July 16, 2019</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10.3 to the Registrant’s registration statement on Form F-1/A filed with the SEC on July 16, 2019</w:t>
      </w:r>
    </w:p>
    <w:p>
      <w:pPr>
        <w:spacing w:after="0" w:line="109" w:lineRule="exact"/>
        <w:rPr>
          <w:rFonts w:ascii="Times New Roman" w:cs="Times New Roman" w:eastAsia="Times New Roman" w:hAnsi="Times New Roman"/>
          <w:sz w:val="14"/>
          <w:szCs w:val="14"/>
          <w:u w:val="single" w:color="auto"/>
          <w:color w:val="0000EE"/>
        </w:rPr>
      </w:pPr>
    </w:p>
    <w:p>
      <w:pPr>
        <w:jc w:val="both"/>
        <w:ind w:right="29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4.5 to the Registrant’s Annual Report on Form 20-F filed with the SEC on March 29, 2021</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10.5 to the Registrant’s registration statement on Form F-1/A filed with the SEC on July 16, 2019</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10.6 to the Registrant’s registration statement on Form F-1/A filed with the SEC on July 16, 2019</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10.7 to the Registrant’s registration statement on Form F-1/A filed with the SEC on July 16, 2019</w:t>
      </w:r>
    </w:p>
    <w:p>
      <w:pPr>
        <w:spacing w:after="0" w:line="109" w:lineRule="exact"/>
        <w:rPr>
          <w:rFonts w:ascii="Times New Roman" w:cs="Times New Roman" w:eastAsia="Times New Roman" w:hAnsi="Times New Roman"/>
          <w:sz w:val="14"/>
          <w:szCs w:val="14"/>
          <w:u w:val="single" w:color="auto"/>
          <w:color w:val="0000EE"/>
        </w:rPr>
      </w:pPr>
    </w:p>
    <w:p>
      <w:pPr>
        <w:jc w:val="both"/>
        <w:ind w:right="219"/>
        <w:spacing w:after="0" w:line="241" w:lineRule="auto"/>
        <w:rPr>
          <w:sz w:val="20"/>
          <w:szCs w:val="20"/>
          <w:color w:val="auto"/>
        </w:rPr>
      </w:pPr>
      <w:r>
        <w:rPr>
          <w:rFonts w:ascii="Times New Roman" w:cs="Times New Roman" w:eastAsia="Times New Roman" w:hAnsi="Times New Roman"/>
          <w:sz w:val="14"/>
          <w:szCs w:val="14"/>
          <w:color w:val="auto"/>
        </w:rPr>
        <w:t>Incorporated by reference to Exhibit 10.8 to the Registrant’s registration statement on Form F-1/A filed with the SEC on July 16, 2019</w:t>
      </w:r>
    </w:p>
    <w:p>
      <w:pPr>
        <w:spacing w:after="0" w:line="200" w:lineRule="exact"/>
        <w:rPr>
          <w:rFonts w:ascii="Times New Roman" w:cs="Times New Roman" w:eastAsia="Times New Roman" w:hAnsi="Times New Roman"/>
          <w:sz w:val="14"/>
          <w:szCs w:val="14"/>
          <w:u w:val="single" w:color="auto"/>
          <w:color w:val="0000EE"/>
        </w:rPr>
      </w:pPr>
    </w:p>
    <w:p>
      <w:pPr>
        <w:sectPr>
          <w:pgSz w:w="11900" w:h="16838" w:orient="portrait"/>
          <w:cols w:equalWidth="0" w:num="2">
            <w:col w:w="5180" w:space="160"/>
            <w:col w:w="3679"/>
          </w:cols>
          <w:pgMar w:left="1440" w:top="513" w:right="1440" w:bottom="1440" w:gutter="0" w:footer="0" w:header="0"/>
          <w:type w:val="continuous"/>
        </w:sectPr>
      </w:pPr>
    </w:p>
    <w:p>
      <w:pPr>
        <w:spacing w:after="0" w:line="345" w:lineRule="exact"/>
        <w:rPr>
          <w:rFonts w:ascii="Times New Roman" w:cs="Times New Roman" w:eastAsia="Times New Roman" w:hAnsi="Times New Roman"/>
          <w:sz w:val="14"/>
          <w:szCs w:val="14"/>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60" w:type="dxa"/>
            <w:vAlign w:val="bottom"/>
            <w:tcBorders>
              <w:bottom w:val="single" w:sz="8" w:color="auto"/>
            </w:tcBorders>
            <w:gridSpan w:val="18"/>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28"/>
        </w:trPr>
        <w:tc>
          <w:tcPr>
            <w:tcW w:w="1140" w:type="dxa"/>
            <w:vAlign w:val="bottom"/>
          </w:tcPr>
          <w:p>
            <w:pPr>
              <w:ind w:left="520"/>
              <w:spacing w:after="0" w:line="129" w:lineRule="exact"/>
              <w:rPr>
                <w:sz w:val="20"/>
                <w:szCs w:val="20"/>
                <w:color w:val="auto"/>
              </w:rPr>
            </w:pPr>
            <w:r>
              <w:rPr>
                <w:rFonts w:ascii="Times New Roman" w:cs="Times New Roman" w:eastAsia="Times New Roman" w:hAnsi="Times New Roman"/>
                <w:sz w:val="14"/>
                <w:szCs w:val="14"/>
                <w:color w:val="auto"/>
              </w:rPr>
              <w:t>4.10</w:t>
            </w:r>
            <w:r>
              <w:rPr>
                <w:rFonts w:ascii="Times New Roman" w:cs="Times New Roman" w:eastAsia="Times New Roman" w:hAnsi="Times New Roman"/>
                <w:sz w:val="13"/>
                <w:szCs w:val="13"/>
                <w:color w:val="auto"/>
              </w:rPr>
              <w:t>†</w:t>
            </w:r>
          </w:p>
        </w:tc>
        <w:tc>
          <w:tcPr>
            <w:tcW w:w="3760" w:type="dxa"/>
            <w:vAlign w:val="bottom"/>
            <w:tcBorders>
              <w:bottom w:val="single" w:sz="8" w:color="0000EE"/>
            </w:tcBorders>
            <w:gridSpan w:val="10"/>
          </w:tcPr>
          <w:p>
            <w:pPr>
              <w:spacing w:after="0" w:line="129"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Amendment Number 4 to the Co-development and Collaboration</w:t>
              </w:r>
            </w:hyperlink>
          </w:p>
        </w:tc>
        <w:tc>
          <w:tcPr>
            <w:tcW w:w="300" w:type="dxa"/>
            <w:vAlign w:val="bottom"/>
            <w:gridSpan w:val="8"/>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Incorporated by reference to Exhibit 10.9 to the Registrant’s</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4060" w:type="dxa"/>
            <w:vAlign w:val="bottom"/>
            <w:gridSpan w:val="18"/>
          </w:tcPr>
          <w:p>
            <w:pPr>
              <w:spacing w:after="0" w:line="129"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Agreement, dated as of December 20, 2010, by and between Glaxo</w:t>
              </w:r>
            </w:hyperlink>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registration statement on Form F-1/A filed with the SEC on</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860" w:type="dxa"/>
            <w:vAlign w:val="bottom"/>
            <w:tcBorders>
              <w:top w:val="single" w:sz="8" w:color="0000EE"/>
            </w:tcBorders>
            <w:gridSpan w:val="12"/>
          </w:tcPr>
          <w:p>
            <w:pPr>
              <w:spacing w:after="0" w:line="129"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Group Limited and Genmab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July 16, 2019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4.11</w:t>
            </w:r>
            <w:r>
              <w:rPr>
                <w:rFonts w:ascii="Times New Roman" w:cs="Times New Roman" w:eastAsia="Times New Roman" w:hAnsi="Times New Roman"/>
                <w:sz w:val="13"/>
                <w:szCs w:val="13"/>
                <w:color w:val="auto"/>
              </w:rPr>
              <w:t>†</w:t>
            </w:r>
          </w:p>
        </w:tc>
        <w:tc>
          <w:tcPr>
            <w:tcW w:w="1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4060" w:type="dxa"/>
            <w:vAlign w:val="bottom"/>
            <w:gridSpan w:val="18"/>
          </w:tcPr>
          <w:p>
            <w:pPr>
              <w:spacing w:after="0"/>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Novation Agreement, dated as of November 3, 2014, by and among</w:t>
              </w:r>
            </w:hyperlink>
          </w:p>
        </w:tc>
        <w:tc>
          <w:tcPr>
            <w:tcW w:w="3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Incorporated by reference to Exhibit 10.10 to the Registrant’s</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900" w:type="dxa"/>
            <w:vAlign w:val="bottom"/>
            <w:tcBorders>
              <w:top w:val="single" w:sz="8" w:color="0000EE"/>
            </w:tcBorders>
            <w:gridSpan w:val="14"/>
          </w:tcPr>
          <w:p>
            <w:pPr>
              <w:spacing w:after="0" w:line="129"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Glaxo Group Limited, Novartis Pharma AG and Genmab A/S</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registration statement on Form F-1/A filed with the SEC on</w:t>
            </w:r>
          </w:p>
        </w:tc>
        <w:tc>
          <w:tcPr>
            <w:tcW w:w="0" w:type="dxa"/>
            <w:vAlign w:val="bottom"/>
          </w:tcPr>
          <w:p>
            <w:pPr>
              <w:spacing w:after="0"/>
              <w:rPr>
                <w:sz w:val="1"/>
                <w:szCs w:val="1"/>
                <w:color w:val="auto"/>
              </w:rPr>
            </w:pPr>
          </w:p>
        </w:tc>
      </w:tr>
      <w:tr>
        <w:trPr>
          <w:trHeight w:val="168"/>
        </w:trPr>
        <w:tc>
          <w:tcPr>
            <w:tcW w:w="11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4.12</w:t>
            </w:r>
            <w:r>
              <w:rPr>
                <w:rFonts w:ascii="Times New Roman" w:cs="Times New Roman" w:eastAsia="Times New Roman" w:hAnsi="Times New Roman"/>
                <w:sz w:val="13"/>
                <w:szCs w:val="13"/>
                <w:color w:val="auto"/>
              </w:rPr>
              <w:t>†</w:t>
            </w:r>
          </w:p>
        </w:tc>
        <w:tc>
          <w:tcPr>
            <w:tcW w:w="17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July 16, 2019</w:t>
            </w:r>
          </w:p>
        </w:tc>
        <w:tc>
          <w:tcPr>
            <w:tcW w:w="0" w:type="dxa"/>
            <w:vAlign w:val="bottom"/>
          </w:tcPr>
          <w:p>
            <w:pPr>
              <w:spacing w:after="0"/>
              <w:rPr>
                <w:sz w:val="1"/>
                <w:szCs w:val="1"/>
                <w:color w:val="auto"/>
              </w:rPr>
            </w:pPr>
          </w:p>
        </w:tc>
      </w:tr>
      <w:tr>
        <w:trPr>
          <w:trHeight w:val="257"/>
        </w:trPr>
        <w:tc>
          <w:tcPr>
            <w:tcW w:w="1140" w:type="dxa"/>
            <w:vAlign w:val="bottom"/>
            <w:vMerge w:val="continue"/>
          </w:tcPr>
          <w:p>
            <w:pPr>
              <w:spacing w:after="0"/>
              <w:rPr>
                <w:sz w:val="22"/>
                <w:szCs w:val="22"/>
                <w:color w:val="auto"/>
              </w:rPr>
            </w:pPr>
          </w:p>
        </w:tc>
        <w:tc>
          <w:tcPr>
            <w:tcW w:w="4060" w:type="dxa"/>
            <w:vAlign w:val="bottom"/>
            <w:gridSpan w:val="18"/>
          </w:tcPr>
          <w:p>
            <w:pPr>
              <w:spacing w:after="0"/>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Amendment Number 5 to the Co-development and Collaboration</w:t>
              </w:r>
            </w:hyperlink>
          </w:p>
        </w:tc>
        <w:tc>
          <w:tcPr>
            <w:tcW w:w="3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Incorporated by reference to Exhibit 10.11 to the Registrant’s</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760" w:type="dxa"/>
            <w:vAlign w:val="bottom"/>
            <w:tcBorders>
              <w:top w:val="single" w:sz="8" w:color="0000EE"/>
              <w:bottom w:val="single" w:sz="8" w:color="0000EE"/>
            </w:tcBorders>
            <w:gridSpan w:val="10"/>
          </w:tcPr>
          <w:p>
            <w:pPr>
              <w:spacing w:after="0" w:line="129" w:lineRule="exact"/>
              <w:rPr>
                <w:rFonts w:ascii="Times New Roman" w:cs="Times New Roman" w:eastAsia="Times New Roman" w:hAnsi="Times New Roman"/>
                <w:sz w:val="14"/>
                <w:szCs w:val="14"/>
                <w:color w:val="0000EE"/>
                <w:w w:val="99"/>
              </w:rPr>
            </w:pPr>
            <w:hyperlink r:id="rId154">
              <w:r>
                <w:rPr>
                  <w:rFonts w:ascii="Times New Roman" w:cs="Times New Roman" w:eastAsia="Times New Roman" w:hAnsi="Times New Roman"/>
                  <w:sz w:val="14"/>
                  <w:szCs w:val="14"/>
                  <w:color w:val="0000EE"/>
                  <w:w w:val="99"/>
                </w:rPr>
                <w:t>Agreement, dated as of January 22, 2018, by and between Novartis</w:t>
              </w:r>
            </w:hyperlink>
          </w:p>
        </w:tc>
        <w:tc>
          <w:tcPr>
            <w:tcW w:w="80" w:type="dxa"/>
            <w:vAlign w:val="bottom"/>
            <w:tcBorders>
              <w:bottom w:val="single" w:sz="8" w:color="0000EE"/>
            </w:tcBorders>
          </w:tcPr>
          <w:p>
            <w:pPr>
              <w:spacing w:after="0"/>
              <w:rPr>
                <w:sz w:val="11"/>
                <w:szCs w:val="11"/>
                <w:color w:val="auto"/>
              </w:rPr>
            </w:pPr>
          </w:p>
        </w:tc>
        <w:tc>
          <w:tcPr>
            <w:tcW w:w="40" w:type="dxa"/>
            <w:vAlign w:val="bottom"/>
            <w:tcBorders>
              <w:bottom w:val="single" w:sz="8" w:color="0000EE"/>
            </w:tcBorders>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registration statement on Form F-1/A filed with the SEC on</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720" w:type="dxa"/>
            <w:vAlign w:val="bottom"/>
            <w:tcBorders>
              <w:bottom w:val="single" w:sz="8" w:color="0000EE"/>
            </w:tcBorders>
          </w:tcPr>
          <w:p>
            <w:pPr>
              <w:spacing w:after="0" w:line="129"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Pharma AG and Genmab A/S</w:t>
              </w:r>
            </w:hyperlink>
          </w:p>
        </w:tc>
        <w:tc>
          <w:tcPr>
            <w:tcW w:w="2160" w:type="dxa"/>
            <w:vAlign w:val="bottom"/>
            <w:gridSpan w:val="1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July 16, 2019</w:t>
            </w:r>
          </w:p>
        </w:tc>
        <w:tc>
          <w:tcPr>
            <w:tcW w:w="0" w:type="dxa"/>
            <w:vAlign w:val="bottom"/>
          </w:tcPr>
          <w:p>
            <w:pPr>
              <w:spacing w:after="0"/>
              <w:rPr>
                <w:sz w:val="1"/>
                <w:szCs w:val="1"/>
                <w:color w:val="auto"/>
              </w:rPr>
            </w:pPr>
          </w:p>
        </w:tc>
      </w:tr>
      <w:tr>
        <w:trPr>
          <w:trHeight w:val="277"/>
        </w:trPr>
        <w:tc>
          <w:tcPr>
            <w:tcW w:w="1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4.13</w:t>
            </w:r>
            <w:r>
              <w:rPr>
                <w:rFonts w:ascii="Times New Roman" w:cs="Times New Roman" w:eastAsia="Times New Roman" w:hAnsi="Times New Roman"/>
                <w:sz w:val="13"/>
                <w:szCs w:val="13"/>
                <w:color w:val="auto"/>
              </w:rPr>
              <w:t>†</w:t>
            </w:r>
          </w:p>
        </w:tc>
        <w:tc>
          <w:tcPr>
            <w:tcW w:w="4060" w:type="dxa"/>
            <w:vAlign w:val="bottom"/>
            <w:gridSpan w:val="18"/>
          </w:tcPr>
          <w:p>
            <w:pPr>
              <w:spacing w:after="0"/>
              <w:rPr>
                <w:rFonts w:ascii="Times New Roman" w:cs="Times New Roman" w:eastAsia="Times New Roman" w:hAnsi="Times New Roman"/>
                <w:sz w:val="14"/>
                <w:szCs w:val="14"/>
                <w:i w:val="1"/>
                <w:iCs w:val="1"/>
                <w:color w:val="0000EE"/>
              </w:rPr>
            </w:pPr>
            <w:hyperlink r:id="rId155">
              <w:r>
                <w:rPr>
                  <w:rFonts w:ascii="Times New Roman" w:cs="Times New Roman" w:eastAsia="Times New Roman" w:hAnsi="Times New Roman"/>
                  <w:sz w:val="14"/>
                  <w:szCs w:val="14"/>
                  <w:i w:val="1"/>
                  <w:iCs w:val="1"/>
                  <w:color w:val="0000EE"/>
                </w:rPr>
                <w:t xml:space="preserve">Agreement with Medarex related to DuoBody technology - </w:t>
              </w:r>
              <w:r>
                <w:rPr>
                  <w:rFonts w:ascii="Times New Roman" w:cs="Times New Roman" w:eastAsia="Times New Roman" w:hAnsi="Times New Roman"/>
                  <w:sz w:val="14"/>
                  <w:szCs w:val="14"/>
                  <w:color w:val="0000EE"/>
                </w:rPr>
                <w:t>Amended</w:t>
              </w:r>
            </w:hyperlink>
          </w:p>
        </w:tc>
        <w:tc>
          <w:tcPr>
            <w:tcW w:w="3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Incorporated by reference to Exhibit 10.12 to the Registrant’s</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980" w:type="dxa"/>
            <w:vAlign w:val="bottom"/>
            <w:tcBorders>
              <w:top w:val="single" w:sz="8" w:color="0000EE"/>
            </w:tcBorders>
            <w:gridSpan w:val="16"/>
          </w:tcPr>
          <w:p>
            <w:pPr>
              <w:spacing w:after="0" w:line="129"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and Restated Evaluation and Commercialization Agreement, dated</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registration statement on Form F-1/A filed with the SEC on</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840" w:type="dxa"/>
            <w:vAlign w:val="bottom"/>
            <w:tcBorders>
              <w:top w:val="single" w:sz="8" w:color="0000EE"/>
              <w:bottom w:val="single" w:sz="8" w:color="0000EE"/>
            </w:tcBorders>
            <w:gridSpan w:val="11"/>
          </w:tcPr>
          <w:p>
            <w:pPr>
              <w:spacing w:after="0" w:line="129" w:lineRule="exact"/>
              <w:rPr>
                <w:rFonts w:ascii="Times New Roman" w:cs="Times New Roman" w:eastAsia="Times New Roman" w:hAnsi="Times New Roman"/>
                <w:sz w:val="14"/>
                <w:szCs w:val="14"/>
                <w:color w:val="0000EE"/>
                <w:w w:val="99"/>
              </w:rPr>
            </w:pPr>
            <w:hyperlink r:id="rId155">
              <w:r>
                <w:rPr>
                  <w:rFonts w:ascii="Times New Roman" w:cs="Times New Roman" w:eastAsia="Times New Roman" w:hAnsi="Times New Roman"/>
                  <w:sz w:val="14"/>
                  <w:szCs w:val="14"/>
                  <w:color w:val="0000EE"/>
                  <w:w w:val="99"/>
                </w:rPr>
                <w:t>as of July 12, 2012, by and among Bristol Myer Squibb Corporation,</w:t>
              </w:r>
            </w:hyperlink>
          </w:p>
        </w:tc>
        <w:tc>
          <w:tcPr>
            <w:tcW w:w="120" w:type="dxa"/>
            <w:vAlign w:val="bottom"/>
            <w:tcBorders>
              <w:bottom w:val="single" w:sz="8" w:color="0000EE"/>
            </w:tcBorders>
            <w:gridSpan w:val="4"/>
          </w:tcPr>
          <w:p>
            <w:pPr>
              <w:spacing w:after="0"/>
              <w:rPr>
                <w:sz w:val="11"/>
                <w:szCs w:val="11"/>
                <w:color w:val="auto"/>
              </w:rPr>
            </w:pPr>
          </w:p>
        </w:tc>
        <w:tc>
          <w:tcPr>
            <w:tcW w:w="40" w:type="dxa"/>
            <w:vAlign w:val="bottom"/>
            <w:tcBorders>
              <w:bottom w:val="single" w:sz="8" w:color="0000EE"/>
            </w:tcBorders>
            <w:gridSpan w:val="2"/>
          </w:tcPr>
          <w:p>
            <w:pPr>
              <w:spacing w:after="0"/>
              <w:rPr>
                <w:sz w:val="11"/>
                <w:szCs w:val="11"/>
                <w:color w:val="auto"/>
              </w:rPr>
            </w:pPr>
          </w:p>
        </w:tc>
        <w:tc>
          <w:tcPr>
            <w:tcW w:w="60" w:type="dxa"/>
            <w:vAlign w:val="bottom"/>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July 16, 2019</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4000" w:type="dxa"/>
            <w:vAlign w:val="bottom"/>
            <w:gridSpan w:val="17"/>
          </w:tcPr>
          <w:p>
            <w:pPr>
              <w:spacing w:after="0" w:line="129"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Medarex, Inc., GenPharm International, Inc. and Genmab A/S</w:t>
              </w:r>
            </w:hyperlink>
          </w:p>
        </w:tc>
        <w:tc>
          <w:tcPr>
            <w:tcW w:w="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4.14</w:t>
            </w:r>
            <w:r>
              <w:rPr>
                <w:rFonts w:ascii="Times New Roman" w:cs="Times New Roman" w:eastAsia="Times New Roman" w:hAnsi="Times New Roman"/>
                <w:sz w:val="13"/>
                <w:szCs w:val="13"/>
                <w:color w:val="auto"/>
              </w:rPr>
              <w:t>†</w:t>
            </w:r>
          </w:p>
        </w:tc>
        <w:tc>
          <w:tcPr>
            <w:tcW w:w="21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4060" w:type="dxa"/>
            <w:vAlign w:val="bottom"/>
            <w:gridSpan w:val="18"/>
          </w:tcPr>
          <w:p>
            <w:pPr>
              <w:spacing w:after="0"/>
              <w:rPr>
                <w:rFonts w:ascii="Times New Roman" w:cs="Times New Roman" w:eastAsia="Times New Roman" w:hAnsi="Times New Roman"/>
                <w:sz w:val="14"/>
                <w:szCs w:val="14"/>
                <w:i w:val="1"/>
                <w:iCs w:val="1"/>
                <w:color w:val="0000EE"/>
              </w:rPr>
            </w:pPr>
            <w:hyperlink r:id="rId156">
              <w:r>
                <w:rPr>
                  <w:rFonts w:ascii="Times New Roman" w:cs="Times New Roman" w:eastAsia="Times New Roman" w:hAnsi="Times New Roman"/>
                  <w:sz w:val="14"/>
                  <w:szCs w:val="14"/>
                  <w:i w:val="1"/>
                  <w:iCs w:val="1"/>
                  <w:color w:val="0000EE"/>
                </w:rPr>
                <w:t xml:space="preserve">Agreement with AbbVie related to EPKINLY - </w:t>
              </w:r>
              <w:r>
                <w:rPr>
                  <w:rFonts w:ascii="Times New Roman" w:cs="Times New Roman" w:eastAsia="Times New Roman" w:hAnsi="Times New Roman"/>
                  <w:sz w:val="14"/>
                  <w:szCs w:val="14"/>
                  <w:color w:val="0000EE"/>
                </w:rPr>
                <w:t>Collaboration and</w:t>
              </w:r>
            </w:hyperlink>
          </w:p>
        </w:tc>
        <w:tc>
          <w:tcPr>
            <w:tcW w:w="3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Incorporated by reference to Exhibit 4.14 to the Registrant’s</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700" w:type="dxa"/>
            <w:vAlign w:val="bottom"/>
            <w:tcBorders>
              <w:top w:val="single" w:sz="8" w:color="0000EE"/>
            </w:tcBorders>
            <w:gridSpan w:val="9"/>
          </w:tcPr>
          <w:p>
            <w:pPr>
              <w:spacing w:after="0" w:line="129"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License Agreement, dated as of June 10, 2020 by and between</w:t>
              </w:r>
            </w:hyperlink>
          </w:p>
        </w:tc>
        <w:tc>
          <w:tcPr>
            <w:tcW w:w="260" w:type="dxa"/>
            <w:vAlign w:val="bottom"/>
            <w:gridSpan w:val="6"/>
          </w:tcPr>
          <w:p>
            <w:pPr>
              <w:spacing w:after="0"/>
              <w:rPr>
                <w:sz w:val="11"/>
                <w:szCs w:val="11"/>
                <w:color w:val="auto"/>
              </w:rPr>
            </w:pPr>
          </w:p>
        </w:tc>
        <w:tc>
          <w:tcPr>
            <w:tcW w:w="100" w:type="dxa"/>
            <w:vAlign w:val="bottom"/>
            <w:gridSpan w:val="3"/>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Annual Report on Form 20-F filed with the SEC on March</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2640" w:type="dxa"/>
            <w:vAlign w:val="bottom"/>
            <w:tcBorders>
              <w:top w:val="single" w:sz="8" w:color="0000EE"/>
              <w:bottom w:val="single" w:sz="8" w:color="0000EE"/>
            </w:tcBorders>
            <w:gridSpan w:val="4"/>
          </w:tcPr>
          <w:p>
            <w:pPr>
              <w:spacing w:after="0" w:line="129"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AbbVie Biotechnology Ltd. and Genmab A/S</w:t>
              </w:r>
            </w:hyperlink>
          </w:p>
        </w:tc>
        <w:tc>
          <w:tcPr>
            <w:tcW w:w="960" w:type="dxa"/>
            <w:vAlign w:val="bottom"/>
            <w:tcBorders>
              <w:top w:val="single" w:sz="8" w:color="0000EE"/>
            </w:tcBorders>
            <w:gridSpan w:val="4"/>
          </w:tcPr>
          <w:p>
            <w:pPr>
              <w:spacing w:after="0"/>
              <w:rPr>
                <w:sz w:val="11"/>
                <w:szCs w:val="11"/>
                <w:color w:val="auto"/>
              </w:rPr>
            </w:pPr>
          </w:p>
        </w:tc>
        <w:tc>
          <w:tcPr>
            <w:tcW w:w="360" w:type="dxa"/>
            <w:vAlign w:val="bottom"/>
            <w:gridSpan w:val="7"/>
          </w:tcPr>
          <w:p>
            <w:pPr>
              <w:spacing w:after="0"/>
              <w:rPr>
                <w:sz w:val="11"/>
                <w:szCs w:val="11"/>
                <w:color w:val="auto"/>
              </w:rPr>
            </w:pPr>
          </w:p>
        </w:tc>
        <w:tc>
          <w:tcPr>
            <w:tcW w:w="100" w:type="dxa"/>
            <w:vAlign w:val="bottom"/>
            <w:gridSpan w:val="3"/>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29, 2021</w:t>
            </w:r>
          </w:p>
        </w:tc>
        <w:tc>
          <w:tcPr>
            <w:tcW w:w="0" w:type="dxa"/>
            <w:vAlign w:val="bottom"/>
          </w:tcPr>
          <w:p>
            <w:pPr>
              <w:spacing w:after="0"/>
              <w:rPr>
                <w:sz w:val="1"/>
                <w:szCs w:val="1"/>
                <w:color w:val="auto"/>
              </w:rPr>
            </w:pPr>
          </w:p>
        </w:tc>
      </w:tr>
      <w:tr>
        <w:trPr>
          <w:trHeight w:val="277"/>
        </w:trPr>
        <w:tc>
          <w:tcPr>
            <w:tcW w:w="11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4.15</w:t>
            </w:r>
            <w:r>
              <w:rPr>
                <w:rFonts w:ascii="Times New Roman" w:cs="Times New Roman" w:eastAsia="Times New Roman" w:hAnsi="Times New Roman"/>
                <w:sz w:val="13"/>
                <w:szCs w:val="13"/>
                <w:color w:val="auto"/>
              </w:rPr>
              <w:t>†</w:t>
            </w:r>
          </w:p>
        </w:tc>
        <w:tc>
          <w:tcPr>
            <w:tcW w:w="4060" w:type="dxa"/>
            <w:vAlign w:val="bottom"/>
            <w:gridSpan w:val="18"/>
          </w:tcPr>
          <w:p>
            <w:pPr>
              <w:spacing w:after="0"/>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Amendment Number 1 to the Collaboration and License Agreement,</w:t>
              </w:r>
            </w:hyperlink>
          </w:p>
        </w:tc>
        <w:tc>
          <w:tcPr>
            <w:tcW w:w="3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Incorporated by reference to Exhibit 4.15 to the Registrant’s</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960" w:type="dxa"/>
            <w:vAlign w:val="bottom"/>
            <w:tcBorders>
              <w:top w:val="single" w:sz="8" w:color="0000EE"/>
            </w:tcBorders>
            <w:gridSpan w:val="15"/>
          </w:tcPr>
          <w:p>
            <w:pPr>
              <w:spacing w:after="0" w:line="129"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dated as of November 8, 2022 by and between AbbVie</w:t>
              </w:r>
            </w:hyperlink>
          </w:p>
        </w:tc>
        <w:tc>
          <w:tcPr>
            <w:tcW w:w="100" w:type="dxa"/>
            <w:vAlign w:val="bottom"/>
            <w:gridSpan w:val="3"/>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Annual Report on Form 20-F filed with the SEC on February</w:t>
            </w: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3160" w:type="dxa"/>
            <w:vAlign w:val="bottom"/>
            <w:tcBorders>
              <w:top w:val="single" w:sz="8" w:color="0000EE"/>
            </w:tcBorders>
            <w:gridSpan w:val="5"/>
          </w:tcPr>
          <w:p>
            <w:pPr>
              <w:spacing w:after="0" w:line="129"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Biotechnology Ltd. and Genmab A/S</w:t>
              </w:r>
            </w:hyperlink>
          </w:p>
        </w:tc>
        <w:tc>
          <w:tcPr>
            <w:tcW w:w="900" w:type="dxa"/>
            <w:vAlign w:val="bottom"/>
            <w:gridSpan w:val="13"/>
          </w:tcPr>
          <w:p>
            <w:pPr>
              <w:spacing w:after="0"/>
              <w:rPr>
                <w:sz w:val="11"/>
                <w:szCs w:val="11"/>
                <w:color w:val="auto"/>
              </w:rPr>
            </w:pPr>
          </w:p>
        </w:tc>
        <w:tc>
          <w:tcPr>
            <w:tcW w:w="366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color w:val="auto"/>
              </w:rPr>
              <w:t>22, 2023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720"/>
        <w:spacing w:after="0"/>
        <w:tabs>
          <w:tab w:leader="none" w:pos="118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u w:val="single" w:color="auto"/>
          <w:color w:val="0000EE"/>
        </w:rPr>
        <w:t>List of Subsidiaries</w:t>
      </w:r>
    </w:p>
    <w:p>
      <w:pPr>
        <w:spacing w:after="0" w:line="285" w:lineRule="exact"/>
        <w:rPr>
          <w:sz w:val="20"/>
          <w:szCs w:val="20"/>
          <w:color w:val="auto"/>
        </w:rPr>
      </w:pPr>
    </w:p>
    <w:p>
      <w:pPr>
        <w:ind w:left="1200" w:hanging="556"/>
        <w:spacing w:after="0" w:line="231" w:lineRule="auto"/>
        <w:tabs>
          <w:tab w:leader="none" w:pos="1180" w:val="left"/>
        </w:tabs>
        <w:rPr>
          <w:sz w:val="20"/>
          <w:szCs w:val="20"/>
          <w:color w:val="auto"/>
        </w:rPr>
      </w:pPr>
      <w:r>
        <w:rPr>
          <w:rFonts w:ascii="Times New Roman" w:cs="Times New Roman" w:eastAsia="Times New Roman" w:hAnsi="Times New Roman"/>
          <w:sz w:val="14"/>
          <w:szCs w:val="14"/>
          <w:color w:val="auto"/>
        </w:rPr>
        <w:t>11.1</w:t>
      </w:r>
      <w:r>
        <w:rPr>
          <w:sz w:val="20"/>
          <w:szCs w:val="20"/>
          <w:color w:val="auto"/>
        </w:rPr>
        <w:tab/>
      </w:r>
      <w:r>
        <w:rPr>
          <w:rFonts w:ascii="Times New Roman" w:cs="Times New Roman" w:eastAsia="Times New Roman" w:hAnsi="Times New Roman"/>
          <w:sz w:val="14"/>
          <w:szCs w:val="14"/>
          <w:u w:val="single" w:color="auto"/>
          <w:color w:val="0000EE"/>
        </w:rPr>
        <w:t>Internal rules for the members of the Board of Directors and the Executive Management and other permanent insiders of Genmab A/S (CVR NO. 21032884) regarding the prevention of insider dealing, trading windows, unlawful disclosure of inside information, notification of transactions and guidelines for the company’s trade in its own securities</w:t>
      </w:r>
    </w:p>
    <w:p>
      <w:pPr>
        <w:spacing w:after="0" w:line="20" w:lineRule="exact"/>
        <w:rPr>
          <w:sz w:val="20"/>
          <w:szCs w:val="20"/>
          <w:color w:val="auto"/>
        </w:rPr>
      </w:pPr>
      <w:r>
        <w:rPr>
          <w:sz w:val="20"/>
          <w:szCs w:val="20"/>
          <w:color w:val="auto"/>
        </w:rPr>
        <w:br w:type="column"/>
      </w:r>
    </w:p>
    <w:p>
      <w:pPr>
        <w:ind w:right="419"/>
        <w:spacing w:after="0" w:line="261" w:lineRule="auto"/>
        <w:rPr>
          <w:sz w:val="20"/>
          <w:szCs w:val="20"/>
          <w:color w:val="auto"/>
        </w:rPr>
      </w:pPr>
      <w:r>
        <w:rPr>
          <w:rFonts w:ascii="Times New Roman" w:cs="Times New Roman" w:eastAsia="Times New Roman" w:hAnsi="Times New Roman"/>
          <w:sz w:val="14"/>
          <w:szCs w:val="14"/>
          <w:color w:val="auto"/>
        </w:rPr>
        <w:t>Filed together with this Annual Report on Form 20-F for the year ended December 31, 2023</w:t>
      </w:r>
    </w:p>
    <w:p>
      <w:pPr>
        <w:spacing w:after="0" w:line="95"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4"/>
          <w:szCs w:val="14"/>
          <w:color w:val="auto"/>
        </w:rPr>
        <w:t>Filed together with this Annual Report on Form 20-F for the year ended December 31, 2024</w:t>
      </w:r>
    </w:p>
    <w:p>
      <w:pPr>
        <w:spacing w:after="0" w:line="689" w:lineRule="exact"/>
        <w:rPr>
          <w:sz w:val="20"/>
          <w:szCs w:val="20"/>
          <w:color w:val="auto"/>
        </w:rPr>
      </w:pPr>
    </w:p>
    <w:p>
      <w:pPr>
        <w:sectPr>
          <w:pgSz w:w="11900" w:h="16838" w:orient="portrait"/>
          <w:cols w:equalWidth="0" w:num="2">
            <w:col w:w="5160" w:space="180"/>
            <w:col w:w="3679"/>
          </w:cols>
          <w:pgMar w:left="1440" w:top="513" w:right="1440" w:bottom="1440" w:gutter="0" w:footer="0" w:header="0"/>
          <w:type w:val="continuous"/>
        </w:sectPr>
      </w:pPr>
    </w:p>
    <w:p>
      <w:pPr>
        <w:ind w:left="1200" w:hanging="556"/>
        <w:spacing w:after="0" w:line="236" w:lineRule="auto"/>
        <w:tabs>
          <w:tab w:leader="none" w:pos="1180"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u w:val="single" w:color="auto"/>
          <w:color w:val="0000EE"/>
        </w:rPr>
        <w:t>Internal Rules for the employees of Genmab A/S (CVR NO. 21032884) and its directly owned subsidiaries regarding the prevention of insider dealing, open trading windows and unlawful disclosure of inside information</w:t>
      </w:r>
    </w:p>
    <w:p>
      <w:pPr>
        <w:spacing w:after="0" w:line="20" w:lineRule="exact"/>
        <w:rPr>
          <w:sz w:val="20"/>
          <w:szCs w:val="20"/>
          <w:color w:val="auto"/>
        </w:rPr>
      </w:pPr>
      <w:r>
        <w:rPr>
          <w:sz w:val="20"/>
          <w:szCs w:val="20"/>
          <w:color w:val="auto"/>
        </w:rPr>
        <w:br w:type="column"/>
      </w:r>
    </w:p>
    <w:p>
      <w:pPr>
        <w:ind w:right="419"/>
        <w:spacing w:after="0" w:line="261" w:lineRule="auto"/>
        <w:rPr>
          <w:sz w:val="20"/>
          <w:szCs w:val="20"/>
          <w:color w:val="auto"/>
        </w:rPr>
      </w:pPr>
      <w:r>
        <w:rPr>
          <w:rFonts w:ascii="Times New Roman" w:cs="Times New Roman" w:eastAsia="Times New Roman" w:hAnsi="Times New Roman"/>
          <w:sz w:val="14"/>
          <w:szCs w:val="14"/>
          <w:color w:val="auto"/>
        </w:rPr>
        <w:t>Filed together with this Annual Report on Form 20-F for the year ended December 31, 2024</w:t>
      </w:r>
    </w:p>
    <w:p>
      <w:pPr>
        <w:spacing w:after="0" w:line="389" w:lineRule="exact"/>
        <w:rPr>
          <w:sz w:val="20"/>
          <w:szCs w:val="20"/>
          <w:color w:val="auto"/>
        </w:rPr>
      </w:pPr>
    </w:p>
    <w:p>
      <w:pPr>
        <w:sectPr>
          <w:pgSz w:w="11900" w:h="16838" w:orient="portrait"/>
          <w:cols w:equalWidth="0" w:num="2">
            <w:col w:w="5000" w:space="340"/>
            <w:col w:w="3679"/>
          </w:cols>
          <w:pgMar w:left="1440" w:top="513" w:right="1440" w:bottom="1440" w:gutter="0" w:footer="0" w:header="0"/>
          <w:type w:val="continuous"/>
        </w:sectPr>
      </w:pPr>
    </w:p>
    <w:tbl>
      <w:tblPr>
        <w:tblLayout w:type="fixed"/>
        <w:tblInd w:w="640" w:type="dxa"/>
        <w:tblCellMar>
          <w:top w:w="0" w:type="dxa"/>
          <w:left w:w="0" w:type="dxa"/>
          <w:bottom w:w="0" w:type="dxa"/>
          <w:right w:w="0" w:type="dxa"/>
        </w:tblCellMar>
      </w:tblPr>
      <w:tr>
        <w:trPr>
          <w:trHeight w:val="161"/>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12.1</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Certification of the Principal Executive Officer</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together with this Annual Report on Form 20-F for</w:t>
            </w:r>
          </w:p>
        </w:tc>
      </w:tr>
      <w:tr>
        <w:trPr>
          <w:trHeight w:val="168"/>
        </w:trPr>
        <w:tc>
          <w:tcPr>
            <w:tcW w:w="560" w:type="dxa"/>
            <w:vAlign w:val="bottom"/>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year ended December 31, 2024</w:t>
            </w:r>
          </w:p>
        </w:tc>
      </w:tr>
      <w:tr>
        <w:trPr>
          <w:trHeight w:val="257"/>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12.2</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Certification of the Principal Financial Officer</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together with this Annual Report on Form 20-F for</w:t>
            </w:r>
          </w:p>
        </w:tc>
      </w:tr>
      <w:tr>
        <w:trPr>
          <w:trHeight w:val="168"/>
        </w:trPr>
        <w:tc>
          <w:tcPr>
            <w:tcW w:w="560" w:type="dxa"/>
            <w:vAlign w:val="bottom"/>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year ended December 31, 2024</w:t>
            </w:r>
          </w:p>
        </w:tc>
      </w:tr>
      <w:tr>
        <w:trPr>
          <w:trHeight w:val="257"/>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13.1</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Certification of the Principal Executive Officer pursuant to 18</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Furnished together with this Annual Report on Form 20-F for</w:t>
            </w:r>
          </w:p>
        </w:tc>
      </w:tr>
      <w:tr>
        <w:trPr>
          <w:trHeight w:val="128"/>
        </w:trPr>
        <w:tc>
          <w:tcPr>
            <w:tcW w:w="56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rPr>
              <w:t>U.S.C. section 1350</w:t>
            </w:r>
          </w:p>
        </w:tc>
        <w:tc>
          <w:tcPr>
            <w:tcW w:w="2420" w:type="dxa"/>
            <w:vAlign w:val="bottom"/>
            <w:tcBorders>
              <w:top w:val="single" w:sz="8" w:color="0000EE"/>
            </w:tcBorders>
            <w:gridSpan w:val="7"/>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the year ended December 31, 2024</w:t>
            </w:r>
          </w:p>
        </w:tc>
      </w:tr>
      <w:tr>
        <w:trPr>
          <w:trHeight w:val="277"/>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13.2</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Certification of the Principal Financial Officer pursuant to 18 U.S.C.</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Furnished together with this Annual Report on Form 20-F for</w:t>
            </w:r>
          </w:p>
        </w:tc>
      </w:tr>
      <w:tr>
        <w:trPr>
          <w:trHeight w:val="128"/>
        </w:trPr>
        <w:tc>
          <w:tcPr>
            <w:tcW w:w="560" w:type="dxa"/>
            <w:vAlign w:val="bottom"/>
          </w:tcPr>
          <w:p>
            <w:pPr>
              <w:spacing w:after="0"/>
              <w:rPr>
                <w:sz w:val="11"/>
                <w:szCs w:val="11"/>
                <w:color w:val="auto"/>
              </w:rPr>
            </w:pPr>
          </w:p>
        </w:tc>
        <w:tc>
          <w:tcPr>
            <w:tcW w:w="74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4"/>
                <w:szCs w:val="14"/>
                <w:color w:val="0000EE"/>
              </w:rPr>
              <w:t>section 1350</w:t>
            </w:r>
          </w:p>
        </w:tc>
        <w:tc>
          <w:tcPr>
            <w:tcW w:w="3220" w:type="dxa"/>
            <w:vAlign w:val="bottom"/>
            <w:tcBorders>
              <w:top w:val="single" w:sz="8" w:color="0000EE"/>
            </w:tcBorders>
            <w:gridSpan w:val="10"/>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the year ended December 31, 2024</w:t>
            </w:r>
          </w:p>
        </w:tc>
      </w:tr>
      <w:tr>
        <w:trPr>
          <w:trHeight w:val="345"/>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15.1</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together with this Annual Report on Form 20-F for the</w:t>
            </w:r>
          </w:p>
        </w:tc>
      </w:tr>
      <w:tr>
        <w:trPr>
          <w:trHeight w:val="168"/>
        </w:trPr>
        <w:tc>
          <w:tcPr>
            <w:tcW w:w="560" w:type="dxa"/>
            <w:vAlign w:val="bottom"/>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r>
      <w:tr>
        <w:trPr>
          <w:trHeight w:val="257"/>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15.2</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together with this Annual Report on Form 20-F for the</w:t>
            </w:r>
          </w:p>
        </w:tc>
      </w:tr>
      <w:tr>
        <w:trPr>
          <w:trHeight w:val="168"/>
        </w:trPr>
        <w:tc>
          <w:tcPr>
            <w:tcW w:w="560" w:type="dxa"/>
            <w:vAlign w:val="bottom"/>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2024</w:t>
            </w:r>
          </w:p>
        </w:tc>
      </w:tr>
      <w:tr>
        <w:trPr>
          <w:trHeight w:val="325"/>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15.3</w:t>
            </w:r>
          </w:p>
        </w:tc>
        <w:tc>
          <w:tcPr>
            <w:tcW w:w="4040" w:type="dxa"/>
            <w:vAlign w:val="bottom"/>
            <w:gridSpan w:val="12"/>
          </w:tcPr>
          <w:p>
            <w:pPr>
              <w:spacing w:after="0"/>
              <w:rPr>
                <w:rFonts w:ascii="Times New Roman" w:cs="Times New Roman" w:eastAsia="Times New Roman" w:hAnsi="Times New Roman"/>
                <w:sz w:val="14"/>
                <w:szCs w:val="14"/>
                <w:color w:val="0000EE"/>
              </w:rPr>
            </w:pPr>
            <w:hyperlink r:id="rId13">
              <w:r>
                <w:rPr>
                  <w:rFonts w:ascii="Times New Roman" w:cs="Times New Roman" w:eastAsia="Times New Roman" w:hAnsi="Times New Roman"/>
                  <w:sz w:val="14"/>
                  <w:szCs w:val="14"/>
                  <w:color w:val="0000EE"/>
                </w:rPr>
                <w:t>Genmab A/S statutory Annual Report 2024*</w:t>
              </w:r>
            </w:hyperlink>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the Registrant’s Report furnished</w:t>
            </w:r>
          </w:p>
        </w:tc>
      </w:tr>
      <w:tr>
        <w:trPr>
          <w:trHeight w:val="168"/>
        </w:trPr>
        <w:tc>
          <w:tcPr>
            <w:tcW w:w="560" w:type="dxa"/>
            <w:vAlign w:val="bottom"/>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 the SEC on Form 6-K on February 12, 2025</w:t>
            </w:r>
          </w:p>
        </w:tc>
      </w:tr>
      <w:tr>
        <w:trPr>
          <w:trHeight w:val="325"/>
        </w:trPr>
        <w:tc>
          <w:tcPr>
            <w:tcW w:w="5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97"/>
              </w:rPr>
              <w:t>15.4</w:t>
            </w:r>
          </w:p>
        </w:tc>
        <w:tc>
          <w:tcPr>
            <w:tcW w:w="4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Letter, dated February 12, 2025 from PricewaterhouseCoopers</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together with this Annual Report on Form 20-F for the</w:t>
            </w:r>
          </w:p>
        </w:tc>
      </w:tr>
      <w:tr>
        <w:trPr>
          <w:trHeight w:val="129"/>
        </w:trPr>
        <w:tc>
          <w:tcPr>
            <w:tcW w:w="560" w:type="dxa"/>
            <w:vAlign w:val="bottom"/>
          </w:tcPr>
          <w:p>
            <w:pPr>
              <w:spacing w:after="0"/>
              <w:rPr>
                <w:sz w:val="11"/>
                <w:szCs w:val="11"/>
                <w:color w:val="auto"/>
              </w:rPr>
            </w:pPr>
          </w:p>
        </w:tc>
        <w:tc>
          <w:tcPr>
            <w:tcW w:w="3600" w:type="dxa"/>
            <w:vAlign w:val="bottom"/>
            <w:tcBorders>
              <w:top w:val="single" w:sz="8" w:color="0000EE"/>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EE"/>
              </w:rPr>
              <w:t>Statsautoriseret Revisionspartnerselskab to the Securities and</w:t>
            </w:r>
          </w:p>
        </w:tc>
        <w:tc>
          <w:tcPr>
            <w:tcW w:w="440" w:type="dxa"/>
            <w:vAlign w:val="bottom"/>
            <w:gridSpan w:val="2"/>
          </w:tcPr>
          <w:p>
            <w:pPr>
              <w:spacing w:after="0"/>
              <w:rPr>
                <w:sz w:val="11"/>
                <w:szCs w:val="11"/>
                <w:color w:val="auto"/>
              </w:rPr>
            </w:pPr>
          </w:p>
        </w:tc>
        <w:tc>
          <w:tcPr>
            <w:tcW w:w="366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year ended December 31, 2024</w:t>
            </w:r>
          </w:p>
        </w:tc>
      </w:tr>
      <w:tr>
        <w:trPr>
          <w:trHeight w:val="128"/>
        </w:trPr>
        <w:tc>
          <w:tcPr>
            <w:tcW w:w="560" w:type="dxa"/>
            <w:vAlign w:val="bottom"/>
          </w:tcPr>
          <w:p>
            <w:pPr>
              <w:spacing w:after="0"/>
              <w:rPr>
                <w:sz w:val="11"/>
                <w:szCs w:val="11"/>
                <w:color w:val="auto"/>
              </w:rPr>
            </w:pPr>
          </w:p>
        </w:tc>
        <w:tc>
          <w:tcPr>
            <w:tcW w:w="3540" w:type="dxa"/>
            <w:vAlign w:val="bottom"/>
            <w:tcBorders>
              <w:top w:val="single" w:sz="8" w:color="0000EE"/>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EE"/>
              </w:rPr>
              <w:t>Exchange Commission</w:t>
            </w:r>
            <w:r>
              <w:rPr>
                <w:rFonts w:ascii="Times New Roman" w:cs="Times New Roman" w:eastAsia="Times New Roman" w:hAnsi="Times New Roman"/>
                <w:sz w:val="14"/>
                <w:szCs w:val="14"/>
                <w:color w:val="000000"/>
              </w:rPr>
              <w:t>.</w:t>
            </w:r>
          </w:p>
        </w:tc>
        <w:tc>
          <w:tcPr>
            <w:tcW w:w="500" w:type="dxa"/>
            <w:vAlign w:val="bottom"/>
            <w:gridSpan w:val="4"/>
          </w:tcPr>
          <w:p>
            <w:pPr>
              <w:spacing w:after="0"/>
              <w:rPr>
                <w:sz w:val="11"/>
                <w:szCs w:val="11"/>
                <w:color w:val="auto"/>
              </w:rPr>
            </w:pPr>
          </w:p>
        </w:tc>
        <w:tc>
          <w:tcPr>
            <w:tcW w:w="3660" w:type="dxa"/>
            <w:vAlign w:val="bottom"/>
          </w:tcPr>
          <w:p>
            <w:pPr>
              <w:spacing w:after="0"/>
              <w:rPr>
                <w:sz w:val="11"/>
                <w:szCs w:val="11"/>
                <w:color w:val="auto"/>
              </w:rPr>
            </w:pPr>
          </w:p>
        </w:tc>
      </w:tr>
      <w:tr>
        <w:trPr>
          <w:trHeight w:val="20"/>
        </w:trPr>
        <w:tc>
          <w:tcPr>
            <w:tcW w:w="5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9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8"/>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8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128"/>
        </w:trPr>
        <w:tc>
          <w:tcPr>
            <w:tcW w:w="98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97</w:t>
            </w:r>
          </w:p>
        </w:tc>
        <w:tc>
          <w:tcPr>
            <w:tcW w:w="4200" w:type="dxa"/>
            <w:vAlign w:val="bottom"/>
            <w:gridSpan w:val="9"/>
          </w:tcPr>
          <w:p>
            <w:pPr>
              <w:ind w:left="160"/>
              <w:spacing w:after="0" w:line="129"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Genmab A/S Dodd-Frank Clawback Policy</w:t>
              </w:r>
            </w:hyperlink>
          </w:p>
        </w:tc>
        <w:tc>
          <w:tcPr>
            <w:tcW w:w="36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Incorporated by reference to Exhibit 97 to the Annual Report</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on Form 20-F for the year ended December 31, 2023, filed</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 the SEC on February 14, 2024</w:t>
            </w:r>
          </w:p>
        </w:tc>
      </w:tr>
      <w:tr>
        <w:trPr>
          <w:trHeight w:val="266"/>
        </w:trPr>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EX-101.INS</w:t>
            </w:r>
          </w:p>
        </w:tc>
        <w:tc>
          <w:tcPr>
            <w:tcW w:w="4200" w:type="dxa"/>
            <w:vAlign w:val="bottom"/>
            <w:gridSpan w:val="9"/>
          </w:tcPr>
          <w:p>
            <w:pPr>
              <w:ind w:left="160"/>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Inline XBRL Instance Document</w:t>
              </w:r>
            </w:hyperlink>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Exhibit 101.INS to the</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334"/>
        </w:trPr>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EX-101.SCH</w:t>
            </w:r>
          </w:p>
        </w:tc>
        <w:tc>
          <w:tcPr>
            <w:tcW w:w="4200" w:type="dxa"/>
            <w:vAlign w:val="bottom"/>
            <w:gridSpan w:val="9"/>
          </w:tcPr>
          <w:p>
            <w:pPr>
              <w:ind w:left="160"/>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Inline XBRL Taxonomy Extension Schema Document</w:t>
              </w:r>
            </w:hyperlink>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Exhibit 101.SCH to the</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267"/>
        </w:trPr>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EX-101.CAL</w:t>
            </w:r>
          </w:p>
        </w:tc>
        <w:tc>
          <w:tcPr>
            <w:tcW w:w="4200" w:type="dxa"/>
            <w:vAlign w:val="bottom"/>
            <w:gridSpan w:val="9"/>
          </w:tcPr>
          <w:p>
            <w:pPr>
              <w:ind w:left="160"/>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Inline XBRL Taxonomy Extension Calculation Linkbase Document</w:t>
              </w:r>
            </w:hyperlink>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Exhibit 101.CAL to the</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266"/>
        </w:trPr>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EX-101.DEF</w:t>
            </w:r>
          </w:p>
        </w:tc>
        <w:tc>
          <w:tcPr>
            <w:tcW w:w="4200" w:type="dxa"/>
            <w:vAlign w:val="bottom"/>
            <w:gridSpan w:val="9"/>
          </w:tcPr>
          <w:p>
            <w:pPr>
              <w:ind w:left="160"/>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Inline XBRL Taxonomy Extension Definition Linkbase Document</w:t>
              </w:r>
            </w:hyperlink>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Exhibit 101.DEF to the</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266"/>
        </w:trPr>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EX-101.LAB</w:t>
            </w:r>
          </w:p>
        </w:tc>
        <w:tc>
          <w:tcPr>
            <w:tcW w:w="4200" w:type="dxa"/>
            <w:vAlign w:val="bottom"/>
            <w:gridSpan w:val="9"/>
          </w:tcPr>
          <w:p>
            <w:pPr>
              <w:ind w:left="160"/>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Inline XBRL Taxonomy Extension Labels Linkbase Document</w:t>
              </w:r>
            </w:hyperlink>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Exhibit 101.LAB to the</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267"/>
        </w:trPr>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EX-101.PRE</w:t>
            </w:r>
          </w:p>
        </w:tc>
        <w:tc>
          <w:tcPr>
            <w:tcW w:w="4200" w:type="dxa"/>
            <w:vAlign w:val="bottom"/>
            <w:gridSpan w:val="9"/>
          </w:tcPr>
          <w:p>
            <w:pPr>
              <w:ind w:left="160"/>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Inline XBRL Taxonomy Extension Presentation Linkbase Document</w:t>
              </w:r>
            </w:hyperlink>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Incorporated by reference to Exhibit 101.PRE to the</w:t>
            </w:r>
          </w:p>
        </w:tc>
      </w:tr>
      <w:tr>
        <w:trPr>
          <w:trHeight w:val="119"/>
        </w:trPr>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tcPr>
          <w:p>
            <w:pPr>
              <w:spacing w:after="0"/>
              <w:rPr>
                <w:sz w:val="10"/>
                <w:szCs w:val="10"/>
                <w:color w:val="auto"/>
              </w:rPr>
            </w:pPr>
          </w:p>
        </w:tc>
        <w:tc>
          <w:tcPr>
            <w:tcW w:w="50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Registrant’s report furnished to the SEC on Form 6-K on</w:t>
            </w:r>
          </w:p>
        </w:tc>
      </w:tr>
      <w:tr>
        <w:trPr>
          <w:trHeight w:val="188"/>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February 12,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1" w:lineRule="exact"/>
        <w:rPr>
          <w:sz w:val="20"/>
          <w:szCs w:val="20"/>
          <w:color w:val="auto"/>
        </w:rPr>
      </w:pPr>
    </w:p>
    <w:p>
      <w:pPr>
        <w:jc w:val="both"/>
        <w:ind w:left="380" w:right="259" w:hanging="330"/>
        <w:spacing w:after="0" w:line="312" w:lineRule="auto"/>
        <w:tabs>
          <w:tab w:leader="none" w:pos="3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marked by brackets, have been omitted pursuant to Instruction 4(a) to Exhibits to Form 20-F because they are both (i) not material and (ii) include information of the type that we treat as private or confidential.</w:t>
      </w:r>
    </w:p>
    <w:p>
      <w:pPr>
        <w:spacing w:after="0" w:line="140" w:lineRule="exact"/>
        <w:rPr>
          <w:sz w:val="20"/>
          <w:szCs w:val="20"/>
          <w:color w:val="auto"/>
        </w:rPr>
      </w:pPr>
    </w:p>
    <w:p>
      <w:pPr>
        <w:ind w:left="380" w:right="79" w:hanging="330"/>
        <w:spacing w:after="0" w:line="261"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information included within Exhibit 15.2, which is provided pursuant to Rule 12b-23(a) of the Securities Exchange Act of 1934, as amended, is incorporated by reference in this Form 20-F, as specified elsewhere in this Form 20-F. With the exception of the items and pages so specified, the Annual Report 2024 is not deemed to be filed as part of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Genmab A/S</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Jan G.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wp:posOffset>
            </wp:positionV>
            <wp:extent cx="2854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Jan G. van de Winkel</w:t>
      </w:r>
    </w:p>
    <w:p>
      <w:pPr>
        <w:spacing w:after="0" w:line="23" w:lineRule="exact"/>
        <w:rPr>
          <w:sz w:val="20"/>
          <w:szCs w:val="20"/>
          <w:color w:val="auto"/>
        </w:rPr>
      </w:pPr>
    </w:p>
    <w:p>
      <w:pPr>
        <w:ind w:left="446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Dated: February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 of Genmab A/S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Genmab A/S and its subsidiaries (the “Company”) as of December 31, 2024, the related Consolidated Statement of Comprehensive Income, Consolidated Statement of Cash Flows and the Consolidated Statement of Changes in Equity, for the year then ended, and the related notes (collectively referred to as the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7" w:lineRule="exact"/>
        <w:rPr>
          <w:sz w:val="20"/>
          <w:szCs w:val="20"/>
          <w:color w:val="auto"/>
        </w:rPr>
      </w:pPr>
    </w:p>
    <w:p>
      <w:pPr>
        <w:ind w:left="60" w:right="239" w:firstLine="324"/>
        <w:spacing w:after="0" w:line="277" w:lineRule="auto"/>
        <w:rPr>
          <w:sz w:val="20"/>
          <w:szCs w:val="20"/>
          <w:color w:val="auto"/>
        </w:rPr>
      </w:pPr>
      <w:r>
        <w:rPr>
          <w:rFonts w:ascii="Times New Roman" w:cs="Times New Roman" w:eastAsia="Times New Roman" w:hAnsi="Times New Roman"/>
          <w:sz w:val="17"/>
          <w:szCs w:val="17"/>
          <w:color w:val="auto"/>
        </w:rPr>
        <w:t xml:space="preserve">In our opinion, the financial statements referred to above present fairly, in all material respects, the financial position of the Company as of December 31, 2024, and the results of its operations and its cash flows for the year then ended, in conformity with IFRS Accounting Standards as issued by the International Accounting Standards Board (IASB).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Report of Genmab Management on Internal Control over Financial Reporting</w:t>
      </w:r>
      <w:r>
        <w:rPr>
          <w:rFonts w:ascii="Times New Roman" w:cs="Times New Roman" w:eastAsia="Times New Roman" w:hAnsi="Times New Roman"/>
          <w:sz w:val="18"/>
          <w:szCs w:val="18"/>
          <w:color w:val="auto"/>
        </w:rPr>
        <w:t>. Our responsibility is to express an opinion on these financial statements and an opinion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PCAOB.</w:t>
      </w:r>
    </w:p>
    <w:p>
      <w:pPr>
        <w:spacing w:after="0" w:line="20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audit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Valuation of Acquired IPR&amp;D Assets in the ProfoundBio, Inc. Acquisition — Refer to Notes 3.1 and 5.5 to the financial statements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left="60" w:right="439" w:firstLine="324"/>
        <w:spacing w:after="0" w:line="261" w:lineRule="auto"/>
        <w:rPr>
          <w:sz w:val="20"/>
          <w:szCs w:val="20"/>
          <w:color w:val="auto"/>
        </w:rPr>
      </w:pPr>
      <w:r>
        <w:rPr>
          <w:rFonts w:ascii="Times New Roman" w:cs="Times New Roman" w:eastAsia="Times New Roman" w:hAnsi="Times New Roman"/>
          <w:sz w:val="18"/>
          <w:szCs w:val="18"/>
          <w:color w:val="auto"/>
        </w:rPr>
        <w:t>The Company completed the acquisition of ProfoundBio, Inc. (“ProfoundBio”) for USD 1.72 billion (DKK 11.8 billion) on May 21, 2024. The Company accounted for the acquisition as a business combination and, accordingly, has performed procedures to identify all assets and liabilities and allocated the purchase price to the assets acquired and liabilities assumed based on their respective estimated fair values as of the date of acquisition.</w:t>
      </w:r>
    </w:p>
    <w:p>
      <w:pPr>
        <w:spacing w:after="0" w:line="18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acquired primarily included the in-process research and development intangible assets (“Acquired IPR&amp;D assets”). The Company estimated the fair value of the Acquired IPR&amp;D assets using an income approach. The fair value determination of the Acquired IPR&amp;D assets required the Company to make significant estimates and assumptions related to the forecasted future cash flows, such as probabilities of technical and regulatory success, and the determination of the discount rates.</w:t>
      </w:r>
    </w:p>
    <w:p>
      <w:pPr>
        <w:spacing w:after="0" w:line="18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identified the valuation of Acquired IPR&amp;D assets for the ProfoundBio acquisition as a critical audit matter because of the high level of complexity and management judgement involved in determining the above outlined significant estimates and assumptions used by the Company to determine the fair value of these assets. This required a high degree of auditor judgement and an increased extent of effort when performing audit procedures to evaluate the reasonableness of management’s estimates and assumptions.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valuation of the Acquired IPR&amp;D assets in the ProfoundBio acquisition included the following, among others:</w:t>
      </w:r>
    </w:p>
    <w:p>
      <w:pPr>
        <w:spacing w:after="0" w:line="162" w:lineRule="exact"/>
        <w:rPr>
          <w:sz w:val="20"/>
          <w:szCs w:val="20"/>
          <w:color w:val="auto"/>
        </w:rPr>
      </w:pPr>
    </w:p>
    <w:p>
      <w:pPr>
        <w:ind w:left="720" w:right="359" w:hanging="319"/>
        <w:spacing w:after="0" w:line="257"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the Acquired IPR&amp;D assets, including the Company’s controls over the significant estimates and assumptions related to the forecasted future cash flows, such as probabilities of technical and regulatory success, and the determination of the discount rates.</w:t>
      </w:r>
    </w:p>
    <w:p>
      <w:pPr>
        <w:spacing w:after="0" w:line="1" w:lineRule="exact"/>
        <w:rPr>
          <w:rFonts w:ascii="Times New Roman" w:cs="Times New Roman" w:eastAsia="Times New Roman" w:hAnsi="Times New Roman"/>
          <w:sz w:val="18"/>
          <w:szCs w:val="18"/>
          <w:color w:val="auto"/>
        </w:rPr>
      </w:pPr>
    </w:p>
    <w:p>
      <w:pPr>
        <w:jc w:val="both"/>
        <w:ind w:left="720" w:right="579" w:hanging="319"/>
        <w:spacing w:after="0" w:line="255"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the Company’s probabilities of technical and regulatory success used in determination of the fair value of the Acquired IPR&amp;D assets by comparing to internal and external market studies and certain peer companies/products in the industry.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59" w:hanging="319"/>
        <w:spacing w:after="0" w:line="257"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the Company’s forecasts of future cash flows used in determination of the fair value of the Acquired IPR&amp;D assets by comparing the forecasts to historical results of operations, certain peer companies within comparable industries, and internal and external market studies.</w:t>
      </w:r>
    </w:p>
    <w:p>
      <w:pPr>
        <w:spacing w:after="0" w:line="1" w:lineRule="exact"/>
        <w:rPr>
          <w:rFonts w:ascii="Times New Roman" w:cs="Times New Roman" w:eastAsia="Times New Roman" w:hAnsi="Times New Roman"/>
          <w:sz w:val="18"/>
          <w:szCs w:val="18"/>
          <w:color w:val="auto"/>
        </w:rPr>
      </w:pPr>
    </w:p>
    <w:p>
      <w:pPr>
        <w:ind w:left="720" w:right="259" w:hanging="319"/>
        <w:spacing w:after="0" w:line="253"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reasonableness of the discount rates by testing the source information and inputs underlying the determination of the discount rates, including in relation to publicly available information for comparable companies and testing the mathematical accuracy of the calculation.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royalty revenue — Refer to Note 2.1 to the financial statements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royalty revenue, where revenue is recognized based on net sales by collaboration partners. The Company uses net sales provided by its collaboration partners as an input to their calculation of the amount of royalty revenue to recognize in each period. The preliminary net sales data provided by the collaboration partner may change once final net sales data is available.</w:t>
      </w:r>
    </w:p>
    <w:p>
      <w:pPr>
        <w:spacing w:after="0" w:line="180"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We identified the revenue recognition of royalty contracts as a critical audit matter because of the significant estimation uncertainty related to the net sales data provided by collaboration partners. Specifically, the collaboration partner’s estimate of net sales could change based on the final net sales impacting the royalty revenue recognized in each period. This required a high degree of auditor judgement and an increased extent of effort when performing audit procedures to evaluate the reasonableness of management’s estimates of the net sales.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royalty revenue recognized based on the significant assumption of estimated net sales provided by the collaboration partners included the following, among others:</w:t>
      </w:r>
    </w:p>
    <w:p>
      <w:pPr>
        <w:spacing w:after="0" w:line="162" w:lineRule="exact"/>
        <w:rPr>
          <w:sz w:val="20"/>
          <w:szCs w:val="20"/>
          <w:color w:val="auto"/>
        </w:rPr>
      </w:pPr>
    </w:p>
    <w:p>
      <w:pPr>
        <w:ind w:left="720" w:right="79" w:hanging="319"/>
        <w:spacing w:after="0" w:line="261"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relating to the evaluation for reasonableness of the estimated net sales used in the determination of royalty revenue recognition.</w:t>
      </w:r>
    </w:p>
    <w:p>
      <w:pPr>
        <w:ind w:left="720" w:right="11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overall reasonableness of the estimated net sales reported by the collaboration partners by assessing the historical accuracy of the estimates.</w:t>
      </w:r>
    </w:p>
    <w:p>
      <w:pPr>
        <w:ind w:left="720" w:right="419" w:hanging="319"/>
        <w:spacing w:after="0" w:line="26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external confirmations from selected collaboration partners on the estimated and actual net sales amounts reported.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 Genmab A/S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balance sheet of Genmab A/S and its subsidiaries (the “Company”) as of December 31, 2023, and the related consolidated statements of comprehensive income, statements of changes in equity and statements of cash flows for each of the two years in the period ended December 31, 2023, including the related notes, as listed in the index appearing under Item 19 (collectively referred to as the “consolidated financial statements”).</w:t>
      </w:r>
    </w:p>
    <w:p>
      <w:pPr>
        <w:spacing w:after="0" w:line="180"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2023, and the results of its operations and its cash flows for each of the two years in the period ended December 31, 2023 in conformity with IFRS Accounting Standards as issued by the International Accounting Standards Board and IFRS Accounting Standards as adopted by the European Union.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Statsautoriseret Revisionspartnerselskab</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Hellerup, Denmark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14, 2024, except for the revisions in Notes 1.4 and 4.5, as to which the date is February 12,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served as the Company's auditor from 2001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8080"/>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200" w:lineRule="exact"/>
        <w:rPr>
          <w:sz w:val="20"/>
          <w:szCs w:val="20"/>
          <w:color w:val="auto"/>
        </w:rPr>
      </w:pP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6220" w:type="dxa"/>
            <w:vAlign w:val="bottom"/>
          </w:tcPr>
          <w:p>
            <w:pPr>
              <w:ind w:left="1660"/>
              <w:spacing w:after="0"/>
              <w:rPr>
                <w:sz w:val="20"/>
                <w:szCs w:val="20"/>
                <w:color w:val="auto"/>
              </w:rPr>
            </w:pPr>
            <w:r>
              <w:rPr>
                <w:rFonts w:ascii="Times New Roman" w:cs="Times New Roman" w:eastAsia="Times New Roman" w:hAnsi="Times New Roman"/>
                <w:sz w:val="16"/>
                <w:szCs w:val="16"/>
                <w:b w:val="1"/>
                <w:bCs w:val="1"/>
                <w:color w:val="auto"/>
              </w:rPr>
              <w:t>Genmab A/S</w:t>
            </w:r>
          </w:p>
        </w:tc>
      </w:tr>
      <w:tr>
        <w:trPr>
          <w:trHeight w:val="324"/>
        </w:trPr>
        <w:tc>
          <w:tcPr>
            <w:tcW w:w="2620" w:type="dxa"/>
            <w:vAlign w:val="bottom"/>
          </w:tcPr>
          <w:p>
            <w:pPr>
              <w:spacing w:after="0"/>
              <w:rPr>
                <w:sz w:val="24"/>
                <w:szCs w:val="24"/>
                <w:color w:val="auto"/>
              </w:rPr>
            </w:pPr>
          </w:p>
        </w:tc>
        <w:tc>
          <w:tcPr>
            <w:tcW w:w="622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Subsidiaries of the Registrant</w:t>
            </w:r>
          </w:p>
        </w:tc>
      </w:tr>
      <w:tr>
        <w:trPr>
          <w:trHeight w:val="273"/>
        </w:trPr>
        <w:tc>
          <w:tcPr>
            <w:tcW w:w="2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tc>
      </w:tr>
      <w:tr>
        <w:trPr>
          <w:trHeight w:val="185"/>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Genmab B.V.</w:t>
            </w:r>
          </w:p>
        </w:tc>
        <w:tc>
          <w:tcPr>
            <w:tcW w:w="62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03"/>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Genmab Holding B.V.</w:t>
            </w:r>
          </w:p>
        </w:tc>
        <w:tc>
          <w:tcPr>
            <w:tcW w:w="62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Genmab US, Inc.</w:t>
            </w:r>
          </w:p>
        </w:tc>
        <w:tc>
          <w:tcPr>
            <w:tcW w:w="62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 United States</w:t>
            </w:r>
          </w:p>
        </w:tc>
      </w:tr>
      <w:tr>
        <w:trPr>
          <w:trHeight w:val="783"/>
        </w:trPr>
        <w:tc>
          <w:tcPr>
            <w:tcW w:w="26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129" w:name="page130"/>
    <w:bookmarkEnd w:id="12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39" w:lineRule="exact"/>
        <w:rPr>
          <w:sz w:val="20"/>
          <w:szCs w:val="20"/>
          <w:color w:val="auto"/>
        </w:rPr>
      </w:pPr>
    </w:p>
    <w:p>
      <w:pPr>
        <w:ind w:left="200" w:right="239"/>
        <w:spacing w:after="0"/>
        <w:rPr>
          <w:sz w:val="20"/>
          <w:szCs w:val="20"/>
          <w:color w:val="auto"/>
        </w:rPr>
      </w:pPr>
      <w:r>
        <w:rPr>
          <w:rFonts w:ascii="Verdana" w:cs="Verdana" w:eastAsia="Verdana" w:hAnsi="Verdana"/>
          <w:sz w:val="18"/>
          <w:szCs w:val="18"/>
          <w:b w:val="1"/>
          <w:bCs w:val="1"/>
          <w:color w:val="auto"/>
        </w:rPr>
        <w:t>INTERNAL RULES FOR THE MEMBERS OF THE BOARD OF DIRECTORS AND THE EXECUTIVE MANAGEMENT AND OTHER PERMANENT INSIDERS OF GENMAB A/S (CVR NO. 21032884) REGARDING THE PREVENTION OF INSIDER DEALING, TRADING WINDOWS, UNLAWFUL DISCLOSURE OF INSIDE INFORMATION, NOTIFICATION OF TRANSACTIONS AND GUIDELINES FOR THE COMPANY'S TRADE IN ITS OWN SECURITIES.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1. PURPOSES</w:t>
      </w:r>
    </w:p>
    <w:p>
      <w:pPr>
        <w:spacing w:after="0" w:line="213" w:lineRule="exact"/>
        <w:rPr>
          <w:sz w:val="20"/>
          <w:szCs w:val="20"/>
          <w:color w:val="auto"/>
        </w:rPr>
      </w:pPr>
    </w:p>
    <w:p>
      <w:pPr>
        <w:ind w:left="200" w:right="339"/>
        <w:spacing w:after="0" w:line="241" w:lineRule="auto"/>
        <w:rPr>
          <w:sz w:val="20"/>
          <w:szCs w:val="20"/>
          <w:color w:val="auto"/>
        </w:rPr>
      </w:pPr>
      <w:r>
        <w:rPr>
          <w:rFonts w:ascii="Verdana" w:cs="Verdana" w:eastAsia="Verdana" w:hAnsi="Verdana"/>
          <w:sz w:val="18"/>
          <w:szCs w:val="18"/>
          <w:color w:val="auto"/>
        </w:rPr>
        <w:t>1.1 The purposes of the following rules are to prevent the members of the board of directors, the executive management and other persons included on the permanent insiders' section of the insider list of Genmab A/S (the "Company") from carrying out insider dealing, to prevent unlawful disclosure of inside information and to ensure compliance with the notification obligation set out in Article 19 of the Market Abuse Regulation.</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2. THE PERSONS AND COMPANIES COVERED BY THESE RULES</w:t>
      </w:r>
    </w:p>
    <w:p>
      <w:pPr>
        <w:spacing w:after="0" w:line="213" w:lineRule="exact"/>
        <w:rPr>
          <w:sz w:val="20"/>
          <w:szCs w:val="20"/>
          <w:color w:val="auto"/>
        </w:rPr>
      </w:pPr>
    </w:p>
    <w:p>
      <w:pPr>
        <w:ind w:left="200" w:right="359"/>
        <w:spacing w:after="0" w:line="250" w:lineRule="auto"/>
        <w:rPr>
          <w:sz w:val="20"/>
          <w:szCs w:val="20"/>
          <w:color w:val="auto"/>
        </w:rPr>
      </w:pPr>
      <w:r>
        <w:rPr>
          <w:rFonts w:ascii="Verdana" w:cs="Verdana" w:eastAsia="Verdana" w:hAnsi="Verdana"/>
          <w:sz w:val="17"/>
          <w:szCs w:val="17"/>
          <w:color w:val="auto"/>
        </w:rPr>
        <w:t>2.1 These rules (the "Internal Rules") shall apply to (i) members of the Company’s board of directors (the “Board of Directors”), (ii) the registered and un-registered members of the Company’s executive management (the “Executive Management”) and other members of the Company's executive committee, and (iii) other persons than the persons listed under (i) or</w:t>
      </w:r>
    </w:p>
    <w:p>
      <w:pPr>
        <w:spacing w:after="0" w:line="3" w:lineRule="exact"/>
        <w:rPr>
          <w:sz w:val="20"/>
          <w:szCs w:val="20"/>
          <w:color w:val="auto"/>
        </w:rPr>
      </w:pPr>
    </w:p>
    <w:p>
      <w:pPr>
        <w:ind w:left="200" w:right="239" w:firstLine="9"/>
        <w:spacing w:after="0" w:line="242" w:lineRule="auto"/>
        <w:tabs>
          <w:tab w:leader="none" w:pos="525" w:val="left"/>
        </w:tabs>
        <w:numPr>
          <w:ilvl w:val="0"/>
          <w:numId w:val="74"/>
        </w:numPr>
        <w:rPr>
          <w:rFonts w:ascii="Verdana" w:cs="Verdana" w:eastAsia="Verdana" w:hAnsi="Verdana"/>
          <w:sz w:val="18"/>
          <w:szCs w:val="18"/>
          <w:color w:val="auto"/>
        </w:rPr>
      </w:pPr>
      <w:r>
        <w:rPr>
          <w:rFonts w:ascii="Verdana" w:cs="Verdana" w:eastAsia="Verdana" w:hAnsi="Verdana"/>
          <w:sz w:val="18"/>
          <w:szCs w:val="18"/>
          <w:color w:val="auto"/>
        </w:rPr>
        <w:t>that have been included on the permanent insiders' section of the Company's insider list ("Other Permanent Insiders") (hereinafter collectively referred to as "Permanent Insiders"). All Permanent Insiders must be informed in writing that they are comprised by these Internal Rules.</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3. FINANCIAL INSTRUMENTS (SECURITIES) COVERED BY THE INTERNAL RULES</w:t>
      </w:r>
    </w:p>
    <w:p>
      <w:pPr>
        <w:spacing w:after="0" w:line="213" w:lineRule="exact"/>
        <w:rPr>
          <w:sz w:val="20"/>
          <w:szCs w:val="20"/>
          <w:color w:val="auto"/>
        </w:rPr>
      </w:pPr>
    </w:p>
    <w:p>
      <w:pPr>
        <w:ind w:left="200" w:right="339"/>
        <w:spacing w:after="0" w:line="241" w:lineRule="auto"/>
        <w:rPr>
          <w:sz w:val="20"/>
          <w:szCs w:val="20"/>
          <w:color w:val="auto"/>
        </w:rPr>
      </w:pPr>
      <w:r>
        <w:rPr>
          <w:rFonts w:ascii="Verdana" w:cs="Verdana" w:eastAsia="Verdana" w:hAnsi="Verdana"/>
          <w:sz w:val="18"/>
          <w:szCs w:val="18"/>
          <w:color w:val="auto"/>
        </w:rPr>
        <w:t>3.1 These Internal Rules shall apply to financial instruments issued by the Company, which are admitted for trading and listing on Nasdaq Copenhagen, Nasdaq Global Select Market in the U.S. and any other listed or non-listed financial instruments related thereto. The financial instruments, to which these Internal Rules shall apply, are hereinafter referred to as the "Securities".</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4. DEFINITION OF "INSIDE INFORMATION"</w:t>
      </w:r>
    </w:p>
    <w:p>
      <w:pPr>
        <w:spacing w:after="0" w:line="213" w:lineRule="exact"/>
        <w:rPr>
          <w:sz w:val="20"/>
          <w:szCs w:val="20"/>
          <w:color w:val="auto"/>
        </w:rPr>
      </w:pPr>
    </w:p>
    <w:p>
      <w:pPr>
        <w:ind w:left="200" w:right="339"/>
        <w:spacing w:after="0" w:line="242" w:lineRule="auto"/>
        <w:rPr>
          <w:sz w:val="20"/>
          <w:szCs w:val="20"/>
          <w:color w:val="auto"/>
        </w:rPr>
      </w:pPr>
      <w:r>
        <w:rPr>
          <w:rFonts w:ascii="Verdana" w:cs="Verdana" w:eastAsia="Verdana" w:hAnsi="Verdana"/>
          <w:sz w:val="18"/>
          <w:szCs w:val="18"/>
          <w:color w:val="auto"/>
        </w:rPr>
        <w:t>4.1 "Inside Information" means information of a precise nature, which has not been made public, relating, directly or indirectly, to the Company, its directly and indirectly owned subsidiaries (the “Subsidiaries”) or one or more Securities, and which, if it were made public, would be likely to have a significant effect on the prices of one or more Securities.</w:t>
      </w:r>
    </w:p>
    <w:p>
      <w:pPr>
        <w:spacing w:after="0" w:line="198" w:lineRule="exact"/>
        <w:rPr>
          <w:sz w:val="20"/>
          <w:szCs w:val="20"/>
          <w:color w:val="auto"/>
        </w:rPr>
      </w:pPr>
    </w:p>
    <w:p>
      <w:pPr>
        <w:ind w:left="200" w:right="279"/>
        <w:spacing w:after="0" w:line="241" w:lineRule="auto"/>
        <w:rPr>
          <w:sz w:val="20"/>
          <w:szCs w:val="20"/>
          <w:color w:val="auto"/>
        </w:rPr>
      </w:pPr>
      <w:r>
        <w:rPr>
          <w:rFonts w:ascii="Verdana" w:cs="Verdana" w:eastAsia="Verdana" w:hAnsi="Verdana"/>
          <w:sz w:val="18"/>
          <w:szCs w:val="18"/>
          <w:color w:val="auto"/>
        </w:rPr>
        <w:t>4.2 Information is deemed to be "of a precise nature" if it indicates a set of circumstances which exists or which may reasonably be expected to come into existence, or an event which has occurred or which may reasonably be expected to occur, which is specific enough to enable a conclusion to be drawn as to the possible effect of that set of circumstances or event on the prices of one or more Securities.</w:t>
      </w:r>
    </w:p>
    <w:p>
      <w:pPr>
        <w:spacing w:after="0" w:line="198" w:lineRule="exact"/>
        <w:rPr>
          <w:sz w:val="20"/>
          <w:szCs w:val="20"/>
          <w:color w:val="auto"/>
        </w:rPr>
      </w:pPr>
    </w:p>
    <w:p>
      <w:pPr>
        <w:ind w:left="200" w:right="339"/>
        <w:spacing w:after="0" w:line="254" w:lineRule="auto"/>
        <w:rPr>
          <w:sz w:val="20"/>
          <w:szCs w:val="20"/>
          <w:color w:val="auto"/>
        </w:rPr>
      </w:pPr>
      <w:r>
        <w:rPr>
          <w:rFonts w:ascii="Verdana" w:cs="Verdana" w:eastAsia="Verdana" w:hAnsi="Verdana"/>
          <w:sz w:val="18"/>
          <w:szCs w:val="18"/>
          <w:color w:val="auto"/>
        </w:rPr>
        <w:t>4.3 Information which, if it were made public, would be likely to have a "significant effect" on the prices of one or more Securities means information a reasonable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532130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0" w:name="page131"/>
    <w:bookmarkEnd w:id="13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right="539"/>
        <w:spacing w:after="0" w:line="242" w:lineRule="auto"/>
        <w:rPr>
          <w:sz w:val="20"/>
          <w:szCs w:val="20"/>
          <w:color w:val="auto"/>
        </w:rPr>
      </w:pPr>
      <w:r>
        <w:rPr>
          <w:rFonts w:ascii="Verdana" w:cs="Verdana" w:eastAsia="Verdana" w:hAnsi="Verdana"/>
          <w:sz w:val="18"/>
          <w:szCs w:val="18"/>
          <w:color w:val="auto"/>
        </w:rPr>
        <w:t>would be likely to use as part of the basis of his or her investment decisions. According to U.S. securities regulation, Inside Information includes any non-public information for which there is a substantial likelihood that a reasonable investor would consider it important in making an investment decision.</w:t>
      </w:r>
    </w:p>
    <w:p>
      <w:pPr>
        <w:spacing w:after="0" w:line="198" w:lineRule="exact"/>
        <w:rPr>
          <w:sz w:val="20"/>
          <w:szCs w:val="20"/>
          <w:color w:val="auto"/>
        </w:rPr>
      </w:pPr>
    </w:p>
    <w:p>
      <w:pPr>
        <w:ind w:left="200"/>
        <w:spacing w:after="0"/>
        <w:rPr>
          <w:sz w:val="20"/>
          <w:szCs w:val="20"/>
          <w:color w:val="auto"/>
        </w:rPr>
      </w:pPr>
      <w:r>
        <w:rPr>
          <w:rFonts w:ascii="Verdana" w:cs="Verdana" w:eastAsia="Verdana" w:hAnsi="Verdana"/>
          <w:sz w:val="18"/>
          <w:szCs w:val="18"/>
          <w:color w:val="auto"/>
        </w:rPr>
        <w:t>4.4 The following information will usually be considered Inside Information:</w:t>
      </w:r>
    </w:p>
    <w:p>
      <w:pPr>
        <w:spacing w:after="0" w:line="227" w:lineRule="exact"/>
        <w:rPr>
          <w:sz w:val="20"/>
          <w:szCs w:val="20"/>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Major expansion or reduction of the activities of the Company.</w:t>
      </w:r>
    </w:p>
    <w:p>
      <w:pPr>
        <w:spacing w:after="0" w:line="23" w:lineRule="exact"/>
        <w:rPr>
          <w:rFonts w:ascii="Times New Roman" w:cs="Times New Roman" w:eastAsia="Times New Roman" w:hAnsi="Times New Roman"/>
          <w:sz w:val="18"/>
          <w:szCs w:val="18"/>
          <w:color w:val="auto"/>
        </w:rPr>
      </w:pPr>
    </w:p>
    <w:p>
      <w:pPr>
        <w:jc w:val="both"/>
        <w:ind w:left="860" w:right="699" w:hanging="327"/>
        <w:spacing w:after="0" w:line="281" w:lineRule="auto"/>
        <w:tabs>
          <w:tab w:leader="none" w:pos="860" w:val="left"/>
        </w:tabs>
        <w:numPr>
          <w:ilvl w:val="1"/>
          <w:numId w:val="75"/>
        </w:numPr>
        <w:rPr>
          <w:rFonts w:ascii="Times New Roman" w:cs="Times New Roman" w:eastAsia="Times New Roman" w:hAnsi="Times New Roman"/>
          <w:sz w:val="17"/>
          <w:szCs w:val="17"/>
          <w:color w:val="auto"/>
        </w:rPr>
      </w:pPr>
      <w:r>
        <w:rPr>
          <w:rFonts w:ascii="Verdana" w:cs="Verdana" w:eastAsia="Verdana" w:hAnsi="Verdana"/>
          <w:sz w:val="17"/>
          <w:szCs w:val="17"/>
          <w:color w:val="auto"/>
        </w:rPr>
        <w:t>Entering into/termination of major contracts including co-operation agreements or license agreements as well as receipt of larger payments under such agreements.</w:t>
      </w:r>
    </w:p>
    <w:p>
      <w:pPr>
        <w:spacing w:after="0" w:line="14" w:lineRule="exact"/>
        <w:rPr>
          <w:rFonts w:ascii="Times New Roman" w:cs="Times New Roman" w:eastAsia="Times New Roman" w:hAnsi="Times New Roman"/>
          <w:sz w:val="17"/>
          <w:szCs w:val="17"/>
          <w:color w:val="auto"/>
        </w:rPr>
      </w:pPr>
    </w:p>
    <w:p>
      <w:pPr>
        <w:ind w:left="860" w:right="899" w:hanging="327"/>
        <w:spacing w:after="0" w:line="266" w:lineRule="auto"/>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Significant research results (including in particular from clinical trials) as well as regulatory approvals/denials.</w:t>
      </w:r>
    </w:p>
    <w:p>
      <w:pPr>
        <w:spacing w:after="0" w:line="13"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Important new products or product candidates.</w:t>
      </w:r>
    </w:p>
    <w:p>
      <w:pPr>
        <w:spacing w:after="0" w:line="23"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Major new markets or loss of such markets.</w:t>
      </w:r>
    </w:p>
    <w:p>
      <w:pPr>
        <w:spacing w:after="0" w:line="23"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Major investments.</w:t>
      </w:r>
    </w:p>
    <w:p>
      <w:pPr>
        <w:spacing w:after="0" w:line="23" w:lineRule="exact"/>
        <w:rPr>
          <w:rFonts w:ascii="Times New Roman" w:cs="Times New Roman" w:eastAsia="Times New Roman" w:hAnsi="Times New Roman"/>
          <w:sz w:val="18"/>
          <w:szCs w:val="18"/>
          <w:color w:val="auto"/>
        </w:rPr>
      </w:pPr>
    </w:p>
    <w:p>
      <w:pPr>
        <w:ind w:left="860" w:right="719" w:hanging="327"/>
        <w:spacing w:after="0" w:line="266" w:lineRule="auto"/>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Legal proceedings instituted by or against the Company if it is considered that the result thereof may be of material importance.</w:t>
      </w:r>
    </w:p>
    <w:p>
      <w:pPr>
        <w:spacing w:after="0" w:line="13"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Winding-up, suspension of payments, petition for winding-up proceedings etc.</w:t>
      </w:r>
    </w:p>
    <w:p>
      <w:pPr>
        <w:spacing w:after="0" w:line="23"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Proposal for merger with another company.</w:t>
      </w:r>
    </w:p>
    <w:p>
      <w:pPr>
        <w:spacing w:after="0" w:line="23"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Transfer of a majority shareholding in the Company.</w:t>
      </w:r>
    </w:p>
    <w:p>
      <w:pPr>
        <w:spacing w:after="0" w:line="23" w:lineRule="exact"/>
        <w:rPr>
          <w:rFonts w:ascii="Times New Roman" w:cs="Times New Roman" w:eastAsia="Times New Roman" w:hAnsi="Times New Roman"/>
          <w:sz w:val="18"/>
          <w:szCs w:val="18"/>
          <w:color w:val="auto"/>
        </w:rPr>
      </w:pPr>
    </w:p>
    <w:p>
      <w:pPr>
        <w:ind w:left="860" w:right="479" w:hanging="327"/>
        <w:spacing w:after="0" w:line="282" w:lineRule="auto"/>
        <w:tabs>
          <w:tab w:leader="none" w:pos="860" w:val="left"/>
        </w:tabs>
        <w:numPr>
          <w:ilvl w:val="1"/>
          <w:numId w:val="75"/>
        </w:numPr>
        <w:rPr>
          <w:rFonts w:ascii="Times New Roman" w:cs="Times New Roman" w:eastAsia="Times New Roman" w:hAnsi="Times New Roman"/>
          <w:sz w:val="18"/>
          <w:szCs w:val="18"/>
          <w:color w:val="auto"/>
        </w:rPr>
      </w:pPr>
      <w:r>
        <w:rPr>
          <w:rFonts w:ascii="Verdana" w:cs="Verdana" w:eastAsia="Verdana" w:hAnsi="Verdana"/>
          <w:sz w:val="18"/>
          <w:szCs w:val="18"/>
          <w:color w:val="auto"/>
        </w:rPr>
        <w:t>Amendment of the registered members of the Executive Management or the chair or the vice chair of the Board of Directors.</w:t>
      </w:r>
    </w:p>
    <w:p>
      <w:pPr>
        <w:spacing w:after="0" w:line="294" w:lineRule="exact"/>
        <w:rPr>
          <w:rFonts w:ascii="Times New Roman" w:cs="Times New Roman" w:eastAsia="Times New Roman" w:hAnsi="Times New Roman"/>
          <w:sz w:val="18"/>
          <w:szCs w:val="18"/>
          <w:color w:val="auto"/>
        </w:rPr>
      </w:pPr>
    </w:p>
    <w:p>
      <w:pPr>
        <w:ind w:left="460" w:hanging="251"/>
        <w:spacing w:after="0"/>
        <w:tabs>
          <w:tab w:leader="none" w:pos="460" w:val="left"/>
        </w:tabs>
        <w:numPr>
          <w:ilvl w:val="0"/>
          <w:numId w:val="7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HANDLING OF INSIDE INFORMATION</w:t>
      </w:r>
    </w:p>
    <w:p>
      <w:pPr>
        <w:spacing w:after="0" w:line="213" w:lineRule="exact"/>
        <w:rPr>
          <w:sz w:val="20"/>
          <w:szCs w:val="20"/>
          <w:color w:val="auto"/>
        </w:rPr>
      </w:pPr>
    </w:p>
    <w:p>
      <w:pPr>
        <w:ind w:left="200" w:right="219"/>
        <w:spacing w:after="0" w:line="242" w:lineRule="auto"/>
        <w:rPr>
          <w:sz w:val="20"/>
          <w:szCs w:val="20"/>
          <w:color w:val="auto"/>
        </w:rPr>
      </w:pPr>
      <w:r>
        <w:rPr>
          <w:rFonts w:ascii="Verdana" w:cs="Verdana" w:eastAsia="Verdana" w:hAnsi="Verdana"/>
          <w:sz w:val="18"/>
          <w:szCs w:val="18"/>
          <w:color w:val="auto"/>
        </w:rPr>
        <w:t>5.1 A person in possession of Inside Information may generally not disclose such knowledge to others, whether internally within the Company or externally to closely related parties (spouse, children etc.) or others, and may not give trading advice to others, even if the advice is given without disclosing Inside Information.</w:t>
      </w:r>
    </w:p>
    <w:p>
      <w:pPr>
        <w:spacing w:after="0" w:line="198" w:lineRule="exact"/>
        <w:rPr>
          <w:sz w:val="20"/>
          <w:szCs w:val="20"/>
          <w:color w:val="auto"/>
        </w:rPr>
      </w:pPr>
    </w:p>
    <w:p>
      <w:pPr>
        <w:ind w:left="200" w:right="719"/>
        <w:spacing w:after="0" w:line="254" w:lineRule="auto"/>
        <w:rPr>
          <w:sz w:val="20"/>
          <w:szCs w:val="20"/>
          <w:color w:val="auto"/>
        </w:rPr>
      </w:pPr>
      <w:r>
        <w:rPr>
          <w:rFonts w:ascii="Verdana" w:cs="Verdana" w:eastAsia="Verdana" w:hAnsi="Verdana"/>
          <w:sz w:val="18"/>
          <w:szCs w:val="18"/>
          <w:color w:val="auto"/>
        </w:rPr>
        <w:t>5.2 Disclosure of Inside Information may, however, take place, if it is made in the normal exercise of employment, profession or duties.</w:t>
      </w:r>
    </w:p>
    <w:p>
      <w:pPr>
        <w:spacing w:after="0" w:line="185" w:lineRule="exact"/>
        <w:rPr>
          <w:sz w:val="20"/>
          <w:szCs w:val="20"/>
          <w:color w:val="auto"/>
        </w:rPr>
      </w:pPr>
    </w:p>
    <w:p>
      <w:pPr>
        <w:ind w:left="200" w:right="579"/>
        <w:spacing w:after="0" w:line="254" w:lineRule="auto"/>
        <w:rPr>
          <w:sz w:val="20"/>
          <w:szCs w:val="20"/>
          <w:color w:val="auto"/>
        </w:rPr>
      </w:pPr>
      <w:r>
        <w:rPr>
          <w:rFonts w:ascii="Verdana" w:cs="Verdana" w:eastAsia="Verdana" w:hAnsi="Verdana"/>
          <w:sz w:val="18"/>
          <w:szCs w:val="18"/>
          <w:color w:val="auto"/>
        </w:rPr>
        <w:t>5.3 A recipient of Inside Information will be prevented from trading in Securities until such information has been made public.</w:t>
      </w:r>
    </w:p>
    <w:p>
      <w:pPr>
        <w:spacing w:after="0" w:line="185" w:lineRule="exact"/>
        <w:rPr>
          <w:sz w:val="20"/>
          <w:szCs w:val="20"/>
          <w:color w:val="auto"/>
        </w:rPr>
      </w:pPr>
    </w:p>
    <w:p>
      <w:pPr>
        <w:ind w:left="200" w:right="259"/>
        <w:spacing w:after="0" w:line="242" w:lineRule="auto"/>
        <w:rPr>
          <w:sz w:val="20"/>
          <w:szCs w:val="20"/>
          <w:color w:val="auto"/>
        </w:rPr>
      </w:pPr>
      <w:r>
        <w:rPr>
          <w:rFonts w:ascii="Verdana" w:cs="Verdana" w:eastAsia="Verdana" w:hAnsi="Verdana"/>
          <w:sz w:val="18"/>
          <w:szCs w:val="18"/>
          <w:color w:val="auto"/>
        </w:rPr>
        <w:t>5.4 If a Permanent Insider is in doubt as to whether he/she may disclose Inside Information to others internally or externally, the Permanent Insider shall submit the matter to his/her superior (for registered members of the Executive Management the Board of Directors and for board members the chair of the Board of Directors) before disclosing the Inside Information.</w:t>
      </w:r>
    </w:p>
    <w:p>
      <w:pPr>
        <w:spacing w:after="0" w:line="198" w:lineRule="exact"/>
        <w:rPr>
          <w:sz w:val="20"/>
          <w:szCs w:val="20"/>
          <w:color w:val="auto"/>
        </w:rPr>
      </w:pPr>
    </w:p>
    <w:p>
      <w:pPr>
        <w:ind w:left="200" w:right="339"/>
        <w:spacing w:after="0" w:line="242" w:lineRule="auto"/>
        <w:rPr>
          <w:sz w:val="20"/>
          <w:szCs w:val="20"/>
          <w:color w:val="auto"/>
        </w:rPr>
      </w:pPr>
      <w:r>
        <w:rPr>
          <w:rFonts w:ascii="Verdana" w:cs="Verdana" w:eastAsia="Verdana" w:hAnsi="Verdana"/>
          <w:sz w:val="18"/>
          <w:szCs w:val="18"/>
          <w:color w:val="auto"/>
        </w:rPr>
        <w:t>5.5 If a Permanent Insider needs to pass on Inside Information externally (including to legal advisers, accountants and financial consultants) the person in question shall ensure - prior to disclosure - that the receiver is legally obligated to treat such information in confidence by either law, regulation or contract (e.g.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677545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1" w:name="page132"/>
    <w:bookmarkEnd w:id="13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6. SECURING OF INSIDE INFORMATION</w:t>
      </w:r>
    </w:p>
    <w:p>
      <w:pPr>
        <w:spacing w:after="0" w:line="213" w:lineRule="exact"/>
        <w:rPr>
          <w:sz w:val="20"/>
          <w:szCs w:val="20"/>
          <w:color w:val="auto"/>
        </w:rPr>
      </w:pPr>
    </w:p>
    <w:p>
      <w:pPr>
        <w:ind w:left="200" w:right="859"/>
        <w:spacing w:after="0" w:line="245" w:lineRule="auto"/>
        <w:rPr>
          <w:sz w:val="20"/>
          <w:szCs w:val="20"/>
          <w:color w:val="auto"/>
        </w:rPr>
      </w:pPr>
      <w:r>
        <w:rPr>
          <w:rFonts w:ascii="Verdana" w:cs="Verdana" w:eastAsia="Verdana" w:hAnsi="Verdana"/>
          <w:sz w:val="18"/>
          <w:szCs w:val="18"/>
          <w:color w:val="auto"/>
        </w:rPr>
        <w:t>6.1 Any person who is in possession of material containing Inside Information shall be responsible for the material being kept and handled in a manner, which shall not permit others to become acquainted with its contents.</w:t>
      </w:r>
    </w:p>
    <w:p>
      <w:pPr>
        <w:spacing w:after="0" w:line="194" w:lineRule="exact"/>
        <w:rPr>
          <w:sz w:val="20"/>
          <w:szCs w:val="20"/>
          <w:color w:val="auto"/>
        </w:rPr>
      </w:pPr>
    </w:p>
    <w:p>
      <w:pPr>
        <w:ind w:left="200" w:right="419"/>
        <w:spacing w:after="0" w:line="245" w:lineRule="auto"/>
        <w:rPr>
          <w:sz w:val="20"/>
          <w:szCs w:val="20"/>
          <w:color w:val="auto"/>
        </w:rPr>
      </w:pPr>
      <w:r>
        <w:rPr>
          <w:rFonts w:ascii="Verdana" w:cs="Verdana" w:eastAsia="Verdana" w:hAnsi="Verdana"/>
          <w:sz w:val="18"/>
          <w:szCs w:val="18"/>
          <w:color w:val="auto"/>
        </w:rPr>
        <w:t>6.2 In order to meet the obligations in Section 6.1, particular care should be exercised in connection with copying, mailing (including by email) externally and internally and in similar situations. In this respect, the following precautions in particular may be considered:</w:t>
      </w:r>
    </w:p>
    <w:p>
      <w:pPr>
        <w:spacing w:after="0" w:line="208" w:lineRule="exact"/>
        <w:rPr>
          <w:sz w:val="20"/>
          <w:szCs w:val="20"/>
          <w:color w:val="auto"/>
        </w:rPr>
      </w:pPr>
    </w:p>
    <w:p>
      <w:pPr>
        <w:ind w:left="860" w:hanging="327"/>
        <w:spacing w:after="0"/>
        <w:tabs>
          <w:tab w:leader="none" w:pos="860" w:val="left"/>
        </w:tabs>
        <w:numPr>
          <w:ilvl w:val="1"/>
          <w:numId w:val="7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refer to sensitive matters using an anonymous name or a code;</w:t>
      </w:r>
    </w:p>
    <w:p>
      <w:pPr>
        <w:spacing w:after="0" w:line="23" w:lineRule="exact"/>
        <w:rPr>
          <w:rFonts w:ascii="Times New Roman" w:cs="Times New Roman" w:eastAsia="Times New Roman" w:hAnsi="Times New Roman"/>
          <w:sz w:val="18"/>
          <w:szCs w:val="18"/>
          <w:color w:val="auto"/>
        </w:rPr>
      </w:pPr>
    </w:p>
    <w:p>
      <w:pPr>
        <w:jc w:val="both"/>
        <w:ind w:left="860" w:right="539" w:hanging="327"/>
        <w:spacing w:after="0" w:line="268" w:lineRule="auto"/>
        <w:tabs>
          <w:tab w:leader="none" w:pos="860" w:val="left"/>
        </w:tabs>
        <w:numPr>
          <w:ilvl w:val="1"/>
          <w:numId w:val="7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restrict access to letters and documents etc. in the computer system so that only the persons having a need for them in the dispatch of their work can gain access to the material;</w:t>
      </w:r>
    </w:p>
    <w:p>
      <w:pPr>
        <w:spacing w:after="0" w:line="8" w:lineRule="exact"/>
        <w:rPr>
          <w:rFonts w:ascii="Times New Roman" w:cs="Times New Roman" w:eastAsia="Times New Roman" w:hAnsi="Times New Roman"/>
          <w:sz w:val="18"/>
          <w:szCs w:val="18"/>
          <w:color w:val="auto"/>
        </w:rPr>
      </w:pPr>
    </w:p>
    <w:p>
      <w:pPr>
        <w:ind w:left="860" w:right="559" w:hanging="327"/>
        <w:spacing w:after="0" w:line="268" w:lineRule="auto"/>
        <w:tabs>
          <w:tab w:leader="none" w:pos="860" w:val="left"/>
        </w:tabs>
        <w:numPr>
          <w:ilvl w:val="1"/>
          <w:numId w:val="7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take the utmost care to ensure that confidential material and drafts for such material are never left by copying machines, in conference rooms or in waste paper baskets without being shred properly;</w:t>
      </w:r>
    </w:p>
    <w:p>
      <w:pPr>
        <w:spacing w:after="0" w:line="8" w:lineRule="exact"/>
        <w:rPr>
          <w:rFonts w:ascii="Times New Roman" w:cs="Times New Roman" w:eastAsia="Times New Roman" w:hAnsi="Times New Roman"/>
          <w:sz w:val="18"/>
          <w:szCs w:val="18"/>
          <w:color w:val="auto"/>
        </w:rPr>
      </w:pPr>
    </w:p>
    <w:p>
      <w:pPr>
        <w:ind w:left="860" w:right="559" w:hanging="327"/>
        <w:spacing w:after="0" w:line="268" w:lineRule="auto"/>
        <w:tabs>
          <w:tab w:leader="none" w:pos="860" w:val="left"/>
        </w:tabs>
        <w:numPr>
          <w:ilvl w:val="1"/>
          <w:numId w:val="7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take the utmost care when transmitting by fax, for instance by coordinating such fax transmissions between recipient and sender so that personal receipt by the recipient is made possible;</w:t>
      </w:r>
    </w:p>
    <w:p>
      <w:pPr>
        <w:spacing w:after="0" w:line="8"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1"/>
          <w:numId w:val="7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arrange plain envelopes when handling material internally; and</w:t>
      </w:r>
    </w:p>
    <w:p>
      <w:pPr>
        <w:spacing w:after="0" w:line="23" w:lineRule="exact"/>
        <w:rPr>
          <w:rFonts w:ascii="Times New Roman" w:cs="Times New Roman" w:eastAsia="Times New Roman" w:hAnsi="Times New Roman"/>
          <w:sz w:val="18"/>
          <w:szCs w:val="18"/>
          <w:color w:val="auto"/>
        </w:rPr>
      </w:pPr>
    </w:p>
    <w:p>
      <w:pPr>
        <w:ind w:left="860" w:right="979" w:hanging="327"/>
        <w:spacing w:after="0" w:line="283" w:lineRule="auto"/>
        <w:tabs>
          <w:tab w:leader="none" w:pos="860" w:val="left"/>
        </w:tabs>
        <w:numPr>
          <w:ilvl w:val="1"/>
          <w:numId w:val="76"/>
        </w:numPr>
        <w:rPr>
          <w:rFonts w:ascii="Times New Roman" w:cs="Times New Roman" w:eastAsia="Times New Roman" w:hAnsi="Times New Roman"/>
          <w:sz w:val="18"/>
          <w:szCs w:val="18"/>
          <w:color w:val="auto"/>
        </w:rPr>
      </w:pPr>
      <w:r>
        <w:rPr>
          <w:rFonts w:ascii="Verdana" w:cs="Verdana" w:eastAsia="Verdana" w:hAnsi="Verdana"/>
          <w:sz w:val="18"/>
          <w:szCs w:val="18"/>
          <w:color w:val="auto"/>
        </w:rPr>
        <w:t>to ensure that external mailing is marked "personal and confidential" or similar marking and is addressed to a specific recipient.</w:t>
      </w:r>
    </w:p>
    <w:p>
      <w:pPr>
        <w:spacing w:after="0" w:line="292" w:lineRule="exact"/>
        <w:rPr>
          <w:rFonts w:ascii="Times New Roman" w:cs="Times New Roman" w:eastAsia="Times New Roman" w:hAnsi="Times New Roman"/>
          <w:sz w:val="18"/>
          <w:szCs w:val="18"/>
          <w:color w:val="auto"/>
        </w:rPr>
      </w:pPr>
    </w:p>
    <w:p>
      <w:pPr>
        <w:ind w:left="200" w:right="699" w:firstLine="9"/>
        <w:spacing w:after="0" w:line="254" w:lineRule="auto"/>
        <w:tabs>
          <w:tab w:leader="none" w:pos="455" w:val="left"/>
        </w:tabs>
        <w:numPr>
          <w:ilvl w:val="0"/>
          <w:numId w:val="7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DUTY OF NOTIFICATION REGARDING TRANSACTIONS WITH SECURITIES FOR PERSONS DISCHARGING MANAGERIAL RESPONSIBILITIES</w:t>
      </w:r>
    </w:p>
    <w:p>
      <w:pPr>
        <w:spacing w:after="0" w:line="185" w:lineRule="exact"/>
        <w:rPr>
          <w:sz w:val="20"/>
          <w:szCs w:val="20"/>
          <w:color w:val="auto"/>
        </w:rPr>
      </w:pPr>
    </w:p>
    <w:p>
      <w:pPr>
        <w:ind w:left="200" w:right="259"/>
        <w:spacing w:after="0" w:line="239" w:lineRule="auto"/>
        <w:rPr>
          <w:sz w:val="20"/>
          <w:szCs w:val="20"/>
          <w:color w:val="auto"/>
        </w:rPr>
      </w:pPr>
      <w:r>
        <w:rPr>
          <w:rFonts w:ascii="Verdana" w:cs="Verdana" w:eastAsia="Verdana" w:hAnsi="Verdana"/>
          <w:sz w:val="18"/>
          <w:szCs w:val="18"/>
          <w:color w:val="auto"/>
        </w:rPr>
        <w:t>7.1 The Executive Management shall keep a register of all members of the Board of Directors, the registered members of the Executive Management and other senior executives who have regular access to inside information that relates directly or indirectly to the Company and who have power to take managerial decisions affecting the future developments and business prospects of the Company (hereinafter collectively referred to as a "PDMR" or as "PDMRs") stating the full name, position/function and address of such persons and of persons closely associated with a PDMR and all such PDMRs must be informed of their notification obligation.</w:t>
      </w:r>
    </w:p>
    <w:p>
      <w:pPr>
        <w:spacing w:after="0" w:line="203" w:lineRule="exact"/>
        <w:rPr>
          <w:sz w:val="20"/>
          <w:szCs w:val="20"/>
          <w:color w:val="auto"/>
        </w:rPr>
      </w:pPr>
    </w:p>
    <w:p>
      <w:pPr>
        <w:ind w:left="200" w:right="339"/>
        <w:spacing w:after="0"/>
        <w:rPr>
          <w:sz w:val="20"/>
          <w:szCs w:val="20"/>
          <w:color w:val="auto"/>
        </w:rPr>
      </w:pPr>
      <w:r>
        <w:rPr>
          <w:rFonts w:ascii="Verdana" w:cs="Verdana" w:eastAsia="Verdana" w:hAnsi="Verdana"/>
          <w:sz w:val="18"/>
          <w:szCs w:val="18"/>
          <w:color w:val="auto"/>
        </w:rPr>
        <w:t>7.2 A PDMR shall notify the Company and the Danish Financial Supervisory Authority (“Finanstilsynet”) about his/her transactions involving Securities. Such transactions include inter alia sale, acquisition, gift, pledge, (share) lending as well as receipt of and exercise of warrants to subscribe shares in the Company. The notification must be made promptly and in any event no later than 3 (three) business days after the date of the transaction. The Company will disclose notifications by way of a company announcement.</w:t>
      </w:r>
    </w:p>
    <w:p>
      <w:pPr>
        <w:spacing w:after="0" w:line="199" w:lineRule="exact"/>
        <w:rPr>
          <w:sz w:val="20"/>
          <w:szCs w:val="20"/>
          <w:color w:val="auto"/>
        </w:rPr>
      </w:pPr>
    </w:p>
    <w:p>
      <w:pPr>
        <w:ind w:left="200" w:right="599"/>
        <w:spacing w:after="0" w:line="254" w:lineRule="auto"/>
        <w:rPr>
          <w:sz w:val="20"/>
          <w:szCs w:val="20"/>
          <w:color w:val="auto"/>
        </w:rPr>
      </w:pPr>
      <w:r>
        <w:rPr>
          <w:rFonts w:ascii="Verdana" w:cs="Verdana" w:eastAsia="Verdana" w:hAnsi="Verdana"/>
          <w:sz w:val="18"/>
          <w:szCs w:val="18"/>
          <w:color w:val="auto"/>
        </w:rPr>
        <w:t>7.3 Persons closely associated with a PDMR also have a duty of notification regarding their transactions with Securities.</w:t>
      </w:r>
    </w:p>
    <w:p>
      <w:pPr>
        <w:spacing w:after="0" w:line="185" w:lineRule="exact"/>
        <w:rPr>
          <w:sz w:val="20"/>
          <w:szCs w:val="20"/>
          <w:color w:val="auto"/>
        </w:rPr>
      </w:pPr>
    </w:p>
    <w:p>
      <w:pPr>
        <w:ind w:left="200" w:right="239"/>
        <w:spacing w:after="0" w:line="245" w:lineRule="auto"/>
        <w:rPr>
          <w:sz w:val="20"/>
          <w:szCs w:val="20"/>
          <w:color w:val="auto"/>
        </w:rPr>
      </w:pPr>
      <w:r>
        <w:rPr>
          <w:rFonts w:ascii="Verdana" w:cs="Verdana" w:eastAsia="Verdana" w:hAnsi="Verdana"/>
          <w:sz w:val="18"/>
          <w:szCs w:val="18"/>
          <w:color w:val="auto"/>
        </w:rPr>
        <w:t>7.4 Schedule 1 outlines what information notifications pursuant to Sections 7.2 and 7.3 must contain. PDMRs and persons closely associated with them may assign a proxy to the Company to report transactions to the Danish Financial Supervisory Authority on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537845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2" w:name="page133"/>
    <w:bookmarkEnd w:id="13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right="859"/>
        <w:spacing w:after="0" w:line="254" w:lineRule="auto"/>
        <w:rPr>
          <w:sz w:val="20"/>
          <w:szCs w:val="20"/>
          <w:color w:val="auto"/>
        </w:rPr>
      </w:pPr>
      <w:r>
        <w:rPr>
          <w:rFonts w:ascii="Verdana" w:cs="Verdana" w:eastAsia="Verdana" w:hAnsi="Verdana"/>
          <w:sz w:val="18"/>
          <w:szCs w:val="18"/>
          <w:color w:val="auto"/>
        </w:rPr>
        <w:t>behalf. If such proxy is made, the PDMR and persons closely associated with them shall promptly inform the Company of any transactions with Securities.</w:t>
      </w:r>
    </w:p>
    <w:p>
      <w:pPr>
        <w:spacing w:after="0" w:line="185" w:lineRule="exact"/>
        <w:rPr>
          <w:sz w:val="20"/>
          <w:szCs w:val="20"/>
          <w:color w:val="auto"/>
        </w:rPr>
      </w:pPr>
    </w:p>
    <w:p>
      <w:pPr>
        <w:ind w:left="200" w:right="559"/>
        <w:spacing w:after="0" w:line="245" w:lineRule="auto"/>
        <w:rPr>
          <w:sz w:val="20"/>
          <w:szCs w:val="20"/>
          <w:color w:val="auto"/>
        </w:rPr>
      </w:pPr>
      <w:r>
        <w:rPr>
          <w:rFonts w:ascii="Verdana" w:cs="Verdana" w:eastAsia="Verdana" w:hAnsi="Verdana"/>
          <w:sz w:val="18"/>
          <w:szCs w:val="18"/>
          <w:color w:val="auto"/>
        </w:rPr>
        <w:t>7.5 The Company shall on a continuous basis provide detailed written information to the PDMRs about their reporting obligations and the obligation of the PDMRs to inform persons closely associated with them of their reporting obligations.</w:t>
      </w:r>
    </w:p>
    <w:p>
      <w:pPr>
        <w:spacing w:after="0" w:line="208" w:lineRule="exact"/>
        <w:rPr>
          <w:sz w:val="20"/>
          <w:szCs w:val="20"/>
          <w:color w:val="auto"/>
        </w:rPr>
      </w:pPr>
    </w:p>
    <w:p>
      <w:pPr>
        <w:ind w:left="200" w:right="379"/>
        <w:spacing w:after="0" w:line="241" w:lineRule="auto"/>
        <w:rPr>
          <w:sz w:val="20"/>
          <w:szCs w:val="20"/>
          <w:color w:val="auto"/>
        </w:rPr>
      </w:pPr>
      <w:r>
        <w:rPr>
          <w:rFonts w:ascii="Verdana" w:cs="Verdana" w:eastAsia="Verdana" w:hAnsi="Verdana"/>
          <w:sz w:val="18"/>
          <w:szCs w:val="18"/>
          <w:color w:val="auto"/>
        </w:rPr>
        <w:t>7.6 The notification obligation shall also apply to Securities, which are included in a pension scheme administered by the person in question him/herself. However, the notification obligation shall not apply to Securities, which are included in a pension scheme administered by a bank or an insurance company to which the person in question contributes without any influence as to the allocation of the funds.</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8. PROHIBITION AGAINST SPECULATIVE TRANSACTIONS</w:t>
      </w:r>
    </w:p>
    <w:p>
      <w:pPr>
        <w:spacing w:after="0" w:line="213" w:lineRule="exact"/>
        <w:rPr>
          <w:sz w:val="20"/>
          <w:szCs w:val="20"/>
          <w:color w:val="auto"/>
        </w:rPr>
      </w:pPr>
    </w:p>
    <w:p>
      <w:pPr>
        <w:ind w:left="200" w:right="239"/>
        <w:spacing w:after="0" w:line="267" w:lineRule="auto"/>
        <w:rPr>
          <w:sz w:val="20"/>
          <w:szCs w:val="20"/>
          <w:color w:val="auto"/>
        </w:rPr>
      </w:pPr>
      <w:r>
        <w:rPr>
          <w:rFonts w:ascii="Verdana" w:cs="Verdana" w:eastAsia="Verdana" w:hAnsi="Verdana"/>
          <w:sz w:val="17"/>
          <w:szCs w:val="17"/>
          <w:color w:val="auto"/>
        </w:rPr>
        <w:t>8.1 Members of the Board of Directors and members of the Company's Executive Management may not carry out or participate in speculative transactions concerning any Securities. Neither shall the Company carry out or participate in such speculative transactions.</w:t>
      </w:r>
    </w:p>
    <w:p>
      <w:pPr>
        <w:spacing w:after="0" w:line="174" w:lineRule="exact"/>
        <w:rPr>
          <w:sz w:val="20"/>
          <w:szCs w:val="20"/>
          <w:color w:val="auto"/>
        </w:rPr>
      </w:pPr>
    </w:p>
    <w:p>
      <w:pPr>
        <w:ind w:left="200" w:right="319"/>
        <w:spacing w:after="0" w:line="242" w:lineRule="auto"/>
        <w:rPr>
          <w:sz w:val="20"/>
          <w:szCs w:val="20"/>
          <w:color w:val="auto"/>
        </w:rPr>
      </w:pPr>
      <w:r>
        <w:rPr>
          <w:rFonts w:ascii="Verdana" w:cs="Verdana" w:eastAsia="Verdana" w:hAnsi="Verdana"/>
          <w:sz w:val="18"/>
          <w:szCs w:val="18"/>
          <w:color w:val="auto"/>
        </w:rPr>
        <w:t>8.2 By "speculative transactions" is understood purchases with subsequent sale (and possible repurchase) after a short period of ownership - usually less than six months - as opposed to purchases with a view to a longer-term investment (sale of shares in the Company in connection with exercise of warrants is not comprised by this prohibition).</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9. INSIDER LISTS AND CLOSED TRADING WINDOWS</w:t>
      </w:r>
    </w:p>
    <w:p>
      <w:pPr>
        <w:spacing w:after="0" w:line="213" w:lineRule="exact"/>
        <w:rPr>
          <w:sz w:val="20"/>
          <w:szCs w:val="20"/>
          <w:color w:val="auto"/>
        </w:rPr>
      </w:pPr>
    </w:p>
    <w:p>
      <w:pPr>
        <w:ind w:left="200" w:right="719"/>
        <w:spacing w:after="0" w:line="241" w:lineRule="auto"/>
        <w:rPr>
          <w:sz w:val="20"/>
          <w:szCs w:val="20"/>
          <w:color w:val="auto"/>
        </w:rPr>
      </w:pPr>
      <w:r>
        <w:rPr>
          <w:rFonts w:ascii="Verdana" w:cs="Verdana" w:eastAsia="Verdana" w:hAnsi="Verdana"/>
          <w:sz w:val="18"/>
          <w:szCs w:val="18"/>
          <w:color w:val="auto"/>
        </w:rPr>
        <w:t>9.1 The Company shall establish and continuously update lists of those persons who are employed by the Company (as well as by its Subsidiaries) and who have access to Inside Information cf. Article 18 of the Market Abuse Regulation ("Insider Lists"). All Permanent Insiders of the Company shall be included on the Permanent Insiders' Section of the Company’s Insider Lists.</w:t>
      </w:r>
    </w:p>
    <w:p>
      <w:pPr>
        <w:spacing w:after="0" w:line="198" w:lineRule="exact"/>
        <w:rPr>
          <w:sz w:val="20"/>
          <w:szCs w:val="20"/>
          <w:color w:val="auto"/>
        </w:rPr>
      </w:pPr>
    </w:p>
    <w:p>
      <w:pPr>
        <w:ind w:left="200" w:right="379"/>
        <w:spacing w:after="0" w:line="241" w:lineRule="auto"/>
        <w:rPr>
          <w:sz w:val="20"/>
          <w:szCs w:val="20"/>
          <w:color w:val="auto"/>
        </w:rPr>
      </w:pPr>
      <w:r>
        <w:rPr>
          <w:rFonts w:ascii="Verdana" w:cs="Verdana" w:eastAsia="Verdana" w:hAnsi="Verdana"/>
          <w:sz w:val="18"/>
          <w:szCs w:val="18"/>
          <w:color w:val="auto"/>
        </w:rPr>
        <w:t>9.2 Referring to article 19 of the Market Abuse Regulation, all Permanent Insiders are prohibited from conducting transactions with Securities on their own account or on the account of a third party, directly or indirectly, during a period of 30 calendar days before the day of the announcement of an interim financial report or a year-end report ("Closed Trading Windows").</w:t>
      </w:r>
    </w:p>
    <w:p>
      <w:pPr>
        <w:spacing w:after="0" w:line="198" w:lineRule="exact"/>
        <w:rPr>
          <w:sz w:val="20"/>
          <w:szCs w:val="20"/>
          <w:color w:val="auto"/>
        </w:rPr>
      </w:pPr>
    </w:p>
    <w:p>
      <w:pPr>
        <w:ind w:left="200" w:right="219"/>
        <w:spacing w:after="0" w:line="245" w:lineRule="auto"/>
        <w:rPr>
          <w:sz w:val="20"/>
          <w:szCs w:val="20"/>
          <w:color w:val="auto"/>
        </w:rPr>
      </w:pPr>
      <w:r>
        <w:rPr>
          <w:rFonts w:ascii="Verdana" w:cs="Verdana" w:eastAsia="Verdana" w:hAnsi="Verdana"/>
          <w:sz w:val="18"/>
          <w:szCs w:val="18"/>
          <w:color w:val="auto"/>
        </w:rPr>
        <w:t>9.3 Transactions with Securities outside the Closed Trading Windows may be carried out only in Open Trading Windows, cf. Section 9.4 and subject to the general prohibition against insider dealing, cf. Section 11.</w:t>
      </w:r>
    </w:p>
    <w:p>
      <w:pPr>
        <w:spacing w:after="0" w:line="194" w:lineRule="exact"/>
        <w:rPr>
          <w:sz w:val="20"/>
          <w:szCs w:val="20"/>
          <w:color w:val="auto"/>
        </w:rPr>
      </w:pPr>
    </w:p>
    <w:p>
      <w:pPr>
        <w:ind w:left="200" w:right="219"/>
        <w:spacing w:after="0" w:line="241" w:lineRule="auto"/>
        <w:rPr>
          <w:sz w:val="20"/>
          <w:szCs w:val="20"/>
          <w:color w:val="auto"/>
        </w:rPr>
      </w:pPr>
      <w:r>
        <w:rPr>
          <w:rFonts w:ascii="Verdana" w:cs="Verdana" w:eastAsia="Verdana" w:hAnsi="Verdana"/>
          <w:sz w:val="18"/>
          <w:szCs w:val="18"/>
          <w:color w:val="auto"/>
        </w:rPr>
        <w:t>9.4 Permanent Insiders may only carry out transactions with Securities (whether for their own account or for the account of a third party, directly or indirectly) twenty-four (24) hours after publication of the Company's interim financial reports or the annual report and during a period ending six (6) weeks after publication of the Company's interim financial reports or the annual report ("Open Trading Windows").</w:t>
      </w:r>
    </w:p>
    <w:p>
      <w:pPr>
        <w:spacing w:after="0" w:line="198" w:lineRule="exact"/>
        <w:rPr>
          <w:sz w:val="20"/>
          <w:szCs w:val="20"/>
          <w:color w:val="auto"/>
        </w:rPr>
      </w:pPr>
    </w:p>
    <w:p>
      <w:pPr>
        <w:ind w:left="200" w:right="339"/>
        <w:spacing w:after="0" w:line="245" w:lineRule="auto"/>
        <w:rPr>
          <w:sz w:val="20"/>
          <w:szCs w:val="20"/>
          <w:color w:val="auto"/>
        </w:rPr>
      </w:pPr>
      <w:r>
        <w:rPr>
          <w:rFonts w:ascii="Verdana" w:cs="Verdana" w:eastAsia="Verdana" w:hAnsi="Verdana"/>
          <w:sz w:val="18"/>
          <w:szCs w:val="18"/>
          <w:color w:val="auto"/>
        </w:rPr>
        <w:t>9.5 Transactions with Securities within a Closed Trading Window and outside an Open Trading Window may be effected in particular circumstances, subject to the prior written acceptance by the chair of the Board of Directors. Such acceptance shall be made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537845</wp:posOffset>
            </wp:positionV>
            <wp:extent cx="5452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3" w:name="page134"/>
    <w:bookmarkEnd w:id="13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right="239"/>
        <w:spacing w:after="0" w:line="247" w:lineRule="auto"/>
        <w:rPr>
          <w:sz w:val="20"/>
          <w:szCs w:val="20"/>
          <w:color w:val="auto"/>
        </w:rPr>
      </w:pPr>
      <w:r>
        <w:rPr>
          <w:rFonts w:ascii="Verdana" w:cs="Verdana" w:eastAsia="Verdana" w:hAnsi="Verdana"/>
          <w:sz w:val="18"/>
          <w:szCs w:val="18"/>
          <w:color w:val="auto"/>
        </w:rPr>
        <w:t>case-by-case basis due to exceptional circumstances, such as severe financial difficulty on part of the Permanent Insider or due to the characteristics of the trading involved for transactions made under the Company’s share programs etc. Acceptance will never be made if the Permanent Insider asking for such acceptance is in possession of Inside Information.</w:t>
      </w:r>
    </w:p>
    <w:p>
      <w:pPr>
        <w:spacing w:after="0" w:line="193" w:lineRule="exact"/>
        <w:rPr>
          <w:sz w:val="20"/>
          <w:szCs w:val="20"/>
          <w:color w:val="auto"/>
        </w:rPr>
      </w:pPr>
    </w:p>
    <w:p>
      <w:pPr>
        <w:ind w:left="200" w:right="359"/>
        <w:spacing w:after="0" w:line="241" w:lineRule="auto"/>
        <w:rPr>
          <w:sz w:val="20"/>
          <w:szCs w:val="20"/>
          <w:color w:val="auto"/>
        </w:rPr>
      </w:pPr>
      <w:r>
        <w:rPr>
          <w:rFonts w:ascii="Verdana" w:cs="Verdana" w:eastAsia="Verdana" w:hAnsi="Verdana"/>
          <w:sz w:val="18"/>
          <w:szCs w:val="18"/>
          <w:color w:val="auto"/>
        </w:rPr>
        <w:t>9.6 Subscription of new employee shares (which shall include also subscription through the exercise of warrants granted to Permanent Insiders) may take place outside an Open Trading Window. However, for the avoidance of doubt it is noted that the shares subscribed may only be sold within an Open Trading Window and always subject to the general prohibition against insider dealing, cf. Section 11.</w:t>
      </w:r>
    </w:p>
    <w:p>
      <w:pPr>
        <w:spacing w:after="0" w:line="198" w:lineRule="exact"/>
        <w:rPr>
          <w:sz w:val="20"/>
          <w:szCs w:val="20"/>
          <w:color w:val="auto"/>
        </w:rPr>
      </w:pPr>
    </w:p>
    <w:p>
      <w:pPr>
        <w:jc w:val="both"/>
        <w:ind w:left="200" w:right="379"/>
        <w:spacing w:after="0" w:line="245" w:lineRule="auto"/>
        <w:rPr>
          <w:sz w:val="20"/>
          <w:szCs w:val="20"/>
          <w:color w:val="auto"/>
        </w:rPr>
      </w:pPr>
      <w:r>
        <w:rPr>
          <w:rFonts w:ascii="Verdana" w:cs="Verdana" w:eastAsia="Verdana" w:hAnsi="Verdana"/>
          <w:sz w:val="18"/>
          <w:szCs w:val="18"/>
          <w:color w:val="auto"/>
        </w:rPr>
        <w:t>9.7 The Board of Directors or - in urgent matters - the chair of the Board of Directors may in one-off cases lay down further restrictions concerning the period within which the Securities subject to these Internal Rules may not be traded.</w:t>
      </w:r>
    </w:p>
    <w:p>
      <w:pPr>
        <w:spacing w:after="0" w:line="302"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10. TRADING PERIODS (THE COMPANY'S TRADING IN SECURITIES)</w:t>
      </w:r>
    </w:p>
    <w:p>
      <w:pPr>
        <w:spacing w:after="0" w:line="213" w:lineRule="exact"/>
        <w:rPr>
          <w:sz w:val="20"/>
          <w:szCs w:val="20"/>
          <w:color w:val="auto"/>
        </w:rPr>
      </w:pPr>
    </w:p>
    <w:p>
      <w:pPr>
        <w:ind w:left="200" w:right="259"/>
        <w:spacing w:after="0" w:line="242" w:lineRule="auto"/>
        <w:rPr>
          <w:sz w:val="20"/>
          <w:szCs w:val="20"/>
          <w:color w:val="auto"/>
        </w:rPr>
      </w:pPr>
      <w:r>
        <w:rPr>
          <w:rFonts w:ascii="Verdana" w:cs="Verdana" w:eastAsia="Verdana" w:hAnsi="Verdana"/>
          <w:sz w:val="18"/>
          <w:szCs w:val="18"/>
          <w:color w:val="auto"/>
        </w:rPr>
        <w:t>10.1 The Company shall not purchase and dispose of Securities during a period of 30 calendar days before the announcement of an interim financial report or a year-end report. Please see the Guidelines for the Company and its Subsidiaries’ trade in Securities for further information.</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11. PROHIBITION AGAINST INSIDER DEALING</w:t>
      </w:r>
    </w:p>
    <w:p>
      <w:pPr>
        <w:spacing w:after="0" w:line="213" w:lineRule="exact"/>
        <w:rPr>
          <w:sz w:val="20"/>
          <w:szCs w:val="20"/>
          <w:color w:val="auto"/>
        </w:rPr>
      </w:pPr>
    </w:p>
    <w:p>
      <w:pPr>
        <w:ind w:left="200" w:right="359"/>
        <w:spacing w:after="0" w:line="254" w:lineRule="auto"/>
        <w:rPr>
          <w:sz w:val="20"/>
          <w:szCs w:val="20"/>
          <w:color w:val="auto"/>
        </w:rPr>
      </w:pPr>
      <w:r>
        <w:rPr>
          <w:rFonts w:ascii="Verdana" w:cs="Verdana" w:eastAsia="Verdana" w:hAnsi="Verdana"/>
          <w:sz w:val="18"/>
          <w:szCs w:val="18"/>
          <w:color w:val="auto"/>
        </w:rPr>
        <w:t>11.1 In connection with transactions with Securities, Permanent Insiders shall comply strictly with the prohibition against insider dealing.</w:t>
      </w:r>
    </w:p>
    <w:p>
      <w:pPr>
        <w:spacing w:after="0" w:line="185" w:lineRule="exact"/>
        <w:rPr>
          <w:sz w:val="20"/>
          <w:szCs w:val="20"/>
          <w:color w:val="auto"/>
        </w:rPr>
      </w:pPr>
    </w:p>
    <w:p>
      <w:pPr>
        <w:ind w:left="200" w:right="319"/>
        <w:spacing w:after="0"/>
        <w:rPr>
          <w:sz w:val="20"/>
          <w:szCs w:val="20"/>
          <w:color w:val="auto"/>
        </w:rPr>
      </w:pPr>
      <w:r>
        <w:rPr>
          <w:rFonts w:ascii="Verdana" w:cs="Verdana" w:eastAsia="Verdana" w:hAnsi="Verdana"/>
          <w:sz w:val="18"/>
          <w:szCs w:val="18"/>
          <w:color w:val="auto"/>
        </w:rPr>
        <w:t>11.2 Insider dealing arises if a Permanent Insider possesses Inside Information and uses that information by acquiring or disposing of, for its own account or for the account of a third party, directly or indirectly, Securities to which that information relates. The use of Inside Information by cancelling or amending an order concerning a Security to which the information relates where the order was placed before the employee possessed the Inside Information, shall also be considered insider dealing.</w:t>
      </w:r>
    </w:p>
    <w:p>
      <w:pPr>
        <w:spacing w:after="0" w:line="199" w:lineRule="exact"/>
        <w:rPr>
          <w:sz w:val="20"/>
          <w:szCs w:val="20"/>
          <w:color w:val="auto"/>
        </w:rPr>
      </w:pPr>
    </w:p>
    <w:p>
      <w:pPr>
        <w:ind w:left="200" w:right="459"/>
        <w:spacing w:after="0" w:line="254" w:lineRule="auto"/>
        <w:rPr>
          <w:sz w:val="20"/>
          <w:szCs w:val="20"/>
          <w:color w:val="auto"/>
        </w:rPr>
      </w:pPr>
      <w:r>
        <w:rPr>
          <w:rFonts w:ascii="Verdana" w:cs="Verdana" w:eastAsia="Verdana" w:hAnsi="Verdana"/>
          <w:sz w:val="18"/>
          <w:szCs w:val="18"/>
          <w:color w:val="auto"/>
        </w:rPr>
        <w:t>11.3 If Permanent Insiders are in possession of Inside Information, they shall not engage in any transactions regarding Securities.</w:t>
      </w:r>
    </w:p>
    <w:p>
      <w:pPr>
        <w:spacing w:after="0" w:line="185" w:lineRule="exact"/>
        <w:rPr>
          <w:sz w:val="20"/>
          <w:szCs w:val="20"/>
          <w:color w:val="auto"/>
        </w:rPr>
      </w:pPr>
    </w:p>
    <w:p>
      <w:pPr>
        <w:ind w:left="200" w:right="459"/>
        <w:spacing w:after="0" w:line="254" w:lineRule="auto"/>
        <w:rPr>
          <w:sz w:val="20"/>
          <w:szCs w:val="20"/>
          <w:color w:val="auto"/>
        </w:rPr>
      </w:pPr>
      <w:r>
        <w:rPr>
          <w:rFonts w:ascii="Verdana" w:cs="Verdana" w:eastAsia="Verdana" w:hAnsi="Verdana"/>
          <w:sz w:val="18"/>
          <w:szCs w:val="18"/>
          <w:color w:val="auto"/>
        </w:rPr>
        <w:t>11.4 Prior to trading in Securities within an Open Trading Window, Permanent Insiders must complete the relevant procedure set out below:</w:t>
      </w:r>
    </w:p>
    <w:p>
      <w:pPr>
        <w:spacing w:after="0" w:line="185" w:lineRule="exact"/>
        <w:rPr>
          <w:sz w:val="20"/>
          <w:szCs w:val="20"/>
          <w:color w:val="auto"/>
        </w:rPr>
      </w:pPr>
    </w:p>
    <w:p>
      <w:pPr>
        <w:ind w:left="200" w:right="299"/>
        <w:spacing w:after="0" w:line="239" w:lineRule="auto"/>
        <w:rPr>
          <w:sz w:val="20"/>
          <w:szCs w:val="20"/>
          <w:color w:val="auto"/>
        </w:rPr>
      </w:pPr>
      <w:r>
        <w:rPr>
          <w:rFonts w:ascii="Verdana" w:cs="Verdana" w:eastAsia="Verdana" w:hAnsi="Verdana"/>
          <w:sz w:val="18"/>
          <w:szCs w:val="18"/>
          <w:u w:val="single" w:color="auto"/>
          <w:color w:val="auto"/>
        </w:rPr>
        <w:t>Board of Directors:</w:t>
      </w:r>
      <w:r>
        <w:rPr>
          <w:rFonts w:ascii="Verdana" w:cs="Verdana" w:eastAsia="Verdana" w:hAnsi="Verdana"/>
          <w:sz w:val="18"/>
          <w:szCs w:val="18"/>
          <w:color w:val="auto"/>
        </w:rPr>
        <w:t xml:space="preserve"> The board members shall consult with the Chair of the Board of Directors and the Corporate Secretary. The Corporate Secretary will then consult with relevant stakeholders (and external legal counsel, if relevant) and will inform the board member if any objections or concerns are raised. If there are no objections or concerns, the board member may carry out the transaction within 5 trading days, unless otherwise agreed with the Legal Department and provided always that the board member does not gain access to Inside Information during such period.</w:t>
      </w:r>
    </w:p>
    <w:p>
      <w:pPr>
        <w:spacing w:after="0" w:line="203" w:lineRule="exact"/>
        <w:rPr>
          <w:sz w:val="20"/>
          <w:szCs w:val="20"/>
          <w:color w:val="auto"/>
        </w:rPr>
      </w:pPr>
    </w:p>
    <w:p>
      <w:pPr>
        <w:ind w:left="200" w:right="479"/>
        <w:spacing w:after="0" w:line="242" w:lineRule="auto"/>
        <w:rPr>
          <w:sz w:val="20"/>
          <w:szCs w:val="20"/>
          <w:color w:val="auto"/>
        </w:rPr>
      </w:pPr>
      <w:r>
        <w:rPr>
          <w:rFonts w:ascii="Verdana" w:cs="Verdana" w:eastAsia="Verdana" w:hAnsi="Verdana"/>
          <w:sz w:val="18"/>
          <w:szCs w:val="18"/>
          <w:u w:val="single" w:color="auto"/>
          <w:color w:val="auto"/>
        </w:rPr>
        <w:t>Executive Management:</w:t>
      </w:r>
      <w:r>
        <w:rPr>
          <w:rFonts w:ascii="Verdana" w:cs="Verdana" w:eastAsia="Verdana" w:hAnsi="Verdana"/>
          <w:sz w:val="18"/>
          <w:szCs w:val="18"/>
          <w:color w:val="auto"/>
        </w:rPr>
        <w:t xml:space="preserve"> Members of the Executive Management shall consult with the Chief Executive Officer and the Legal Department. A challenge call must be set up to explore whether the member is in possession of Inside Information and/or material non-public information that would prevent the member from initiating the transaction. The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540385</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4" w:name="page135"/>
    <w:bookmarkEnd w:id="13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right="259"/>
        <w:spacing w:after="0"/>
        <w:rPr>
          <w:sz w:val="20"/>
          <w:szCs w:val="20"/>
          <w:color w:val="auto"/>
        </w:rPr>
      </w:pPr>
      <w:r>
        <w:rPr>
          <w:rFonts w:ascii="Verdana" w:cs="Verdana" w:eastAsia="Verdana" w:hAnsi="Verdana"/>
          <w:sz w:val="18"/>
          <w:szCs w:val="18"/>
          <w:color w:val="auto"/>
        </w:rPr>
        <w:t>the Executive Management, the Chief Legal Officer, a representative from the Legal Department, the Corporate Secretary and external DK and US counsels shall participate in the challenge call. The Chief Executive Officer and/or the Chief Financial Officer shall attend, if relevant. If there are no objections or concerns, the member may carry out the transaction within 5 trading days, unless otherwise agreed with the Legal Department and provided always that the member does not gain access to Inside Information during such period.</w:t>
      </w:r>
    </w:p>
    <w:p>
      <w:pPr>
        <w:spacing w:after="0" w:line="199" w:lineRule="exact"/>
        <w:rPr>
          <w:sz w:val="20"/>
          <w:szCs w:val="20"/>
          <w:color w:val="auto"/>
        </w:rPr>
      </w:pPr>
    </w:p>
    <w:p>
      <w:pPr>
        <w:ind w:left="200" w:right="259"/>
        <w:spacing w:after="0" w:line="241" w:lineRule="auto"/>
        <w:rPr>
          <w:sz w:val="20"/>
          <w:szCs w:val="20"/>
          <w:color w:val="auto"/>
        </w:rPr>
      </w:pPr>
      <w:r>
        <w:rPr>
          <w:rFonts w:ascii="Verdana" w:cs="Verdana" w:eastAsia="Verdana" w:hAnsi="Verdana"/>
          <w:sz w:val="18"/>
          <w:szCs w:val="18"/>
          <w:u w:val="single" w:color="auto"/>
          <w:color w:val="auto"/>
        </w:rPr>
        <w:t>Other Permanent Insiders</w:t>
      </w:r>
      <w:r>
        <w:rPr>
          <w:rFonts w:ascii="Verdana" w:cs="Verdana" w:eastAsia="Verdana" w:hAnsi="Verdana"/>
          <w:sz w:val="18"/>
          <w:szCs w:val="18"/>
          <w:color w:val="auto"/>
        </w:rPr>
        <w:t>: Other Permanent Insiders shall consult with the Legal Department. In case no objections or concerns are raised, the Permanent Insider may initiate the transaction within 5 trading days, unless otherwise agreed with the Legal Department and provided always that the Permanent Insider does not gain access to Inside Information during such period.</w:t>
      </w:r>
    </w:p>
    <w:p>
      <w:pPr>
        <w:spacing w:after="0" w:line="306"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12. COMPLIANCE WITH THE INTERNAL RULES AND SANCTIONS</w:t>
      </w:r>
    </w:p>
    <w:p>
      <w:pPr>
        <w:spacing w:after="0" w:line="213" w:lineRule="exact"/>
        <w:rPr>
          <w:sz w:val="20"/>
          <w:szCs w:val="20"/>
          <w:color w:val="auto"/>
        </w:rPr>
      </w:pPr>
    </w:p>
    <w:p>
      <w:pPr>
        <w:ind w:left="200" w:right="719"/>
        <w:spacing w:after="0" w:line="254" w:lineRule="auto"/>
        <w:rPr>
          <w:sz w:val="20"/>
          <w:szCs w:val="20"/>
          <w:color w:val="auto"/>
        </w:rPr>
      </w:pPr>
      <w:r>
        <w:rPr>
          <w:rFonts w:ascii="Verdana" w:cs="Verdana" w:eastAsia="Verdana" w:hAnsi="Verdana"/>
          <w:sz w:val="18"/>
          <w:szCs w:val="18"/>
          <w:color w:val="auto"/>
        </w:rPr>
        <w:t>12.1 These Internal Rules shall be kept by the Legal Department from where they can be requisitioned.</w:t>
      </w:r>
    </w:p>
    <w:p>
      <w:pPr>
        <w:spacing w:after="0" w:line="185" w:lineRule="exact"/>
        <w:rPr>
          <w:sz w:val="20"/>
          <w:szCs w:val="20"/>
          <w:color w:val="auto"/>
        </w:rPr>
      </w:pPr>
    </w:p>
    <w:p>
      <w:pPr>
        <w:ind w:left="200" w:right="339"/>
        <w:spacing w:after="0" w:line="245" w:lineRule="auto"/>
        <w:rPr>
          <w:sz w:val="20"/>
          <w:szCs w:val="20"/>
          <w:color w:val="auto"/>
        </w:rPr>
      </w:pPr>
      <w:r>
        <w:rPr>
          <w:rFonts w:ascii="Verdana" w:cs="Verdana" w:eastAsia="Verdana" w:hAnsi="Verdana"/>
          <w:sz w:val="18"/>
          <w:szCs w:val="18"/>
          <w:color w:val="auto"/>
        </w:rPr>
        <w:t>12.2 The Company shall continuously ensure that each Permanent Insider is familiar with the contents of these Internal Rules and aware of the duties, responsibilities and implications these Internal Rules may inflict on each Permanent Insider.</w:t>
      </w:r>
    </w:p>
    <w:p>
      <w:pPr>
        <w:spacing w:after="0" w:line="194" w:lineRule="exact"/>
        <w:rPr>
          <w:sz w:val="20"/>
          <w:szCs w:val="20"/>
          <w:color w:val="auto"/>
        </w:rPr>
      </w:pPr>
    </w:p>
    <w:p>
      <w:pPr>
        <w:ind w:left="200" w:right="259"/>
        <w:spacing w:after="0" w:line="250" w:lineRule="auto"/>
        <w:rPr>
          <w:sz w:val="20"/>
          <w:szCs w:val="20"/>
          <w:color w:val="auto"/>
        </w:rPr>
      </w:pPr>
      <w:r>
        <w:rPr>
          <w:rFonts w:ascii="Verdana" w:cs="Verdana" w:eastAsia="Verdana" w:hAnsi="Verdana"/>
          <w:sz w:val="17"/>
          <w:szCs w:val="17"/>
          <w:color w:val="auto"/>
        </w:rPr>
        <w:t>12.3 If the Executive Management suspects that there has been a breach of the prohibition against i) trading outside an Open Trading Window or trading within a Closed Trading Window,</w:t>
      </w:r>
    </w:p>
    <w:p>
      <w:pPr>
        <w:spacing w:after="0" w:line="2" w:lineRule="exact"/>
        <w:rPr>
          <w:sz w:val="20"/>
          <w:szCs w:val="20"/>
          <w:color w:val="auto"/>
        </w:rPr>
      </w:pPr>
    </w:p>
    <w:p>
      <w:pPr>
        <w:ind w:left="200" w:right="299" w:firstLine="9"/>
        <w:spacing w:after="0" w:line="254" w:lineRule="auto"/>
        <w:tabs>
          <w:tab w:leader="none" w:pos="444" w:val="left"/>
        </w:tabs>
        <w:numPr>
          <w:ilvl w:val="0"/>
          <w:numId w:val="77"/>
        </w:numPr>
        <w:rPr>
          <w:rFonts w:ascii="Verdana" w:cs="Verdana" w:eastAsia="Verdana" w:hAnsi="Verdana"/>
          <w:sz w:val="18"/>
          <w:szCs w:val="18"/>
          <w:color w:val="auto"/>
        </w:rPr>
      </w:pPr>
      <w:r>
        <w:rPr>
          <w:rFonts w:ascii="Verdana" w:cs="Verdana" w:eastAsia="Verdana" w:hAnsi="Verdana"/>
          <w:sz w:val="18"/>
          <w:szCs w:val="18"/>
          <w:color w:val="auto"/>
        </w:rPr>
        <w:t>insider dealing, or iii) unlawful disclosure of Inside Information, the Executive Management is obliged to inform the chair of the Board of Directors immediately.</w:t>
      </w:r>
    </w:p>
    <w:p>
      <w:pPr>
        <w:spacing w:after="0" w:line="185" w:lineRule="exact"/>
        <w:rPr>
          <w:sz w:val="20"/>
          <w:szCs w:val="20"/>
          <w:color w:val="auto"/>
        </w:rPr>
      </w:pPr>
    </w:p>
    <w:p>
      <w:pPr>
        <w:ind w:left="200" w:right="219"/>
        <w:spacing w:after="0" w:line="238" w:lineRule="auto"/>
        <w:rPr>
          <w:sz w:val="20"/>
          <w:szCs w:val="20"/>
          <w:color w:val="auto"/>
        </w:rPr>
      </w:pPr>
      <w:r>
        <w:rPr>
          <w:rFonts w:ascii="Verdana" w:cs="Verdana" w:eastAsia="Verdana" w:hAnsi="Verdana"/>
          <w:sz w:val="18"/>
          <w:szCs w:val="18"/>
          <w:color w:val="auto"/>
        </w:rPr>
        <w:t>12.4 It is emphasized that breach of the rules contained in these Internal Rules may be considered a criminal offence in Denmark and the United States and as sufficient grounds for summary dismissal. In Denmark, any breach of the prohibitions against insider dealing and unlawful disclosure of Inside Information by a Permanent Insider may - depending on the circumstances – be punishable by a fine or imprisonment up to one (1) year and six (6) months, and in particularly grave cases imprisonment up to six (6) years. In the United States, such a breach may result in penalties and sanctions that include disgorging any profits gained or loss avoided, up to 20 years in prison, criminal fines of up to USD 5 million, and civil penalties of up to three times the profit gained or loss avoided (whether directly by a Permanent Insider, or by a third party as a result of the Permanent Insider’s breach) and civil injunctions by the U.S. Securities Exchange Commission.</w:t>
      </w:r>
    </w:p>
    <w:p>
      <w:pPr>
        <w:spacing w:after="0" w:line="314"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13. UNINTENTIONAL SPREAD OF INSIDE INFORMATION</w:t>
      </w:r>
    </w:p>
    <w:p>
      <w:pPr>
        <w:spacing w:after="0" w:line="213" w:lineRule="exact"/>
        <w:rPr>
          <w:sz w:val="20"/>
          <w:szCs w:val="20"/>
          <w:color w:val="auto"/>
        </w:rPr>
      </w:pPr>
    </w:p>
    <w:p>
      <w:pPr>
        <w:ind w:left="200" w:right="599"/>
        <w:spacing w:after="0" w:line="241" w:lineRule="auto"/>
        <w:rPr>
          <w:sz w:val="20"/>
          <w:szCs w:val="20"/>
          <w:color w:val="auto"/>
        </w:rPr>
      </w:pPr>
      <w:r>
        <w:rPr>
          <w:rFonts w:ascii="Verdana" w:cs="Verdana" w:eastAsia="Verdana" w:hAnsi="Verdana"/>
          <w:sz w:val="18"/>
          <w:szCs w:val="18"/>
          <w:color w:val="auto"/>
        </w:rPr>
        <w:t>13.1 In case a Permanent Insider finds or reasonably suspects that Inside Information has been disclosed in violation of the rules contained in these Internal Rules he/she must immediately inform the Executive Management of this or as the case may be the Board of Directors. The Executive Management and/or the Board of Directors will thereafter assess whether a public disclosure of the information is required.</w:t>
      </w:r>
    </w:p>
    <w:p>
      <w:pPr>
        <w:spacing w:after="0" w:line="306" w:lineRule="exact"/>
        <w:rPr>
          <w:sz w:val="20"/>
          <w:szCs w:val="20"/>
          <w:color w:val="auto"/>
        </w:rPr>
      </w:pPr>
    </w:p>
    <w:p>
      <w:pPr>
        <w:ind w:left="200" w:right="599" w:firstLine="9"/>
        <w:spacing w:after="0" w:line="254" w:lineRule="auto"/>
        <w:tabs>
          <w:tab w:leader="none" w:pos="582" w:val="left"/>
        </w:tabs>
        <w:numPr>
          <w:ilvl w:val="0"/>
          <w:numId w:val="7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DUTY OF DISCLOSURE OF INFORMATION TO NASDAQ COPENHAGEN AND THE DANISH FINANCIAL SUPERVISORY AUTHORITY AND INCONSISTENCIES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669290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5" w:name="page136"/>
    <w:bookmarkEnd w:id="135"/>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right="219"/>
        <w:spacing w:after="0"/>
        <w:rPr>
          <w:sz w:val="20"/>
          <w:szCs w:val="20"/>
          <w:color w:val="auto"/>
        </w:rPr>
      </w:pPr>
      <w:r>
        <w:rPr>
          <w:rFonts w:ascii="Verdana" w:cs="Verdana" w:eastAsia="Verdana" w:hAnsi="Verdana"/>
          <w:sz w:val="18"/>
          <w:szCs w:val="18"/>
          <w:color w:val="auto"/>
        </w:rPr>
        <w:t>14.1 The Company is obliged to provide a copy of the Insider Lists to Nasdaq Copenhagen and the Danish Financial Supervisory Authority on request. The Company may also share these Internal Rules with Nasdaq Copenhagen as well as authorities in Denmark and/or the U.S. Nothing herein shall take precedence over applicable rules and regulations and in the cases of any inconsistency between the contents of these rules and the Market Abuse Regulation and regulations issued thereunder, said regulations (as the case may be) shall take precedence.</w:t>
      </w:r>
    </w:p>
    <w:p>
      <w:pPr>
        <w:spacing w:after="0" w:line="307" w:lineRule="exact"/>
        <w:rPr>
          <w:sz w:val="20"/>
          <w:szCs w:val="20"/>
          <w:color w:val="auto"/>
        </w:rPr>
      </w:pPr>
    </w:p>
    <w:p>
      <w:pPr>
        <w:ind w:left="200"/>
        <w:spacing w:after="0"/>
        <w:rPr>
          <w:sz w:val="20"/>
          <w:szCs w:val="20"/>
          <w:color w:val="auto"/>
        </w:rPr>
      </w:pPr>
      <w:r>
        <w:rPr>
          <w:rFonts w:ascii="Verdana" w:cs="Verdana" w:eastAsia="Verdana" w:hAnsi="Verdana"/>
          <w:sz w:val="18"/>
          <w:szCs w:val="18"/>
          <w:b w:val="1"/>
          <w:bCs w:val="1"/>
          <w:color w:val="auto"/>
        </w:rPr>
        <w:t>15. COMMENCEMENT AND CHANGES</w:t>
      </w:r>
    </w:p>
    <w:p>
      <w:pPr>
        <w:spacing w:after="0" w:line="213" w:lineRule="exact"/>
        <w:rPr>
          <w:sz w:val="20"/>
          <w:szCs w:val="20"/>
          <w:color w:val="auto"/>
        </w:rPr>
      </w:pPr>
    </w:p>
    <w:p>
      <w:pPr>
        <w:ind w:left="200" w:right="619"/>
        <w:spacing w:after="0" w:line="245" w:lineRule="auto"/>
        <w:rPr>
          <w:sz w:val="20"/>
          <w:szCs w:val="20"/>
          <w:color w:val="auto"/>
        </w:rPr>
      </w:pPr>
      <w:r>
        <w:rPr>
          <w:rFonts w:ascii="Verdana" w:cs="Verdana" w:eastAsia="Verdana" w:hAnsi="Verdana"/>
          <w:sz w:val="18"/>
          <w:szCs w:val="18"/>
          <w:color w:val="auto"/>
        </w:rPr>
        <w:t>15.1 These Internal Rules shall become effective on January 1, 2025, and may only be changed by the Board of Directors. These Internal Rules shall be reviewed by the Board of Directors at least once a year.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687705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Verdana" w:cs="Verdana" w:eastAsia="Verdana" w:hAnsi="Verdana"/>
          <w:sz w:val="18"/>
          <w:szCs w:val="18"/>
          <w:color w:val="auto"/>
        </w:rPr>
        <w:t>Adopted by the Board of Directors on November 21, 2024.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Verdana" w:cs="Verdana" w:eastAsia="Verdana" w:hAnsi="Verdana"/>
          <w:sz w:val="18"/>
          <w:szCs w:val="18"/>
          <w:color w:val="auto"/>
        </w:rPr>
        <w:t>SCHEDULE 1: NOTIFICATION FORM</w:t>
      </w:r>
    </w:p>
    <w:p>
      <w:pPr>
        <w:spacing w:after="0" w:line="213" w:lineRule="exact"/>
        <w:rPr>
          <w:sz w:val="20"/>
          <w:szCs w:val="20"/>
          <w:color w:val="auto"/>
        </w:rPr>
      </w:pPr>
    </w:p>
    <w:p>
      <w:pPr>
        <w:ind w:left="340" w:right="419"/>
        <w:spacing w:after="0" w:line="283" w:lineRule="auto"/>
        <w:rPr>
          <w:sz w:val="20"/>
          <w:szCs w:val="20"/>
          <w:color w:val="auto"/>
        </w:rPr>
      </w:pPr>
      <w:r>
        <w:rPr>
          <w:rFonts w:ascii="Verdana" w:cs="Verdana" w:eastAsia="Verdana" w:hAnsi="Verdana"/>
          <w:sz w:val="17"/>
          <w:szCs w:val="17"/>
          <w:b w:val="1"/>
          <w:bCs w:val="1"/>
          <w:color w:val="auto"/>
        </w:rPr>
        <w:t>Template for notification and public disclosure of transactions by persons discharging managerial responsibilities and persons closely associated with them</w:t>
      </w:r>
    </w:p>
    <w:p>
      <w:pPr>
        <w:spacing w:after="0" w:line="200" w:lineRule="exact"/>
        <w:rPr>
          <w:sz w:val="20"/>
          <w:szCs w:val="20"/>
          <w:color w:val="auto"/>
        </w:rPr>
      </w:pPr>
    </w:p>
    <w:p>
      <w:pPr>
        <w:spacing w:after="0" w:line="324"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700" w:type="dxa"/>
            <w:vAlign w:val="bottom"/>
            <w:tcBorders>
              <w:top w:val="single" w:sz="8" w:color="auto"/>
              <w:left w:val="single" w:sz="8" w:color="auto"/>
              <w:right w:val="single" w:sz="8" w:color="auto"/>
            </w:tcBorders>
          </w:tcPr>
          <w:p>
            <w:pPr>
              <w:spacing w:after="0"/>
              <w:rPr>
                <w:sz w:val="20"/>
                <w:szCs w:val="20"/>
                <w:color w:val="auto"/>
              </w:rPr>
            </w:pPr>
            <w:r>
              <w:rPr>
                <w:rFonts w:ascii="Verdana" w:cs="Verdana" w:eastAsia="Verdana" w:hAnsi="Verdana"/>
                <w:sz w:val="18"/>
                <w:szCs w:val="18"/>
                <w:b w:val="1"/>
                <w:bCs w:val="1"/>
                <w:color w:val="auto"/>
              </w:rPr>
              <w:t>1.</w:t>
            </w:r>
          </w:p>
        </w:tc>
        <w:tc>
          <w:tcPr>
            <w:tcW w:w="7880" w:type="dxa"/>
            <w:vAlign w:val="bottom"/>
            <w:tcBorders>
              <w:top w:val="single" w:sz="8" w:color="auto"/>
              <w:right w:val="single" w:sz="8" w:color="auto"/>
            </w:tcBorders>
            <w:gridSpan w:val="3"/>
          </w:tcPr>
          <w:p>
            <w:pPr>
              <w:spacing w:after="0"/>
              <w:rPr>
                <w:sz w:val="20"/>
                <w:szCs w:val="20"/>
                <w:color w:val="auto"/>
              </w:rPr>
            </w:pPr>
            <w:r>
              <w:rPr>
                <w:rFonts w:ascii="Verdana" w:cs="Verdana" w:eastAsia="Verdana" w:hAnsi="Verdana"/>
                <w:sz w:val="18"/>
                <w:szCs w:val="18"/>
                <w:b w:val="1"/>
                <w:bCs w:val="1"/>
                <w:color w:val="auto"/>
              </w:rPr>
              <w:t>Details of the person discharging managerial responsibilities/person closely</w:t>
            </w:r>
          </w:p>
        </w:tc>
        <w:tc>
          <w:tcPr>
            <w:tcW w:w="0" w:type="dxa"/>
            <w:vAlign w:val="bottom"/>
          </w:tcPr>
          <w:p>
            <w:pPr>
              <w:spacing w:after="0"/>
              <w:rPr>
                <w:sz w:val="1"/>
                <w:szCs w:val="1"/>
                <w:color w:val="auto"/>
              </w:rPr>
            </w:pPr>
          </w:p>
        </w:tc>
      </w:tr>
      <w:tr>
        <w:trPr>
          <w:trHeight w:val="235"/>
        </w:trPr>
        <w:tc>
          <w:tcPr>
            <w:tcW w:w="700" w:type="dxa"/>
            <w:vAlign w:val="bottom"/>
            <w:tcBorders>
              <w:left w:val="single" w:sz="8" w:color="auto"/>
              <w:right w:val="single" w:sz="8" w:color="auto"/>
            </w:tcBorders>
          </w:tcPr>
          <w:p>
            <w:pPr>
              <w:spacing w:after="0"/>
              <w:rPr>
                <w:sz w:val="20"/>
                <w:szCs w:val="20"/>
                <w:color w:val="auto"/>
              </w:rPr>
            </w:pPr>
          </w:p>
        </w:tc>
        <w:tc>
          <w:tcPr>
            <w:tcW w:w="2220" w:type="dxa"/>
            <w:vAlign w:val="bottom"/>
            <w:gridSpan w:val="2"/>
          </w:tcPr>
          <w:p>
            <w:pPr>
              <w:spacing w:after="0"/>
              <w:rPr>
                <w:sz w:val="20"/>
                <w:szCs w:val="20"/>
                <w:color w:val="auto"/>
              </w:rPr>
            </w:pPr>
            <w:r>
              <w:rPr>
                <w:rFonts w:ascii="Verdana" w:cs="Verdana" w:eastAsia="Verdana" w:hAnsi="Verdana"/>
                <w:sz w:val="18"/>
                <w:szCs w:val="18"/>
                <w:b w:val="1"/>
                <w:bCs w:val="1"/>
                <w:color w:val="auto"/>
              </w:rPr>
              <w:t>associated</w:t>
            </w:r>
          </w:p>
        </w:tc>
        <w:tc>
          <w:tcPr>
            <w:tcW w:w="5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220" w:type="dxa"/>
            <w:vAlign w:val="bottom"/>
            <w:tcBorders>
              <w:bottom w:val="single" w:sz="8" w:color="auto"/>
            </w:tcBorders>
            <w:gridSpan w:val="2"/>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color w:val="auto"/>
              </w:rPr>
              <w:t>a)</w:t>
            </w: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Name</w:t>
            </w:r>
          </w:p>
        </w:tc>
        <w:tc>
          <w:tcPr>
            <w:tcW w:w="5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spacing w:after="0"/>
              <w:rPr>
                <w:sz w:val="13"/>
                <w:szCs w:val="13"/>
                <w:color w:val="auto"/>
              </w:rPr>
            </w:pPr>
          </w:p>
        </w:tc>
        <w:tc>
          <w:tcPr>
            <w:tcW w:w="5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b w:val="1"/>
                <w:bCs w:val="1"/>
                <w:color w:val="auto"/>
              </w:rPr>
              <w:t>2.</w:t>
            </w:r>
          </w:p>
        </w:tc>
        <w:tc>
          <w:tcPr>
            <w:tcW w:w="7880" w:type="dxa"/>
            <w:vAlign w:val="bottom"/>
            <w:tcBorders>
              <w:right w:val="single" w:sz="8" w:color="auto"/>
            </w:tcBorders>
            <w:gridSpan w:val="3"/>
          </w:tcPr>
          <w:p>
            <w:pPr>
              <w:spacing w:after="0"/>
              <w:rPr>
                <w:sz w:val="20"/>
                <w:szCs w:val="20"/>
                <w:color w:val="auto"/>
              </w:rPr>
            </w:pPr>
            <w:r>
              <w:rPr>
                <w:rFonts w:ascii="Verdana" w:cs="Verdana" w:eastAsia="Verdana" w:hAnsi="Verdana"/>
                <w:sz w:val="18"/>
                <w:szCs w:val="18"/>
                <w:b w:val="1"/>
                <w:bCs w:val="1"/>
                <w:color w:val="auto"/>
              </w:rPr>
              <w:t>Reason for the notification</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tcBorders>
            <w:gridSpan w:val="2"/>
          </w:tcPr>
          <w:p>
            <w:pPr>
              <w:spacing w:after="0"/>
              <w:rPr>
                <w:sz w:val="13"/>
                <w:szCs w:val="13"/>
                <w:color w:val="auto"/>
              </w:rPr>
            </w:pPr>
          </w:p>
        </w:tc>
        <w:tc>
          <w:tcPr>
            <w:tcW w:w="5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color w:val="auto"/>
              </w:rPr>
              <w:t>a)</w:t>
            </w: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Position/status</w:t>
            </w:r>
          </w:p>
        </w:tc>
        <w:tc>
          <w:tcPr>
            <w:tcW w:w="5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spacing w:after="0"/>
              <w:rPr>
                <w:sz w:val="13"/>
                <w:szCs w:val="13"/>
                <w:color w:val="auto"/>
              </w:rPr>
            </w:pPr>
          </w:p>
        </w:tc>
        <w:tc>
          <w:tcPr>
            <w:tcW w:w="5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00" w:type="dxa"/>
            <w:vAlign w:val="bottom"/>
            <w:tcBorders>
              <w:left w:val="single" w:sz="8" w:color="auto"/>
              <w:right w:val="single" w:sz="8" w:color="auto"/>
            </w:tcBorders>
          </w:tcPr>
          <w:p>
            <w:pPr>
              <w:spacing w:after="0" w:line="204" w:lineRule="exact"/>
              <w:rPr>
                <w:sz w:val="20"/>
                <w:szCs w:val="20"/>
                <w:color w:val="auto"/>
              </w:rPr>
            </w:pPr>
            <w:r>
              <w:rPr>
                <w:rFonts w:ascii="Verdana" w:cs="Verdana" w:eastAsia="Verdana" w:hAnsi="Verdana"/>
                <w:sz w:val="18"/>
                <w:szCs w:val="18"/>
                <w:color w:val="auto"/>
              </w:rPr>
              <w:t>b)</w:t>
            </w:r>
          </w:p>
        </w:tc>
        <w:tc>
          <w:tcPr>
            <w:tcW w:w="2220" w:type="dxa"/>
            <w:vAlign w:val="bottom"/>
            <w:tcBorders>
              <w:right w:val="single" w:sz="8" w:color="auto"/>
            </w:tcBorders>
            <w:gridSpan w:val="2"/>
          </w:tcPr>
          <w:p>
            <w:pPr>
              <w:spacing w:after="0" w:line="204" w:lineRule="exact"/>
              <w:rPr>
                <w:sz w:val="20"/>
                <w:szCs w:val="20"/>
                <w:color w:val="auto"/>
              </w:rPr>
            </w:pPr>
            <w:r>
              <w:rPr>
                <w:rFonts w:ascii="Verdana" w:cs="Verdana" w:eastAsia="Verdana" w:hAnsi="Verdana"/>
                <w:sz w:val="18"/>
                <w:szCs w:val="18"/>
                <w:color w:val="auto"/>
              </w:rPr>
              <w:t>Initial</w:t>
            </w:r>
          </w:p>
        </w:tc>
        <w:tc>
          <w:tcPr>
            <w:tcW w:w="5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 w:type="dxa"/>
            <w:vAlign w:val="bottom"/>
            <w:tcBorders>
              <w:left w:val="single" w:sz="8" w:color="auto"/>
              <w:right w:val="single" w:sz="8" w:color="auto"/>
            </w:tcBorders>
          </w:tcPr>
          <w:p>
            <w:pPr>
              <w:spacing w:after="0"/>
              <w:rPr>
                <w:sz w:val="20"/>
                <w:szCs w:val="20"/>
                <w:color w:val="auto"/>
              </w:rPr>
            </w:pP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w w:val="99"/>
              </w:rPr>
              <w:t>notification/Amendment</w:t>
            </w:r>
          </w:p>
        </w:tc>
        <w:tc>
          <w:tcPr>
            <w:tcW w:w="5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220" w:type="dxa"/>
            <w:vAlign w:val="bottom"/>
            <w:tcBorders>
              <w:bottom w:val="single" w:sz="8" w:color="auto"/>
              <w:right w:val="single" w:sz="8" w:color="auto"/>
            </w:tcBorders>
            <w:gridSpan w:val="2"/>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0" w:type="dxa"/>
            <w:vAlign w:val="bottom"/>
            <w:tcBorders>
              <w:left w:val="single" w:sz="8" w:color="auto"/>
              <w:right w:val="single" w:sz="8" w:color="auto"/>
            </w:tcBorders>
          </w:tcPr>
          <w:p>
            <w:pPr>
              <w:spacing w:after="0" w:line="204" w:lineRule="exact"/>
              <w:rPr>
                <w:sz w:val="20"/>
                <w:szCs w:val="20"/>
                <w:color w:val="auto"/>
              </w:rPr>
            </w:pPr>
            <w:r>
              <w:rPr>
                <w:rFonts w:ascii="Verdana" w:cs="Verdana" w:eastAsia="Verdana" w:hAnsi="Verdana"/>
                <w:sz w:val="18"/>
                <w:szCs w:val="18"/>
                <w:b w:val="1"/>
                <w:bCs w:val="1"/>
                <w:color w:val="auto"/>
              </w:rPr>
              <w:t>3.</w:t>
            </w:r>
          </w:p>
        </w:tc>
        <w:tc>
          <w:tcPr>
            <w:tcW w:w="7880" w:type="dxa"/>
            <w:vAlign w:val="bottom"/>
            <w:tcBorders>
              <w:right w:val="single" w:sz="8" w:color="auto"/>
            </w:tcBorders>
            <w:gridSpan w:val="3"/>
          </w:tcPr>
          <w:p>
            <w:pPr>
              <w:spacing w:after="0" w:line="204" w:lineRule="exact"/>
              <w:rPr>
                <w:sz w:val="20"/>
                <w:szCs w:val="20"/>
                <w:color w:val="auto"/>
              </w:rPr>
            </w:pPr>
            <w:r>
              <w:rPr>
                <w:rFonts w:ascii="Verdana" w:cs="Verdana" w:eastAsia="Verdana" w:hAnsi="Verdana"/>
                <w:sz w:val="18"/>
                <w:szCs w:val="18"/>
                <w:b w:val="1"/>
                <w:bCs w:val="1"/>
                <w:color w:val="auto"/>
              </w:rPr>
              <w:t>Details of the issuer, emission allowance market participant, auction</w:t>
            </w:r>
          </w:p>
        </w:tc>
        <w:tc>
          <w:tcPr>
            <w:tcW w:w="0" w:type="dxa"/>
            <w:vAlign w:val="bottom"/>
          </w:tcPr>
          <w:p>
            <w:pPr>
              <w:spacing w:after="0"/>
              <w:rPr>
                <w:sz w:val="1"/>
                <w:szCs w:val="1"/>
                <w:color w:val="auto"/>
              </w:rPr>
            </w:pPr>
          </w:p>
        </w:tc>
      </w:tr>
      <w:tr>
        <w:trPr>
          <w:trHeight w:val="235"/>
        </w:trPr>
        <w:tc>
          <w:tcPr>
            <w:tcW w:w="700" w:type="dxa"/>
            <w:vAlign w:val="bottom"/>
            <w:tcBorders>
              <w:left w:val="single" w:sz="8" w:color="auto"/>
              <w:right w:val="single" w:sz="8" w:color="auto"/>
            </w:tcBorders>
          </w:tcPr>
          <w:p>
            <w:pPr>
              <w:spacing w:after="0"/>
              <w:rPr>
                <w:sz w:val="20"/>
                <w:szCs w:val="20"/>
                <w:color w:val="auto"/>
              </w:rPr>
            </w:pPr>
          </w:p>
        </w:tc>
        <w:tc>
          <w:tcPr>
            <w:tcW w:w="7880" w:type="dxa"/>
            <w:vAlign w:val="bottom"/>
            <w:tcBorders>
              <w:right w:val="single" w:sz="8" w:color="auto"/>
            </w:tcBorders>
            <w:gridSpan w:val="3"/>
          </w:tcPr>
          <w:p>
            <w:pPr>
              <w:spacing w:after="0"/>
              <w:rPr>
                <w:sz w:val="20"/>
                <w:szCs w:val="20"/>
                <w:color w:val="auto"/>
              </w:rPr>
            </w:pPr>
            <w:r>
              <w:rPr>
                <w:rFonts w:ascii="Verdana" w:cs="Verdana" w:eastAsia="Verdana" w:hAnsi="Verdana"/>
                <w:sz w:val="18"/>
                <w:szCs w:val="18"/>
                <w:b w:val="1"/>
                <w:bCs w:val="1"/>
                <w:color w:val="auto"/>
              </w:rPr>
              <w:t>platform, auctioneer or auction monitor</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220" w:type="dxa"/>
            <w:vAlign w:val="bottom"/>
            <w:tcBorders>
              <w:bottom w:val="single" w:sz="8" w:color="auto"/>
            </w:tcBorders>
            <w:gridSpan w:val="2"/>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color w:val="auto"/>
              </w:rPr>
              <w:t>a)</w:t>
            </w: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Name</w:t>
            </w:r>
          </w:p>
        </w:tc>
        <w:tc>
          <w:tcPr>
            <w:tcW w:w="5660" w:type="dxa"/>
            <w:vAlign w:val="bottom"/>
            <w:tcBorders>
              <w:right w:val="single" w:sz="8" w:color="auto"/>
            </w:tcBorders>
          </w:tcPr>
          <w:p>
            <w:pPr>
              <w:spacing w:after="0"/>
              <w:rPr>
                <w:sz w:val="20"/>
                <w:szCs w:val="20"/>
                <w:color w:val="auto"/>
              </w:rPr>
            </w:pPr>
            <w:r>
              <w:rPr>
                <w:rFonts w:ascii="Verdana" w:cs="Verdana" w:eastAsia="Verdana" w:hAnsi="Verdana"/>
                <w:sz w:val="18"/>
                <w:szCs w:val="18"/>
                <w:color w:val="auto"/>
              </w:rPr>
              <w:t>Genmab A/S</w:t>
            </w:r>
          </w:p>
        </w:tc>
        <w:tc>
          <w:tcPr>
            <w:tcW w:w="0" w:type="dxa"/>
            <w:vAlign w:val="bottom"/>
          </w:tcPr>
          <w:p>
            <w:pPr>
              <w:spacing w:after="0"/>
              <w:rPr>
                <w:sz w:val="1"/>
                <w:szCs w:val="1"/>
                <w:color w:val="auto"/>
              </w:rPr>
            </w:pPr>
          </w:p>
        </w:tc>
      </w:tr>
      <w:tr>
        <w:trPr>
          <w:trHeight w:val="157"/>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spacing w:after="0"/>
              <w:rPr>
                <w:sz w:val="13"/>
                <w:szCs w:val="13"/>
                <w:color w:val="auto"/>
              </w:rPr>
            </w:pPr>
          </w:p>
        </w:tc>
        <w:tc>
          <w:tcPr>
            <w:tcW w:w="5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color w:val="auto"/>
              </w:rPr>
              <w:t>b)</w:t>
            </w: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LEI-code</w:t>
            </w:r>
          </w:p>
        </w:tc>
        <w:tc>
          <w:tcPr>
            <w:tcW w:w="5660" w:type="dxa"/>
            <w:vAlign w:val="bottom"/>
            <w:tcBorders>
              <w:right w:val="single" w:sz="8" w:color="auto"/>
            </w:tcBorders>
            <w:vMerge w:val="restart"/>
          </w:tcPr>
          <w:p>
            <w:pPr>
              <w:spacing w:after="0"/>
              <w:rPr>
                <w:sz w:val="20"/>
                <w:szCs w:val="20"/>
                <w:color w:val="auto"/>
              </w:rPr>
            </w:pPr>
            <w:r>
              <w:rPr>
                <w:rFonts w:ascii="Verdana" w:cs="Verdana" w:eastAsia="Verdana" w:hAnsi="Verdana"/>
                <w:sz w:val="18"/>
                <w:szCs w:val="18"/>
                <w:color w:val="auto"/>
              </w:rPr>
              <w:t>529900MTJPDPE4MHJ122</w:t>
            </w:r>
          </w:p>
        </w:tc>
        <w:tc>
          <w:tcPr>
            <w:tcW w:w="0" w:type="dxa"/>
            <w:vAlign w:val="bottom"/>
          </w:tcPr>
          <w:p>
            <w:pPr>
              <w:spacing w:after="0"/>
              <w:rPr>
                <w:sz w:val="1"/>
                <w:szCs w:val="1"/>
                <w:color w:val="auto"/>
              </w:rPr>
            </w:pPr>
          </w:p>
        </w:tc>
      </w:tr>
      <w:tr>
        <w:trPr>
          <w:trHeight w:val="211"/>
        </w:trPr>
        <w:tc>
          <w:tcPr>
            <w:tcW w:w="70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220" w:type="dxa"/>
            <w:vAlign w:val="bottom"/>
            <w:tcBorders>
              <w:bottom w:val="single" w:sz="8" w:color="auto"/>
              <w:right w:val="single" w:sz="8" w:color="auto"/>
            </w:tcBorders>
            <w:gridSpan w:val="2"/>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0" w:type="dxa"/>
            <w:vAlign w:val="bottom"/>
            <w:tcBorders>
              <w:left w:val="single" w:sz="8" w:color="auto"/>
              <w:right w:val="single" w:sz="8" w:color="auto"/>
            </w:tcBorders>
          </w:tcPr>
          <w:p>
            <w:pPr>
              <w:spacing w:after="0" w:line="204" w:lineRule="exact"/>
              <w:rPr>
                <w:sz w:val="20"/>
                <w:szCs w:val="20"/>
                <w:color w:val="auto"/>
              </w:rPr>
            </w:pPr>
            <w:r>
              <w:rPr>
                <w:rFonts w:ascii="Verdana" w:cs="Verdana" w:eastAsia="Verdana" w:hAnsi="Verdana"/>
                <w:sz w:val="18"/>
                <w:szCs w:val="18"/>
                <w:b w:val="1"/>
                <w:bCs w:val="1"/>
                <w:color w:val="auto"/>
              </w:rPr>
              <w:t>4.</w:t>
            </w:r>
          </w:p>
        </w:tc>
        <w:tc>
          <w:tcPr>
            <w:tcW w:w="7880" w:type="dxa"/>
            <w:vAlign w:val="bottom"/>
            <w:tcBorders>
              <w:right w:val="single" w:sz="8" w:color="auto"/>
            </w:tcBorders>
            <w:gridSpan w:val="3"/>
          </w:tcPr>
          <w:p>
            <w:pPr>
              <w:spacing w:after="0" w:line="204" w:lineRule="exact"/>
              <w:rPr>
                <w:sz w:val="20"/>
                <w:szCs w:val="20"/>
                <w:color w:val="auto"/>
              </w:rPr>
            </w:pPr>
            <w:r>
              <w:rPr>
                <w:rFonts w:ascii="Verdana" w:cs="Verdana" w:eastAsia="Verdana" w:hAnsi="Verdana"/>
                <w:sz w:val="18"/>
                <w:szCs w:val="18"/>
                <w:b w:val="1"/>
                <w:bCs w:val="1"/>
                <w:color w:val="auto"/>
              </w:rPr>
              <w:t>Details of the transaction(s): section to be repeated for (i) each type of</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gridSpan w:val="3"/>
          </w:tcPr>
          <w:p>
            <w:pPr>
              <w:spacing w:after="0" w:line="216" w:lineRule="exact"/>
              <w:rPr>
                <w:sz w:val="20"/>
                <w:szCs w:val="20"/>
                <w:color w:val="auto"/>
              </w:rPr>
            </w:pPr>
            <w:r>
              <w:rPr>
                <w:rFonts w:ascii="Verdana" w:cs="Verdana" w:eastAsia="Verdana" w:hAnsi="Verdana"/>
                <w:sz w:val="18"/>
                <w:szCs w:val="18"/>
                <w:b w:val="1"/>
                <w:bCs w:val="1"/>
                <w:color w:val="auto"/>
              </w:rPr>
              <w:t>instrument; (ii) each type of transaction; (iii) each date; and (iv) each place</w:t>
            </w:r>
          </w:p>
        </w:tc>
        <w:tc>
          <w:tcPr>
            <w:tcW w:w="0" w:type="dxa"/>
            <w:vAlign w:val="bottom"/>
          </w:tcPr>
          <w:p>
            <w:pPr>
              <w:spacing w:after="0"/>
              <w:rPr>
                <w:sz w:val="1"/>
                <w:szCs w:val="1"/>
                <w:color w:val="auto"/>
              </w:rPr>
            </w:pPr>
          </w:p>
        </w:tc>
      </w:tr>
      <w:tr>
        <w:trPr>
          <w:trHeight w:val="235"/>
        </w:trPr>
        <w:tc>
          <w:tcPr>
            <w:tcW w:w="700" w:type="dxa"/>
            <w:vAlign w:val="bottom"/>
            <w:tcBorders>
              <w:left w:val="single" w:sz="8" w:color="auto"/>
              <w:right w:val="single" w:sz="8" w:color="auto"/>
            </w:tcBorders>
          </w:tcPr>
          <w:p>
            <w:pPr>
              <w:spacing w:after="0"/>
              <w:rPr>
                <w:sz w:val="20"/>
                <w:szCs w:val="20"/>
                <w:color w:val="auto"/>
              </w:rPr>
            </w:pPr>
          </w:p>
        </w:tc>
        <w:tc>
          <w:tcPr>
            <w:tcW w:w="7880" w:type="dxa"/>
            <w:vAlign w:val="bottom"/>
            <w:tcBorders>
              <w:right w:val="single" w:sz="8" w:color="auto"/>
            </w:tcBorders>
            <w:gridSpan w:val="3"/>
          </w:tcPr>
          <w:p>
            <w:pPr>
              <w:spacing w:after="0"/>
              <w:rPr>
                <w:sz w:val="20"/>
                <w:szCs w:val="20"/>
                <w:color w:val="auto"/>
              </w:rPr>
            </w:pPr>
            <w:r>
              <w:rPr>
                <w:rFonts w:ascii="Verdana" w:cs="Verdana" w:eastAsia="Verdana" w:hAnsi="Verdana"/>
                <w:sz w:val="18"/>
                <w:szCs w:val="18"/>
                <w:b w:val="1"/>
                <w:bCs w:val="1"/>
                <w:color w:val="auto"/>
              </w:rPr>
              <w:t>where transactions have been conducted</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220" w:type="dxa"/>
            <w:vAlign w:val="bottom"/>
            <w:tcBorders>
              <w:bottom w:val="single" w:sz="8" w:color="auto"/>
            </w:tcBorders>
            <w:gridSpan w:val="2"/>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0" w:type="dxa"/>
            <w:vAlign w:val="bottom"/>
            <w:tcBorders>
              <w:left w:val="single" w:sz="8" w:color="auto"/>
              <w:right w:val="single" w:sz="8" w:color="auto"/>
            </w:tcBorders>
          </w:tcPr>
          <w:p>
            <w:pPr>
              <w:spacing w:after="0" w:line="204" w:lineRule="exact"/>
              <w:rPr>
                <w:sz w:val="20"/>
                <w:szCs w:val="20"/>
                <w:color w:val="auto"/>
              </w:rPr>
            </w:pPr>
            <w:r>
              <w:rPr>
                <w:rFonts w:ascii="Verdana" w:cs="Verdana" w:eastAsia="Verdana" w:hAnsi="Verdana"/>
                <w:sz w:val="18"/>
                <w:szCs w:val="18"/>
                <w:color w:val="auto"/>
              </w:rPr>
              <w:t>a)</w:t>
            </w:r>
          </w:p>
        </w:tc>
        <w:tc>
          <w:tcPr>
            <w:tcW w:w="2220" w:type="dxa"/>
            <w:vAlign w:val="bottom"/>
            <w:tcBorders>
              <w:right w:val="single" w:sz="8" w:color="auto"/>
            </w:tcBorders>
            <w:gridSpan w:val="2"/>
          </w:tcPr>
          <w:p>
            <w:pPr>
              <w:spacing w:after="0" w:line="204" w:lineRule="exact"/>
              <w:rPr>
                <w:sz w:val="20"/>
                <w:szCs w:val="20"/>
                <w:color w:val="auto"/>
              </w:rPr>
            </w:pPr>
            <w:r>
              <w:rPr>
                <w:rFonts w:ascii="Verdana" w:cs="Verdana" w:eastAsia="Verdana" w:hAnsi="Verdana"/>
                <w:sz w:val="18"/>
                <w:szCs w:val="18"/>
                <w:color w:val="auto"/>
              </w:rPr>
              <w:t>Description of the</w:t>
            </w:r>
          </w:p>
        </w:tc>
        <w:tc>
          <w:tcPr>
            <w:tcW w:w="5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gridSpan w:val="2"/>
          </w:tcPr>
          <w:p>
            <w:pPr>
              <w:spacing w:after="0" w:line="216" w:lineRule="exact"/>
              <w:rPr>
                <w:sz w:val="20"/>
                <w:szCs w:val="20"/>
                <w:color w:val="auto"/>
              </w:rPr>
            </w:pPr>
            <w:r>
              <w:rPr>
                <w:rFonts w:ascii="Verdana" w:cs="Verdana" w:eastAsia="Verdana" w:hAnsi="Verdana"/>
                <w:sz w:val="18"/>
                <w:szCs w:val="18"/>
                <w:color w:val="auto"/>
              </w:rPr>
              <w:t>financial instrument,</w:t>
            </w:r>
          </w:p>
        </w:tc>
        <w:tc>
          <w:tcPr>
            <w:tcW w:w="5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00" w:type="dxa"/>
            <w:vAlign w:val="bottom"/>
            <w:tcBorders>
              <w:left w:val="single" w:sz="8" w:color="auto"/>
              <w:right w:val="single" w:sz="8" w:color="auto"/>
            </w:tcBorders>
          </w:tcPr>
          <w:p>
            <w:pPr>
              <w:spacing w:after="0"/>
              <w:rPr>
                <w:sz w:val="20"/>
                <w:szCs w:val="20"/>
                <w:color w:val="auto"/>
              </w:rPr>
            </w:pP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type of instrument</w:t>
            </w:r>
          </w:p>
        </w:tc>
        <w:tc>
          <w:tcPr>
            <w:tcW w:w="5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00" w:type="dxa"/>
            <w:vAlign w:val="bottom"/>
            <w:tcBorders>
              <w:left w:val="single" w:sz="8" w:color="auto"/>
              <w:right w:val="single" w:sz="8" w:color="auto"/>
            </w:tcBorders>
          </w:tcPr>
          <w:p>
            <w:pPr>
              <w:spacing w:after="0"/>
              <w:rPr>
                <w:sz w:val="24"/>
                <w:szCs w:val="24"/>
                <w:color w:val="auto"/>
              </w:rPr>
            </w:pP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Identification code</w:t>
            </w:r>
          </w:p>
        </w:tc>
        <w:tc>
          <w:tcPr>
            <w:tcW w:w="5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gridSpan w:val="2"/>
          </w:tcPr>
          <w:p>
            <w:pPr>
              <w:spacing w:after="0"/>
              <w:rPr>
                <w:sz w:val="15"/>
                <w:szCs w:val="15"/>
                <w:color w:val="auto"/>
              </w:rPr>
            </w:pPr>
          </w:p>
        </w:tc>
        <w:tc>
          <w:tcPr>
            <w:tcW w:w="5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0" w:type="dxa"/>
            <w:vAlign w:val="bottom"/>
            <w:tcBorders>
              <w:left w:val="single" w:sz="8" w:color="auto"/>
              <w:right w:val="single" w:sz="8" w:color="auto"/>
            </w:tcBorders>
          </w:tcPr>
          <w:p>
            <w:pPr>
              <w:spacing w:after="0" w:line="204" w:lineRule="exact"/>
              <w:rPr>
                <w:sz w:val="20"/>
                <w:szCs w:val="20"/>
                <w:color w:val="auto"/>
              </w:rPr>
            </w:pPr>
            <w:r>
              <w:rPr>
                <w:rFonts w:ascii="Verdana" w:cs="Verdana" w:eastAsia="Verdana" w:hAnsi="Verdana"/>
                <w:sz w:val="18"/>
                <w:szCs w:val="18"/>
                <w:color w:val="auto"/>
              </w:rPr>
              <w:t>b)</w:t>
            </w:r>
          </w:p>
        </w:tc>
        <w:tc>
          <w:tcPr>
            <w:tcW w:w="2220" w:type="dxa"/>
            <w:vAlign w:val="bottom"/>
            <w:tcBorders>
              <w:right w:val="single" w:sz="8" w:color="auto"/>
            </w:tcBorders>
            <w:gridSpan w:val="2"/>
          </w:tcPr>
          <w:p>
            <w:pPr>
              <w:spacing w:after="0" w:line="204" w:lineRule="exact"/>
              <w:rPr>
                <w:sz w:val="20"/>
                <w:szCs w:val="20"/>
                <w:color w:val="auto"/>
              </w:rPr>
            </w:pPr>
            <w:r>
              <w:rPr>
                <w:rFonts w:ascii="Verdana" w:cs="Verdana" w:eastAsia="Verdana" w:hAnsi="Verdana"/>
                <w:sz w:val="18"/>
                <w:szCs w:val="18"/>
                <w:color w:val="auto"/>
              </w:rPr>
              <w:t>Nature of the</w:t>
            </w:r>
          </w:p>
        </w:tc>
        <w:tc>
          <w:tcPr>
            <w:tcW w:w="5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 w:type="dxa"/>
            <w:vAlign w:val="bottom"/>
            <w:tcBorders>
              <w:left w:val="single" w:sz="8" w:color="auto"/>
              <w:right w:val="single" w:sz="8" w:color="auto"/>
            </w:tcBorders>
          </w:tcPr>
          <w:p>
            <w:pPr>
              <w:spacing w:after="0"/>
              <w:rPr>
                <w:sz w:val="20"/>
                <w:szCs w:val="20"/>
                <w:color w:val="auto"/>
              </w:rPr>
            </w:pP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transaction</w:t>
            </w:r>
          </w:p>
        </w:tc>
        <w:tc>
          <w:tcPr>
            <w:tcW w:w="5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00" w:type="dxa"/>
            <w:vAlign w:val="bottom"/>
            <w:tcBorders>
              <w:left w:val="single" w:sz="8" w:color="auto"/>
              <w:bottom w:val="single" w:sz="8" w:color="auto"/>
              <w:right w:val="single" w:sz="8" w:color="auto"/>
            </w:tcBorders>
          </w:tcPr>
          <w:p>
            <w:pPr>
              <w:spacing w:after="0"/>
              <w:rPr>
                <w:sz w:val="14"/>
                <w:szCs w:val="14"/>
                <w:color w:val="auto"/>
              </w:rPr>
            </w:pPr>
          </w:p>
        </w:tc>
        <w:tc>
          <w:tcPr>
            <w:tcW w:w="2220" w:type="dxa"/>
            <w:vAlign w:val="bottom"/>
            <w:tcBorders>
              <w:bottom w:val="single" w:sz="8" w:color="auto"/>
              <w:right w:val="single" w:sz="8" w:color="auto"/>
            </w:tcBorders>
            <w:gridSpan w:val="2"/>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color w:val="auto"/>
              </w:rPr>
              <w:t>c)</w:t>
            </w: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Price(s) and volume(s)</w:t>
            </w:r>
          </w:p>
        </w:tc>
        <w:tc>
          <w:tcPr>
            <w:tcW w:w="566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b w:val="1"/>
                <w:bCs w:val="1"/>
                <w:color w:val="auto"/>
              </w:rPr>
              <w:t>Price(s)</w:t>
            </w:r>
          </w:p>
        </w:tc>
        <w:tc>
          <w:tcPr>
            <w:tcW w:w="0" w:type="dxa"/>
            <w:vAlign w:val="bottom"/>
          </w:tcPr>
          <w:p>
            <w:pPr>
              <w:spacing w:after="0"/>
              <w:rPr>
                <w:sz w:val="1"/>
                <w:szCs w:val="1"/>
                <w:color w:val="auto"/>
              </w:rPr>
            </w:pPr>
          </w:p>
        </w:tc>
      </w:tr>
      <w:tr>
        <w:trPr>
          <w:trHeight w:val="392"/>
        </w:trPr>
        <w:tc>
          <w:tcPr>
            <w:tcW w:w="7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5660" w:type="dxa"/>
            <w:vAlign w:val="bottom"/>
            <w:tcBorders>
              <w:right w:val="single" w:sz="8" w:color="auto"/>
            </w:tcBorders>
          </w:tcPr>
          <w:p>
            <w:pPr>
              <w:ind w:left="20"/>
              <w:spacing w:after="0"/>
              <w:rPr>
                <w:sz w:val="20"/>
                <w:szCs w:val="20"/>
                <w:color w:val="auto"/>
              </w:rPr>
            </w:pPr>
            <w:r>
              <w:rPr>
                <w:rFonts w:ascii="Verdana" w:cs="Verdana" w:eastAsia="Verdana" w:hAnsi="Verdana"/>
                <w:sz w:val="18"/>
                <w:szCs w:val="18"/>
                <w:b w:val="1"/>
                <w:bCs w:val="1"/>
                <w:color w:val="auto"/>
              </w:rPr>
              <w:t>Volume(s)</w:t>
            </w:r>
          </w:p>
        </w:tc>
        <w:tc>
          <w:tcPr>
            <w:tcW w:w="0" w:type="dxa"/>
            <w:vAlign w:val="bottom"/>
          </w:tcPr>
          <w:p>
            <w:pPr>
              <w:spacing w:after="0"/>
              <w:rPr>
                <w:sz w:val="1"/>
                <w:szCs w:val="1"/>
                <w:color w:val="auto"/>
              </w:rPr>
            </w:pPr>
          </w:p>
        </w:tc>
      </w:tr>
      <w:tr>
        <w:trPr>
          <w:trHeight w:val="1255"/>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gridSpan w:val="2"/>
          </w:tcPr>
          <w:p>
            <w:pPr>
              <w:spacing w:after="0"/>
              <w:rPr>
                <w:sz w:val="24"/>
                <w:szCs w:val="24"/>
                <w:color w:val="auto"/>
              </w:rPr>
            </w:pPr>
          </w:p>
        </w:tc>
        <w:tc>
          <w:tcPr>
            <w:tcW w:w="5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 w:type="dxa"/>
            <w:vAlign w:val="bottom"/>
            <w:tcBorders>
              <w:left w:val="single" w:sz="8" w:color="auto"/>
              <w:right w:val="single" w:sz="8" w:color="auto"/>
            </w:tcBorders>
          </w:tcPr>
          <w:p>
            <w:pPr>
              <w:spacing w:after="0"/>
              <w:rPr>
                <w:sz w:val="20"/>
                <w:szCs w:val="20"/>
                <w:color w:val="auto"/>
              </w:rPr>
            </w:pPr>
            <w:r>
              <w:rPr>
                <w:rFonts w:ascii="Verdana" w:cs="Verdana" w:eastAsia="Verdana" w:hAnsi="Verdana"/>
                <w:sz w:val="18"/>
                <w:szCs w:val="18"/>
                <w:color w:val="auto"/>
              </w:rPr>
              <w:t>d)</w:t>
            </w:r>
          </w:p>
        </w:tc>
        <w:tc>
          <w:tcPr>
            <w:tcW w:w="2220" w:type="dxa"/>
            <w:vAlign w:val="bottom"/>
            <w:tcBorders>
              <w:right w:val="single" w:sz="8" w:color="auto"/>
            </w:tcBorders>
            <w:gridSpan w:val="2"/>
          </w:tcPr>
          <w:p>
            <w:pPr>
              <w:spacing w:after="0"/>
              <w:rPr>
                <w:sz w:val="20"/>
                <w:szCs w:val="20"/>
                <w:color w:val="auto"/>
              </w:rPr>
            </w:pPr>
            <w:r>
              <w:rPr>
                <w:rFonts w:ascii="Verdana" w:cs="Verdana" w:eastAsia="Verdana" w:hAnsi="Verdana"/>
                <w:sz w:val="18"/>
                <w:szCs w:val="18"/>
                <w:color w:val="auto"/>
              </w:rPr>
              <w:t>Aggregated information</w:t>
            </w:r>
          </w:p>
        </w:tc>
        <w:tc>
          <w:tcPr>
            <w:tcW w:w="5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auto"/>
            </w:tcBorders>
          </w:tcPr>
          <w:p>
            <w:pPr>
              <w:ind w:left="140"/>
              <w:spacing w:after="0"/>
              <w:rPr>
                <w:sz w:val="20"/>
                <w:szCs w:val="20"/>
                <w:color w:val="auto"/>
              </w:rPr>
            </w:pPr>
            <w:r>
              <w:rPr>
                <w:rFonts w:ascii="Verdana" w:cs="Verdana" w:eastAsia="Verdana" w:hAnsi="Verdana"/>
                <w:sz w:val="18"/>
                <w:szCs w:val="18"/>
                <w:color w:val="auto"/>
              </w:rPr>
              <w:t>Aggregated volume</w:t>
            </w:r>
          </w:p>
        </w:tc>
        <w:tc>
          <w:tcPr>
            <w:tcW w:w="5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00" w:type="dxa"/>
            <w:vAlign w:val="bottom"/>
            <w:tcBorders>
              <w:left w:val="single" w:sz="8" w:color="auto"/>
              <w:righ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auto"/>
            </w:tcBorders>
          </w:tcPr>
          <w:p>
            <w:pPr>
              <w:ind w:left="140"/>
              <w:spacing w:after="0"/>
              <w:rPr>
                <w:sz w:val="20"/>
                <w:szCs w:val="20"/>
                <w:color w:val="auto"/>
              </w:rPr>
            </w:pPr>
            <w:r>
              <w:rPr>
                <w:rFonts w:ascii="Verdana" w:cs="Verdana" w:eastAsia="Verdana" w:hAnsi="Verdana"/>
                <w:sz w:val="18"/>
                <w:szCs w:val="18"/>
                <w:color w:val="auto"/>
              </w:rPr>
              <w:t>Price</w:t>
            </w:r>
          </w:p>
        </w:tc>
        <w:tc>
          <w:tcPr>
            <w:tcW w:w="5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00" w:type="dxa"/>
            <w:vAlign w:val="bottom"/>
            <w:tcBorders>
              <w:left w:val="single" w:sz="8" w:color="auto"/>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4"/>
        </w:trPr>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3" w:right="1440" w:bottom="1440" w:gutter="0" w:footer="0" w:header="0"/>
        </w:sectPr>
      </w:pPr>
    </w:p>
    <w:bookmarkStart w:id="137" w:name="page138"/>
    <w:bookmarkEnd w:id="137"/>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316865</wp:posOffset>
            </wp:positionV>
            <wp:extent cx="1508760" cy="1071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1508760" cy="107188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320"/>
        <w:spacing w:after="0"/>
        <w:rPr>
          <w:sz w:val="20"/>
          <w:szCs w:val="20"/>
          <w:color w:val="auto"/>
        </w:rPr>
      </w:pPr>
      <w:r>
        <w:rPr>
          <w:rFonts w:ascii="Verdana" w:cs="Verdana" w:eastAsia="Verdana" w:hAnsi="Verdana"/>
          <w:sz w:val="18"/>
          <w:szCs w:val="18"/>
          <w:color w:val="auto"/>
        </w:rPr>
        <w:t>e)Date of</w:t>
      </w:r>
    </w:p>
    <w:p>
      <w:pPr>
        <w:ind w:left="3540"/>
        <w:spacing w:after="0" w:line="236" w:lineRule="auto"/>
        <w:rPr>
          <w:sz w:val="20"/>
          <w:szCs w:val="20"/>
          <w:color w:val="auto"/>
        </w:rPr>
      </w:pPr>
      <w:r>
        <w:rPr>
          <w:rFonts w:ascii="Verdana" w:cs="Verdana" w:eastAsia="Verdana" w:hAnsi="Verdana"/>
          <w:sz w:val="18"/>
          <w:szCs w:val="18"/>
          <w:color w:val="auto"/>
        </w:rPr>
        <w:t>the</w:t>
      </w:r>
    </w:p>
    <w:p>
      <w:pPr>
        <w:spacing w:after="0" w:line="1" w:lineRule="exact"/>
        <w:rPr>
          <w:sz w:val="20"/>
          <w:szCs w:val="20"/>
          <w:color w:val="auto"/>
        </w:rPr>
      </w:pPr>
    </w:p>
    <w:p>
      <w:pPr>
        <w:ind w:left="3540"/>
        <w:spacing w:after="0"/>
        <w:rPr>
          <w:sz w:val="20"/>
          <w:szCs w:val="20"/>
          <w:color w:val="auto"/>
        </w:rPr>
      </w:pPr>
      <w:r>
        <w:rPr>
          <w:rFonts w:ascii="Verdana" w:cs="Verdana" w:eastAsia="Verdana" w:hAnsi="Verdana"/>
          <w:sz w:val="17"/>
          <w:szCs w:val="17"/>
          <w:color w:val="auto"/>
        </w:rPr>
        <w:t>transaction</w:t>
      </w:r>
    </w:p>
    <w:p>
      <w:pPr>
        <w:spacing w:after="0" w:line="198" w:lineRule="exact"/>
        <w:rPr>
          <w:sz w:val="20"/>
          <w:szCs w:val="20"/>
          <w:color w:val="auto"/>
        </w:rPr>
      </w:pPr>
    </w:p>
    <w:p>
      <w:pPr>
        <w:ind w:left="3540" w:right="4479" w:hanging="211"/>
        <w:spacing w:after="0" w:line="267" w:lineRule="auto"/>
        <w:tabs>
          <w:tab w:leader="none" w:pos="3540" w:val="left"/>
        </w:tabs>
        <w:numPr>
          <w:ilvl w:val="0"/>
          <w:numId w:val="79"/>
        </w:numPr>
        <w:rPr>
          <w:rFonts w:ascii="Verdana" w:cs="Verdana" w:eastAsia="Verdana" w:hAnsi="Verdana"/>
          <w:sz w:val="17"/>
          <w:szCs w:val="17"/>
          <w:color w:val="auto"/>
        </w:rPr>
      </w:pPr>
      <w:r>
        <w:rPr>
          <w:rFonts w:ascii="Verdana" w:cs="Verdana" w:eastAsia="Verdana" w:hAnsi="Verdana"/>
          <w:sz w:val="17"/>
          <w:szCs w:val="17"/>
          <w:color w:val="auto"/>
        </w:rPr>
        <w:t>Place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928370</wp:posOffset>
            </wp:positionV>
            <wp:extent cx="54521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38" w:name="page139"/>
    <w:bookmarkEnd w:id="138"/>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11.2</w:t>
      </w:r>
    </w:p>
    <w:p>
      <w:pPr>
        <w:spacing w:after="0" w:line="200" w:lineRule="exact"/>
        <w:rPr>
          <w:sz w:val="20"/>
          <w:szCs w:val="20"/>
          <w:color w:val="auto"/>
        </w:rPr>
      </w:pPr>
    </w:p>
    <w:p>
      <w:pPr>
        <w:spacing w:after="0" w:line="217" w:lineRule="exact"/>
        <w:rPr>
          <w:sz w:val="20"/>
          <w:szCs w:val="20"/>
          <w:color w:val="auto"/>
        </w:rPr>
      </w:pPr>
    </w:p>
    <w:p>
      <w:pPr>
        <w:ind w:left="200" w:right="259"/>
        <w:spacing w:after="0" w:line="250" w:lineRule="auto"/>
        <w:rPr>
          <w:sz w:val="20"/>
          <w:szCs w:val="20"/>
          <w:color w:val="auto"/>
        </w:rPr>
      </w:pPr>
      <w:r>
        <w:rPr>
          <w:rFonts w:ascii="Times New Roman" w:cs="Times New Roman" w:eastAsia="Times New Roman" w:hAnsi="Times New Roman"/>
          <w:sz w:val="20"/>
          <w:szCs w:val="20"/>
          <w:b w:val="1"/>
          <w:bCs w:val="1"/>
          <w:color w:val="auto"/>
        </w:rPr>
        <w:t>INTERNAL RULES FOR THE EMPLOYEES OF GENMAB A/S (CVR NO. 21032884) AND ITS DIRECTLY AND INDIRECTLY OWNED SUBSIDIARIES REGARDING THE PREVENTION OF INSIDER DEALING, OPEN TRADING WINDOWS AND UNLAWFUL DISCLOSURE OF INSIDE INFORMATION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 PURPOSES</w:t>
      </w:r>
    </w:p>
    <w:p>
      <w:pPr>
        <w:spacing w:after="0" w:line="216" w:lineRule="exact"/>
        <w:rPr>
          <w:sz w:val="20"/>
          <w:szCs w:val="20"/>
          <w:color w:val="auto"/>
        </w:rPr>
      </w:pPr>
    </w:p>
    <w:p>
      <w:pPr>
        <w:ind w:left="200" w:right="339"/>
        <w:spacing w:after="0" w:line="254" w:lineRule="auto"/>
        <w:rPr>
          <w:sz w:val="20"/>
          <w:szCs w:val="20"/>
          <w:color w:val="auto"/>
        </w:rPr>
      </w:pPr>
      <w:r>
        <w:rPr>
          <w:rFonts w:ascii="Times New Roman" w:cs="Times New Roman" w:eastAsia="Times New Roman" w:hAnsi="Times New Roman"/>
          <w:sz w:val="20"/>
          <w:szCs w:val="20"/>
          <w:color w:val="auto"/>
        </w:rPr>
        <w:t>1.1 The purposes of the following rules are to prevent the employees of Genmab A/S (the "Company") and its directly and indirectly owned subsidiaries (the "Subsidiaries") from carrying out insider dealing and to prevent unlawful disclosure of inside information.</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 THE PERSONS AND COMPANIES COVERED BY THESE RULES</w:t>
      </w:r>
    </w:p>
    <w:p>
      <w:pPr>
        <w:spacing w:after="0" w:line="216" w:lineRule="exact"/>
        <w:rPr>
          <w:sz w:val="20"/>
          <w:szCs w:val="20"/>
          <w:color w:val="auto"/>
        </w:rPr>
      </w:pPr>
    </w:p>
    <w:p>
      <w:pPr>
        <w:ind w:left="200" w:right="259"/>
        <w:spacing w:after="0" w:line="256" w:lineRule="auto"/>
        <w:rPr>
          <w:sz w:val="20"/>
          <w:szCs w:val="20"/>
          <w:color w:val="auto"/>
        </w:rPr>
      </w:pPr>
      <w:r>
        <w:rPr>
          <w:rFonts w:ascii="Times New Roman" w:cs="Times New Roman" w:eastAsia="Times New Roman" w:hAnsi="Times New Roman"/>
          <w:sz w:val="19"/>
          <w:szCs w:val="19"/>
          <w:color w:val="auto"/>
        </w:rPr>
        <w:t>2.1 These rules (the "Internal Rules") shall apply to all employees of the Company as well as employees of its Subsidiaries (currently Genmab B.V., Genmab Holding B.V.; Genmab K.K.; Genmab US, Inc.; Profound Bio, Inc.; Profound Bio US Co.; Profound Bio, Limited; Profound Bio (Suzhou) Co., Ltd.; Profound Bio (Suzhou) Co., Ltd. – Shanghai Branch; and Beijing Puyifang Biotechnology Co., Ltd.). However, to the members of the Company’s board of directors (the “Board of Directors”), the registered and un-registered members of the Company’s executive management (the “Executive Management”) and other members of the Company's executive committee, and other persons who have been included on the permanent insiders' section of the Company's insider list, a special instruction shall apply. Employees comprised by the special instruction will receive written notice thereof. The rules contained in Section 7 below regarding Insider Lists shall only apply to those employees who – from time to time – are included on an Insider List.</w:t>
      </w:r>
    </w:p>
    <w:p>
      <w:pPr>
        <w:spacing w:after="0" w:line="181" w:lineRule="exact"/>
        <w:rPr>
          <w:sz w:val="20"/>
          <w:szCs w:val="20"/>
          <w:color w:val="auto"/>
        </w:rPr>
      </w:pPr>
    </w:p>
    <w:p>
      <w:pPr>
        <w:ind w:left="200" w:right="459"/>
        <w:spacing w:after="0" w:line="269" w:lineRule="auto"/>
        <w:rPr>
          <w:sz w:val="20"/>
          <w:szCs w:val="20"/>
          <w:color w:val="auto"/>
        </w:rPr>
      </w:pPr>
      <w:r>
        <w:rPr>
          <w:rFonts w:ascii="Times New Roman" w:cs="Times New Roman" w:eastAsia="Times New Roman" w:hAnsi="Times New Roman"/>
          <w:sz w:val="20"/>
          <w:szCs w:val="20"/>
          <w:color w:val="auto"/>
        </w:rPr>
        <w:t>2.2 If the Company establishes one or more new directly and indirectly owned subsidiaries, these Internal Rules shall also apply to employees of such subsidiaries.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 FINANCIAL INSTRUMENTS (SECURITIES) COVERED BY THE INTERNAL RULES</w:t>
      </w:r>
    </w:p>
    <w:p>
      <w:pPr>
        <w:spacing w:after="0" w:line="216" w:lineRule="exact"/>
        <w:rPr>
          <w:sz w:val="20"/>
          <w:szCs w:val="20"/>
          <w:color w:val="auto"/>
        </w:rPr>
      </w:pPr>
    </w:p>
    <w:p>
      <w:pPr>
        <w:ind w:left="200" w:right="259"/>
        <w:spacing w:after="0" w:line="249" w:lineRule="auto"/>
        <w:rPr>
          <w:sz w:val="20"/>
          <w:szCs w:val="20"/>
          <w:color w:val="auto"/>
        </w:rPr>
      </w:pPr>
      <w:r>
        <w:rPr>
          <w:rFonts w:ascii="Times New Roman" w:cs="Times New Roman" w:eastAsia="Times New Roman" w:hAnsi="Times New Roman"/>
          <w:sz w:val="20"/>
          <w:szCs w:val="20"/>
          <w:color w:val="auto"/>
        </w:rPr>
        <w:t>3.1 These Internal Rules shall apply to financial instruments issued by the Company, which are admitted for trading and listing on Nasdaq Copenhagen, Nasdaq Global Select Market in the U.S. and any other listed or non-listed financial instruments related thereto. The financial instruments, to which these Internal Rules shall apply, are hereinafter referred to as the "Securities".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 DEFINITION OF "INSIDE INFORMATION"</w:t>
      </w:r>
    </w:p>
    <w:p>
      <w:pPr>
        <w:spacing w:after="0" w:line="216"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20"/>
          <w:szCs w:val="20"/>
          <w:color w:val="auto"/>
        </w:rPr>
        <w:t>4.1 "Inside Information" means information of a precise nature, which has not been made public, relating, directly or indirectly, to the Company, its Subsidiaries or one or more Securities, and which, if it were made public, would be likely to have a significant effect on the prices of one or more Securities.</w:t>
      </w:r>
    </w:p>
    <w:p>
      <w:pPr>
        <w:spacing w:after="0" w:line="174" w:lineRule="exact"/>
        <w:rPr>
          <w:sz w:val="20"/>
          <w:szCs w:val="20"/>
          <w:color w:val="auto"/>
        </w:rPr>
      </w:pPr>
    </w:p>
    <w:p>
      <w:pPr>
        <w:ind w:left="200" w:right="499"/>
        <w:spacing w:after="0" w:line="249" w:lineRule="auto"/>
        <w:rPr>
          <w:sz w:val="20"/>
          <w:szCs w:val="20"/>
          <w:color w:val="auto"/>
        </w:rPr>
      </w:pPr>
      <w:r>
        <w:rPr>
          <w:rFonts w:ascii="Times New Roman" w:cs="Times New Roman" w:eastAsia="Times New Roman" w:hAnsi="Times New Roman"/>
          <w:sz w:val="20"/>
          <w:szCs w:val="20"/>
          <w:color w:val="auto"/>
        </w:rPr>
        <w:t>4.2 Information is deemed to be "of a precise nature" if it indicates a set of circumstances which exists or which may reasonably be expected to come into existence, or an event which has occurred or which may reasonably be expected to occur, which is specific enough to enable a conclusion to be drawn as to the possible effect of that set of circumstances or event on the prices of one or more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9" w:name="page140"/>
    <w:bookmarkEnd w:id="13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11.2</w:t>
      </w:r>
    </w:p>
    <w:p>
      <w:pPr>
        <w:spacing w:after="0" w:line="200" w:lineRule="exact"/>
        <w:rPr>
          <w:sz w:val="20"/>
          <w:szCs w:val="20"/>
          <w:color w:val="auto"/>
        </w:rPr>
      </w:pPr>
    </w:p>
    <w:p>
      <w:pPr>
        <w:spacing w:after="0" w:line="222" w:lineRule="exact"/>
        <w:rPr>
          <w:sz w:val="20"/>
          <w:szCs w:val="20"/>
          <w:color w:val="auto"/>
        </w:rPr>
      </w:pPr>
    </w:p>
    <w:p>
      <w:pPr>
        <w:ind w:left="200" w:right="239"/>
        <w:spacing w:after="0" w:line="246" w:lineRule="auto"/>
        <w:rPr>
          <w:sz w:val="20"/>
          <w:szCs w:val="20"/>
          <w:color w:val="auto"/>
        </w:rPr>
      </w:pPr>
      <w:r>
        <w:rPr>
          <w:rFonts w:ascii="Times New Roman" w:cs="Times New Roman" w:eastAsia="Times New Roman" w:hAnsi="Times New Roman"/>
          <w:sz w:val="20"/>
          <w:szCs w:val="20"/>
          <w:color w:val="auto"/>
        </w:rPr>
        <w:t>4.3 Information which, if it were made public, would be likely to have a "significant effect" on the prices of one or more Securities means information a reasonable investor would be likely to use as part of the basis of his or her investment decisions. According to U.S. securities regulation, Inside Information includes any non-public information for which there is a substantial likelihood that a reasonable investor would consider it important in making an investment decision.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4.4 The following information will usually be considered Inside Information:</w:t>
      </w:r>
    </w:p>
    <w:p>
      <w:pPr>
        <w:spacing w:after="0" w:line="216" w:lineRule="exact"/>
        <w:rPr>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expansion or reduction of the activities of the Company.</w:t>
      </w:r>
    </w:p>
    <w:p>
      <w:pPr>
        <w:spacing w:after="0" w:line="215" w:lineRule="exact"/>
        <w:rPr>
          <w:rFonts w:ascii="Times New Roman" w:cs="Times New Roman" w:eastAsia="Times New Roman" w:hAnsi="Times New Roman"/>
          <w:sz w:val="20"/>
          <w:szCs w:val="20"/>
          <w:color w:val="auto"/>
        </w:rPr>
      </w:pPr>
    </w:p>
    <w:p>
      <w:pPr>
        <w:ind w:left="200" w:right="439" w:firstLine="9"/>
        <w:spacing w:after="0" w:line="269" w:lineRule="auto"/>
        <w:tabs>
          <w:tab w:leader="none" w:pos="52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into/termination of major contracts including co-operation agreements or license agreements as well as receipt of larger payments under such agreements.</w:t>
      </w:r>
    </w:p>
    <w:p>
      <w:pPr>
        <w:spacing w:after="0" w:line="159" w:lineRule="exact"/>
        <w:rPr>
          <w:rFonts w:ascii="Times New Roman" w:cs="Times New Roman" w:eastAsia="Times New Roman" w:hAnsi="Times New Roman"/>
          <w:sz w:val="20"/>
          <w:szCs w:val="20"/>
          <w:color w:val="auto"/>
        </w:rPr>
      </w:pPr>
    </w:p>
    <w:p>
      <w:pPr>
        <w:ind w:left="200" w:right="1219" w:firstLine="9"/>
        <w:spacing w:after="0" w:line="269" w:lineRule="auto"/>
        <w:tabs>
          <w:tab w:leader="none" w:pos="52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research results (including in particular from clinical trials) as well as regulatory approvals/denials.</w:t>
      </w:r>
    </w:p>
    <w:p>
      <w:pPr>
        <w:spacing w:after="0" w:line="159"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new products or product candidates.</w:t>
      </w:r>
    </w:p>
    <w:p>
      <w:pPr>
        <w:spacing w:after="0" w:line="215"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markets or loss of such markets.</w:t>
      </w:r>
    </w:p>
    <w:p>
      <w:pPr>
        <w:spacing w:after="0" w:line="215"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investments.</w:t>
      </w:r>
    </w:p>
    <w:p>
      <w:pPr>
        <w:spacing w:after="0" w:line="215" w:lineRule="exact"/>
        <w:rPr>
          <w:rFonts w:ascii="Times New Roman" w:cs="Times New Roman" w:eastAsia="Times New Roman" w:hAnsi="Times New Roman"/>
          <w:sz w:val="20"/>
          <w:szCs w:val="20"/>
          <w:color w:val="auto"/>
        </w:rPr>
      </w:pPr>
    </w:p>
    <w:p>
      <w:pPr>
        <w:ind w:left="200" w:right="279" w:firstLine="9"/>
        <w:spacing w:after="0" w:line="269" w:lineRule="auto"/>
        <w:tabs>
          <w:tab w:leader="none" w:pos="52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proceedings instituted by or against the Company if it is considered that the result thereof may be of material importance.</w:t>
      </w:r>
    </w:p>
    <w:p>
      <w:pPr>
        <w:spacing w:after="0" w:line="159"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Winding-up, suspension of payments, petition for winding-up proceedings etc.</w:t>
      </w:r>
    </w:p>
    <w:p>
      <w:pPr>
        <w:spacing w:after="0" w:line="215"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 for merger with another company.</w:t>
      </w:r>
    </w:p>
    <w:p>
      <w:pPr>
        <w:spacing w:after="0" w:line="215"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of a majority shareholding in the Company.</w:t>
      </w:r>
    </w:p>
    <w:p>
      <w:pPr>
        <w:spacing w:after="0" w:line="215" w:lineRule="exact"/>
        <w:rPr>
          <w:rFonts w:ascii="Times New Roman" w:cs="Times New Roman" w:eastAsia="Times New Roman" w:hAnsi="Times New Roman"/>
          <w:sz w:val="20"/>
          <w:szCs w:val="20"/>
          <w:color w:val="auto"/>
        </w:rPr>
      </w:pPr>
    </w:p>
    <w:p>
      <w:pPr>
        <w:ind w:left="200" w:right="479" w:firstLine="9"/>
        <w:spacing w:after="0" w:line="269" w:lineRule="auto"/>
        <w:tabs>
          <w:tab w:leader="none" w:pos="52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of the registered members of the Executive Management or the chair or the vice chair of the Board of Directors.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 HANDLING OF INSIDE INFORMATION</w:t>
      </w:r>
    </w:p>
    <w:p>
      <w:pPr>
        <w:spacing w:after="0" w:line="216" w:lineRule="exact"/>
        <w:rPr>
          <w:sz w:val="20"/>
          <w:szCs w:val="20"/>
          <w:color w:val="auto"/>
        </w:rPr>
      </w:pPr>
    </w:p>
    <w:p>
      <w:pPr>
        <w:jc w:val="both"/>
        <w:ind w:left="200" w:right="659"/>
        <w:spacing w:after="0" w:line="249" w:lineRule="auto"/>
        <w:rPr>
          <w:sz w:val="20"/>
          <w:szCs w:val="20"/>
          <w:color w:val="auto"/>
        </w:rPr>
      </w:pPr>
      <w:r>
        <w:rPr>
          <w:rFonts w:ascii="Times New Roman" w:cs="Times New Roman" w:eastAsia="Times New Roman" w:hAnsi="Times New Roman"/>
          <w:sz w:val="20"/>
          <w:szCs w:val="20"/>
          <w:color w:val="auto"/>
        </w:rPr>
        <w:t>5.1 A person in possession of Inside Information may generally not disclose such knowledge to others, whether internally within the Company or externally to closely related parties (spouse, children etc.) or others, and may not give trading advice to others, even if the advice is given without disclosing Inside Information.</w:t>
      </w:r>
    </w:p>
    <w:p>
      <w:pPr>
        <w:spacing w:after="0" w:line="180" w:lineRule="exact"/>
        <w:rPr>
          <w:sz w:val="20"/>
          <w:szCs w:val="20"/>
          <w:color w:val="auto"/>
        </w:rPr>
      </w:pPr>
    </w:p>
    <w:p>
      <w:pPr>
        <w:ind w:left="200" w:right="819"/>
        <w:spacing w:after="0" w:line="269" w:lineRule="auto"/>
        <w:rPr>
          <w:sz w:val="20"/>
          <w:szCs w:val="20"/>
          <w:color w:val="auto"/>
        </w:rPr>
      </w:pPr>
      <w:r>
        <w:rPr>
          <w:rFonts w:ascii="Times New Roman" w:cs="Times New Roman" w:eastAsia="Times New Roman" w:hAnsi="Times New Roman"/>
          <w:sz w:val="20"/>
          <w:szCs w:val="20"/>
          <w:color w:val="auto"/>
        </w:rPr>
        <w:t>5.2 Disclosure of Inside Information may, however, take place, if it is made in the normal exercise of employment, profession or duties.</w:t>
      </w:r>
    </w:p>
    <w:p>
      <w:pPr>
        <w:spacing w:after="0" w:line="159" w:lineRule="exact"/>
        <w:rPr>
          <w:sz w:val="20"/>
          <w:szCs w:val="20"/>
          <w:color w:val="auto"/>
        </w:rPr>
      </w:pPr>
    </w:p>
    <w:p>
      <w:pPr>
        <w:ind w:left="200" w:right="259"/>
        <w:spacing w:after="0" w:line="269" w:lineRule="auto"/>
        <w:rPr>
          <w:sz w:val="20"/>
          <w:szCs w:val="20"/>
          <w:color w:val="auto"/>
        </w:rPr>
      </w:pPr>
      <w:r>
        <w:rPr>
          <w:rFonts w:ascii="Times New Roman" w:cs="Times New Roman" w:eastAsia="Times New Roman" w:hAnsi="Times New Roman"/>
          <w:sz w:val="20"/>
          <w:szCs w:val="20"/>
          <w:color w:val="auto"/>
        </w:rPr>
        <w:t>5.3 A recipient of Inside Information will be prevented from trading in Securities until such information has been made public.</w:t>
      </w:r>
    </w:p>
    <w:p>
      <w:pPr>
        <w:spacing w:after="0" w:line="159" w:lineRule="exact"/>
        <w:rPr>
          <w:sz w:val="20"/>
          <w:szCs w:val="20"/>
          <w:color w:val="auto"/>
        </w:rPr>
      </w:pPr>
    </w:p>
    <w:p>
      <w:pPr>
        <w:ind w:left="200" w:right="279"/>
        <w:spacing w:after="0" w:line="295" w:lineRule="auto"/>
        <w:rPr>
          <w:sz w:val="20"/>
          <w:szCs w:val="20"/>
          <w:color w:val="auto"/>
        </w:rPr>
      </w:pPr>
      <w:r>
        <w:rPr>
          <w:rFonts w:ascii="Times New Roman" w:cs="Times New Roman" w:eastAsia="Times New Roman" w:hAnsi="Times New Roman"/>
          <w:sz w:val="19"/>
          <w:szCs w:val="19"/>
          <w:color w:val="auto"/>
        </w:rPr>
        <w:t>5.4 If an employee is in doubt as to whether he/she may disclose Inside Information to others internally or externally the employee shall submit the matter to his/her superior before disclosing the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590550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40" w:name="page141"/>
    <w:bookmarkEnd w:id="14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11.2</w:t>
      </w:r>
    </w:p>
    <w:p>
      <w:pPr>
        <w:spacing w:after="0" w:line="200" w:lineRule="exact"/>
        <w:rPr>
          <w:sz w:val="20"/>
          <w:szCs w:val="20"/>
          <w:color w:val="auto"/>
        </w:rPr>
      </w:pPr>
    </w:p>
    <w:p>
      <w:pPr>
        <w:spacing w:after="0" w:line="222" w:lineRule="exact"/>
        <w:rPr>
          <w:sz w:val="20"/>
          <w:szCs w:val="20"/>
          <w:color w:val="auto"/>
        </w:rPr>
      </w:pPr>
    </w:p>
    <w:p>
      <w:pPr>
        <w:ind w:left="200" w:right="379"/>
        <w:spacing w:after="0" w:line="249" w:lineRule="auto"/>
        <w:rPr>
          <w:sz w:val="20"/>
          <w:szCs w:val="20"/>
          <w:color w:val="auto"/>
        </w:rPr>
      </w:pPr>
      <w:r>
        <w:rPr>
          <w:rFonts w:ascii="Times New Roman" w:cs="Times New Roman" w:eastAsia="Times New Roman" w:hAnsi="Times New Roman"/>
          <w:sz w:val="20"/>
          <w:szCs w:val="20"/>
          <w:color w:val="auto"/>
        </w:rPr>
        <w:t>5.5 If an employee needs to pass on Inside Information externally (including to legal advisers, accountants and financial consultants) the employee in question shall ensure - prior to disclosure - that the receiver is legally obligated to treat such information in confidence by either law, regulation or contract (e.g. a confidentiality agreement).</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 SECURING OF INSIDE INFORMATION</w:t>
      </w:r>
    </w:p>
    <w:p>
      <w:pPr>
        <w:spacing w:after="0" w:line="216" w:lineRule="exact"/>
        <w:rPr>
          <w:sz w:val="20"/>
          <w:szCs w:val="20"/>
          <w:color w:val="auto"/>
        </w:rPr>
      </w:pPr>
    </w:p>
    <w:p>
      <w:pPr>
        <w:jc w:val="both"/>
        <w:ind w:left="200" w:right="419"/>
        <w:spacing w:after="0" w:line="254" w:lineRule="auto"/>
        <w:rPr>
          <w:sz w:val="20"/>
          <w:szCs w:val="20"/>
          <w:color w:val="auto"/>
        </w:rPr>
      </w:pPr>
      <w:r>
        <w:rPr>
          <w:rFonts w:ascii="Times New Roman" w:cs="Times New Roman" w:eastAsia="Times New Roman" w:hAnsi="Times New Roman"/>
          <w:sz w:val="20"/>
          <w:szCs w:val="20"/>
          <w:color w:val="auto"/>
        </w:rPr>
        <w:t>6.1 Any person who is in possession of material containing Inside Information shall be responsible for the material being kept and handled in a manner, which shall not permit others to become acquainted with its contents.</w:t>
      </w:r>
    </w:p>
    <w:p>
      <w:pPr>
        <w:spacing w:after="0" w:line="174"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20"/>
          <w:szCs w:val="20"/>
          <w:color w:val="auto"/>
        </w:rPr>
        <w:t>6.2 In order to meet the obligations in Section 6.1, particular care should be exercised in connection with copying, mailing (including by email) externally and internally and in similar situations. In this respect, the following precautions in particular may be considered:</w:t>
      </w:r>
    </w:p>
    <w:p>
      <w:pPr>
        <w:spacing w:after="0" w:line="174" w:lineRule="exact"/>
        <w:rPr>
          <w:sz w:val="20"/>
          <w:szCs w:val="20"/>
          <w:color w:val="auto"/>
        </w:rPr>
      </w:pPr>
    </w:p>
    <w:p>
      <w:pPr>
        <w:ind w:left="540" w:hanging="331"/>
        <w:spacing w:after="0"/>
        <w:tabs>
          <w:tab w:leader="none" w:pos="5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refer to sensitive matters using an anonymous name or a code;</w:t>
      </w:r>
    </w:p>
    <w:p>
      <w:pPr>
        <w:spacing w:after="0" w:line="215" w:lineRule="exact"/>
        <w:rPr>
          <w:rFonts w:ascii="Times New Roman" w:cs="Times New Roman" w:eastAsia="Times New Roman" w:hAnsi="Times New Roman"/>
          <w:sz w:val="20"/>
          <w:szCs w:val="20"/>
          <w:color w:val="auto"/>
        </w:rPr>
      </w:pPr>
    </w:p>
    <w:p>
      <w:pPr>
        <w:ind w:left="200" w:right="339" w:firstLine="9"/>
        <w:spacing w:after="0" w:line="269" w:lineRule="auto"/>
        <w:tabs>
          <w:tab w:leader="none" w:pos="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restrict access to letters and documents etc. in the computer system so that only the persons having a need for them in the dispatch of their work can gain access to the material;</w:t>
      </w:r>
    </w:p>
    <w:p>
      <w:pPr>
        <w:spacing w:after="0" w:line="159" w:lineRule="exact"/>
        <w:rPr>
          <w:rFonts w:ascii="Times New Roman" w:cs="Times New Roman" w:eastAsia="Times New Roman" w:hAnsi="Times New Roman"/>
          <w:sz w:val="20"/>
          <w:szCs w:val="20"/>
          <w:color w:val="auto"/>
        </w:rPr>
      </w:pPr>
    </w:p>
    <w:p>
      <w:pPr>
        <w:ind w:left="200" w:right="319" w:firstLine="9"/>
        <w:spacing w:after="0" w:line="269" w:lineRule="auto"/>
        <w:tabs>
          <w:tab w:leader="none" w:pos="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the utmost care to ensure that confidential material and drafts for such material are never left by copying machines, in conference rooms or in waste paper baskets without being shred properly;</w:t>
      </w:r>
    </w:p>
    <w:p>
      <w:pPr>
        <w:spacing w:after="0" w:line="159" w:lineRule="exact"/>
        <w:rPr>
          <w:rFonts w:ascii="Times New Roman" w:cs="Times New Roman" w:eastAsia="Times New Roman" w:hAnsi="Times New Roman"/>
          <w:sz w:val="20"/>
          <w:szCs w:val="20"/>
          <w:color w:val="auto"/>
        </w:rPr>
      </w:pPr>
    </w:p>
    <w:p>
      <w:pPr>
        <w:ind w:left="200" w:right="499" w:firstLine="9"/>
        <w:spacing w:after="0" w:line="269" w:lineRule="auto"/>
        <w:tabs>
          <w:tab w:leader="none" w:pos="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the utmost care when transmitting by fax, for instance by coordinating such fax transmissions between recipient and sender so that personal receipt by the recipient is made possible;</w:t>
      </w:r>
    </w:p>
    <w:p>
      <w:pPr>
        <w:spacing w:after="0" w:line="159"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arrange plain envelopes when handling material internally; and</w:t>
      </w:r>
    </w:p>
    <w:p>
      <w:pPr>
        <w:spacing w:after="0" w:line="215" w:lineRule="exact"/>
        <w:rPr>
          <w:rFonts w:ascii="Times New Roman" w:cs="Times New Roman" w:eastAsia="Times New Roman" w:hAnsi="Times New Roman"/>
          <w:sz w:val="20"/>
          <w:szCs w:val="20"/>
          <w:color w:val="auto"/>
        </w:rPr>
      </w:pPr>
    </w:p>
    <w:p>
      <w:pPr>
        <w:ind w:left="200" w:right="999" w:firstLine="9"/>
        <w:spacing w:after="0" w:line="269" w:lineRule="auto"/>
        <w:tabs>
          <w:tab w:leader="none" w:pos="52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that external mailing is marked "personal and confidential" or similar marking and is addressed to a specific recipient.</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 INSIDER LISTS</w:t>
      </w:r>
    </w:p>
    <w:p>
      <w:pPr>
        <w:spacing w:after="0" w:line="216" w:lineRule="exact"/>
        <w:rPr>
          <w:sz w:val="20"/>
          <w:szCs w:val="20"/>
          <w:color w:val="auto"/>
        </w:rPr>
      </w:pPr>
    </w:p>
    <w:p>
      <w:pPr>
        <w:ind w:left="200" w:right="479"/>
        <w:spacing w:after="0" w:line="249" w:lineRule="auto"/>
        <w:rPr>
          <w:sz w:val="20"/>
          <w:szCs w:val="20"/>
          <w:color w:val="auto"/>
        </w:rPr>
      </w:pPr>
      <w:r>
        <w:rPr>
          <w:rFonts w:ascii="Times New Roman" w:cs="Times New Roman" w:eastAsia="Times New Roman" w:hAnsi="Times New Roman"/>
          <w:sz w:val="20"/>
          <w:szCs w:val="20"/>
          <w:color w:val="auto"/>
        </w:rPr>
        <w:t>7.1 The Company shall establish and continuously update lists of those persons who are employed by the Company (as well as by its Subsidiaries) and who have access to Inside Information cf. Article 18 of the Market Abuse Regulation ("Insider Lists"). Each person shall be informed about his/her inclusion or exclusion of an Insider List.</w:t>
      </w:r>
    </w:p>
    <w:p>
      <w:pPr>
        <w:spacing w:after="0" w:line="180" w:lineRule="exact"/>
        <w:rPr>
          <w:sz w:val="20"/>
          <w:szCs w:val="20"/>
          <w:color w:val="auto"/>
        </w:rPr>
      </w:pPr>
    </w:p>
    <w:p>
      <w:pPr>
        <w:ind w:left="200" w:right="439"/>
        <w:spacing w:after="0" w:line="269" w:lineRule="auto"/>
        <w:rPr>
          <w:sz w:val="20"/>
          <w:szCs w:val="20"/>
          <w:color w:val="auto"/>
        </w:rPr>
      </w:pPr>
      <w:r>
        <w:rPr>
          <w:rFonts w:ascii="Times New Roman" w:cs="Times New Roman" w:eastAsia="Times New Roman" w:hAnsi="Times New Roman"/>
          <w:sz w:val="20"/>
          <w:szCs w:val="20"/>
          <w:color w:val="auto"/>
        </w:rPr>
        <w:t>7.2 All persons included on an Insider List are prohibited from conducting transactions with Securities on their own account or on the account of a third party, directly or indirectly.</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 OPEN TRADING WINDOWS</w:t>
      </w:r>
    </w:p>
    <w:p>
      <w:pPr>
        <w:spacing w:after="0" w:line="216" w:lineRule="exact"/>
        <w:rPr>
          <w:sz w:val="20"/>
          <w:szCs w:val="20"/>
          <w:color w:val="auto"/>
        </w:rPr>
      </w:pPr>
    </w:p>
    <w:p>
      <w:pPr>
        <w:ind w:left="200" w:right="279"/>
        <w:spacing w:after="0" w:line="247" w:lineRule="auto"/>
        <w:rPr>
          <w:sz w:val="20"/>
          <w:szCs w:val="20"/>
          <w:color w:val="auto"/>
        </w:rPr>
      </w:pPr>
      <w:r>
        <w:rPr>
          <w:rFonts w:ascii="Times New Roman" w:cs="Times New Roman" w:eastAsia="Times New Roman" w:hAnsi="Times New Roman"/>
          <w:sz w:val="20"/>
          <w:szCs w:val="20"/>
          <w:color w:val="auto"/>
        </w:rPr>
        <w:t>8.1 The Company may identify employees that may only carry out transactions with Securities (whether for their own account or for the account of a third party, directly or indirectly) twenty-four (24) hours after publication of the Company's interim financial reports or the annual report and during a period ending six</w:t>
      </w:r>
    </w:p>
    <w:p>
      <w:pPr>
        <w:ind w:left="200"/>
        <w:spacing w:after="0"/>
        <w:rPr>
          <w:sz w:val="20"/>
          <w:szCs w:val="20"/>
          <w:color w:val="auto"/>
        </w:rPr>
      </w:pPr>
      <w:r>
        <w:rPr>
          <w:rFonts w:ascii="Times New Roman" w:cs="Times New Roman" w:eastAsia="Times New Roman" w:hAnsi="Times New Roman"/>
          <w:sz w:val="20"/>
          <w:szCs w:val="20"/>
          <w:color w:val="auto"/>
        </w:rPr>
        <w:t>(6) weeks after publication of the Company's interim financial reports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41" w:name="page142"/>
    <w:bookmarkEnd w:id="14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11.2</w:t>
      </w:r>
    </w:p>
    <w:p>
      <w:pPr>
        <w:spacing w:after="0" w:line="200" w:lineRule="exact"/>
        <w:rPr>
          <w:sz w:val="20"/>
          <w:szCs w:val="20"/>
          <w:color w:val="auto"/>
        </w:rPr>
      </w:pPr>
    </w:p>
    <w:p>
      <w:pPr>
        <w:spacing w:after="0" w:line="222" w:lineRule="exact"/>
        <w:rPr>
          <w:sz w:val="20"/>
          <w:szCs w:val="20"/>
          <w:color w:val="auto"/>
        </w:rPr>
      </w:pPr>
    </w:p>
    <w:p>
      <w:pPr>
        <w:ind w:left="200" w:right="539"/>
        <w:spacing w:after="0" w:line="269" w:lineRule="auto"/>
        <w:rPr>
          <w:sz w:val="20"/>
          <w:szCs w:val="20"/>
          <w:color w:val="auto"/>
        </w:rPr>
      </w:pPr>
      <w:r>
        <w:rPr>
          <w:rFonts w:ascii="Times New Roman" w:cs="Times New Roman" w:eastAsia="Times New Roman" w:hAnsi="Times New Roman"/>
          <w:sz w:val="20"/>
          <w:szCs w:val="20"/>
          <w:color w:val="auto"/>
        </w:rPr>
        <w:t>the annual report ("Open Trading Windows"). Such employees must be informed in writing that they are subject to these Open Trading Windows.</w:t>
      </w:r>
    </w:p>
    <w:p>
      <w:pPr>
        <w:spacing w:after="0" w:line="159" w:lineRule="exact"/>
        <w:rPr>
          <w:sz w:val="20"/>
          <w:szCs w:val="20"/>
          <w:color w:val="auto"/>
        </w:rPr>
      </w:pPr>
    </w:p>
    <w:p>
      <w:pPr>
        <w:ind w:left="200" w:right="399"/>
        <w:spacing w:after="0" w:line="269" w:lineRule="auto"/>
        <w:rPr>
          <w:sz w:val="20"/>
          <w:szCs w:val="20"/>
          <w:color w:val="auto"/>
        </w:rPr>
      </w:pPr>
      <w:r>
        <w:rPr>
          <w:rFonts w:ascii="Times New Roman" w:cs="Times New Roman" w:eastAsia="Times New Roman" w:hAnsi="Times New Roman"/>
          <w:sz w:val="20"/>
          <w:szCs w:val="20"/>
          <w:color w:val="auto"/>
        </w:rPr>
        <w:t>8.2 An employee subject to Open Trading Windows is not allowed to trade in an Open Trading Window if the employee possesses Inside Information.</w:t>
      </w:r>
    </w:p>
    <w:p>
      <w:pPr>
        <w:spacing w:after="0" w:line="159" w:lineRule="exact"/>
        <w:rPr>
          <w:sz w:val="20"/>
          <w:szCs w:val="20"/>
          <w:color w:val="auto"/>
        </w:rPr>
      </w:pPr>
    </w:p>
    <w:p>
      <w:pPr>
        <w:ind w:left="200" w:right="259"/>
        <w:spacing w:after="0" w:line="245" w:lineRule="auto"/>
        <w:rPr>
          <w:sz w:val="20"/>
          <w:szCs w:val="20"/>
          <w:color w:val="auto"/>
        </w:rPr>
      </w:pPr>
      <w:r>
        <w:rPr>
          <w:rFonts w:ascii="Times New Roman" w:cs="Times New Roman" w:eastAsia="Times New Roman" w:hAnsi="Times New Roman"/>
          <w:sz w:val="20"/>
          <w:szCs w:val="20"/>
          <w:color w:val="auto"/>
        </w:rPr>
        <w:t>8.3 Transactions with Securities outside an Open Trading Window may be effected in particular circumstances, subject to the prior written acceptance by the chair of the Board of Directors. Such acceptance shall be made on a case-by-case basis due to exceptional circumstances, such as severe financial difficulty or due to the characteristics of the trading involved for transactions made under employee share programs etc. Acceptance will never be made if the employee asking for such acceptance is in possession of Inside Information.</w:t>
      </w:r>
    </w:p>
    <w:p>
      <w:pPr>
        <w:spacing w:after="0" w:line="184" w:lineRule="exact"/>
        <w:rPr>
          <w:sz w:val="20"/>
          <w:szCs w:val="20"/>
          <w:color w:val="auto"/>
        </w:rPr>
      </w:pPr>
    </w:p>
    <w:p>
      <w:pPr>
        <w:ind w:left="200" w:right="319"/>
        <w:spacing w:after="0" w:line="249" w:lineRule="auto"/>
        <w:rPr>
          <w:sz w:val="20"/>
          <w:szCs w:val="20"/>
          <w:color w:val="auto"/>
        </w:rPr>
      </w:pPr>
      <w:r>
        <w:rPr>
          <w:rFonts w:ascii="Times New Roman" w:cs="Times New Roman" w:eastAsia="Times New Roman" w:hAnsi="Times New Roman"/>
          <w:sz w:val="20"/>
          <w:szCs w:val="20"/>
          <w:color w:val="auto"/>
        </w:rPr>
        <w:t>8.4 Subscription of new employee shares (which shall include also subscription through the exercise of warrants granted to employees) may take place outside an Open Trading Window. However, for the avoidance of doubt it is noted that the shares subscribed may only be sold within an Open Trading Window and always subject to the general prohibition against insider dealing, cf. Section 9.</w:t>
      </w:r>
    </w:p>
    <w:p>
      <w:pPr>
        <w:spacing w:after="0" w:line="180" w:lineRule="exact"/>
        <w:rPr>
          <w:sz w:val="20"/>
          <w:szCs w:val="20"/>
          <w:color w:val="auto"/>
        </w:rPr>
      </w:pPr>
    </w:p>
    <w:p>
      <w:pPr>
        <w:ind w:left="200" w:right="299"/>
        <w:spacing w:after="0" w:line="249" w:lineRule="auto"/>
        <w:rPr>
          <w:sz w:val="20"/>
          <w:szCs w:val="20"/>
          <w:color w:val="auto"/>
        </w:rPr>
      </w:pPr>
      <w:r>
        <w:rPr>
          <w:rFonts w:ascii="Times New Roman" w:cs="Times New Roman" w:eastAsia="Times New Roman" w:hAnsi="Times New Roman"/>
          <w:sz w:val="20"/>
          <w:szCs w:val="20"/>
          <w:color w:val="auto"/>
        </w:rPr>
        <w:t>8.5 The Board of Directors or - in urgent matters - the chair of the Board of Directors may in one-off cases lay down further restrictions concerning the period within which the Securities subject to these Internal Rules may not be traded and may close an Open Trading Window at any time, in which case the employees must be notified thereof.</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 PROHIBITION AGAINST INSIDER DEALING</w:t>
      </w:r>
    </w:p>
    <w:p>
      <w:pPr>
        <w:spacing w:after="0" w:line="216" w:lineRule="exact"/>
        <w:rPr>
          <w:sz w:val="20"/>
          <w:szCs w:val="20"/>
          <w:color w:val="auto"/>
        </w:rPr>
      </w:pPr>
    </w:p>
    <w:p>
      <w:pPr>
        <w:ind w:left="200" w:right="579"/>
        <w:spacing w:after="0" w:line="269" w:lineRule="auto"/>
        <w:rPr>
          <w:sz w:val="20"/>
          <w:szCs w:val="20"/>
          <w:color w:val="auto"/>
        </w:rPr>
      </w:pPr>
      <w:r>
        <w:rPr>
          <w:rFonts w:ascii="Times New Roman" w:cs="Times New Roman" w:eastAsia="Times New Roman" w:hAnsi="Times New Roman"/>
          <w:sz w:val="20"/>
          <w:szCs w:val="20"/>
          <w:color w:val="auto"/>
        </w:rPr>
        <w:t>9.1 In connection with transactions with Securities, employees shall comply strictly with the prohibition against insider dealing.</w:t>
      </w:r>
    </w:p>
    <w:p>
      <w:pPr>
        <w:spacing w:after="0" w:line="159" w:lineRule="exact"/>
        <w:rPr>
          <w:sz w:val="20"/>
          <w:szCs w:val="20"/>
          <w:color w:val="auto"/>
        </w:rPr>
      </w:pPr>
    </w:p>
    <w:p>
      <w:pPr>
        <w:ind w:left="200" w:right="539"/>
        <w:spacing w:after="0" w:line="246" w:lineRule="auto"/>
        <w:rPr>
          <w:sz w:val="20"/>
          <w:szCs w:val="20"/>
          <w:color w:val="auto"/>
        </w:rPr>
      </w:pPr>
      <w:r>
        <w:rPr>
          <w:rFonts w:ascii="Times New Roman" w:cs="Times New Roman" w:eastAsia="Times New Roman" w:hAnsi="Times New Roman"/>
          <w:sz w:val="20"/>
          <w:szCs w:val="20"/>
          <w:color w:val="auto"/>
        </w:rPr>
        <w:t>9.2 Insider dealing arises if an employee possesses Inside Information and uses that information by acquiring or disposing of, for its own account or for the account of a third party, directly or indirectly, Securities to which that information relates. The use of Inside Information by cancelling or amending an order concerning a Security to which the information relates where the order was placed before the employee possessed the Inside Information, shall also be considered insider dealing.</w:t>
      </w:r>
    </w:p>
    <w:p>
      <w:pPr>
        <w:spacing w:after="0" w:line="185" w:lineRule="exact"/>
        <w:rPr>
          <w:sz w:val="20"/>
          <w:szCs w:val="20"/>
          <w:color w:val="auto"/>
        </w:rPr>
      </w:pPr>
    </w:p>
    <w:p>
      <w:pPr>
        <w:ind w:left="200" w:right="239"/>
        <w:spacing w:after="0" w:line="269" w:lineRule="auto"/>
        <w:rPr>
          <w:sz w:val="20"/>
          <w:szCs w:val="20"/>
          <w:color w:val="auto"/>
        </w:rPr>
      </w:pPr>
      <w:r>
        <w:rPr>
          <w:rFonts w:ascii="Times New Roman" w:cs="Times New Roman" w:eastAsia="Times New Roman" w:hAnsi="Times New Roman"/>
          <w:sz w:val="20"/>
          <w:szCs w:val="20"/>
          <w:color w:val="auto"/>
        </w:rPr>
        <w:t>9.3 If employees are in possession of Inside Information, they shall not engage in any transactions regarding Securities.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 COMPLIANCE WITH THE INTERNAL RULES AND SANCTIONS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10.1 These Internal Rules shall be kept by the Legal Department from where they can be requisitioned.</w:t>
      </w:r>
    </w:p>
    <w:p>
      <w:pPr>
        <w:spacing w:after="0" w:line="216" w:lineRule="exact"/>
        <w:rPr>
          <w:sz w:val="20"/>
          <w:szCs w:val="20"/>
          <w:color w:val="auto"/>
        </w:rPr>
      </w:pPr>
    </w:p>
    <w:p>
      <w:pPr>
        <w:jc w:val="both"/>
        <w:ind w:left="200" w:right="399"/>
        <w:spacing w:after="0" w:line="254" w:lineRule="auto"/>
        <w:rPr>
          <w:sz w:val="20"/>
          <w:szCs w:val="20"/>
          <w:color w:val="auto"/>
        </w:rPr>
      </w:pPr>
      <w:r>
        <w:rPr>
          <w:rFonts w:ascii="Times New Roman" w:cs="Times New Roman" w:eastAsia="Times New Roman" w:hAnsi="Times New Roman"/>
          <w:sz w:val="20"/>
          <w:szCs w:val="20"/>
          <w:color w:val="auto"/>
        </w:rPr>
        <w:t>10.2 The Company shall continuously ensure, that the employees of the Company and its Subsidiaries are familiar with the contents of these Internal Rules and aware of the duties, responsibilities and implications these Internal Rules may inflict on the employees of the Company and such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42" w:name="page143"/>
    <w:bookmarkEnd w:id="14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11.2</w:t>
      </w:r>
    </w:p>
    <w:p>
      <w:pPr>
        <w:spacing w:after="0" w:line="200" w:lineRule="exact"/>
        <w:rPr>
          <w:sz w:val="20"/>
          <w:szCs w:val="20"/>
          <w:color w:val="auto"/>
        </w:rPr>
      </w:pPr>
    </w:p>
    <w:p>
      <w:pPr>
        <w:spacing w:after="0" w:line="222" w:lineRule="exact"/>
        <w:rPr>
          <w:sz w:val="20"/>
          <w:szCs w:val="20"/>
          <w:color w:val="auto"/>
        </w:rPr>
      </w:pPr>
    </w:p>
    <w:p>
      <w:pPr>
        <w:ind w:left="200" w:right="239"/>
        <w:spacing w:after="0" w:line="257" w:lineRule="auto"/>
        <w:rPr>
          <w:sz w:val="20"/>
          <w:szCs w:val="20"/>
          <w:color w:val="auto"/>
        </w:rPr>
      </w:pPr>
      <w:r>
        <w:rPr>
          <w:rFonts w:ascii="Times New Roman" w:cs="Times New Roman" w:eastAsia="Times New Roman" w:hAnsi="Times New Roman"/>
          <w:sz w:val="19"/>
          <w:szCs w:val="19"/>
          <w:color w:val="auto"/>
        </w:rPr>
        <w:t>10.3 It is emphasized that breach of the rules contained in these Internal Rules may be considered a criminal offence in Denmark and the United States and as sufficient grounds for summary dismissal. In Denmark, any breach of the prohibitions against insider dealing and unlawful disclosure of Inside Information by an employee may - depending on the circumstances – be punishable by a fine or imprisonment up to one (1) year and six (6) months, and in particularly grave cases imprisonment up to six (6) years. In the United States, such a breach may result in penalties and sanctions that include disgorging any profits gained or loss avoided, up to 20 years in prison, criminal fines of up to USD 5 million, and civil penalties of up to three times the profit gained or loss avoided (whether directly by an employee, or by a third party as a result of the employee’s breach) and civil injunctions by the U.S. Securities Exchange Commission.</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 UNINTENTIONAL SPREAD OF INSIDE INFORMATION</w:t>
      </w:r>
    </w:p>
    <w:p>
      <w:pPr>
        <w:spacing w:after="0" w:line="216" w:lineRule="exact"/>
        <w:rPr>
          <w:sz w:val="20"/>
          <w:szCs w:val="20"/>
          <w:color w:val="auto"/>
        </w:rPr>
      </w:pPr>
    </w:p>
    <w:p>
      <w:pPr>
        <w:ind w:left="200" w:right="359"/>
        <w:spacing w:after="0" w:line="249" w:lineRule="auto"/>
        <w:rPr>
          <w:sz w:val="20"/>
          <w:szCs w:val="20"/>
          <w:color w:val="auto"/>
        </w:rPr>
      </w:pPr>
      <w:r>
        <w:rPr>
          <w:rFonts w:ascii="Times New Roman" w:cs="Times New Roman" w:eastAsia="Times New Roman" w:hAnsi="Times New Roman"/>
          <w:sz w:val="20"/>
          <w:szCs w:val="20"/>
          <w:color w:val="auto"/>
        </w:rPr>
        <w:t>In case an employee finds or reasonably suspects that Inside Information has been disclosed in violation of the rules contained in these Internal Rules he/she must immediately inform the Executive Management of this. The Executive Management will thereafter assess whether a public disclosure of the information is required.</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 UNDERSTANDING</w:t>
      </w:r>
    </w:p>
    <w:p>
      <w:pPr>
        <w:spacing w:after="0" w:line="216" w:lineRule="exact"/>
        <w:rPr>
          <w:sz w:val="20"/>
          <w:szCs w:val="20"/>
          <w:color w:val="auto"/>
        </w:rPr>
      </w:pPr>
    </w:p>
    <w:p>
      <w:pPr>
        <w:jc w:val="both"/>
        <w:ind w:left="200" w:right="259"/>
        <w:spacing w:after="0" w:line="249" w:lineRule="auto"/>
        <w:rPr>
          <w:sz w:val="20"/>
          <w:szCs w:val="20"/>
          <w:color w:val="auto"/>
        </w:rPr>
      </w:pPr>
      <w:r>
        <w:rPr>
          <w:rFonts w:ascii="Times New Roman" w:cs="Times New Roman" w:eastAsia="Times New Roman" w:hAnsi="Times New Roman"/>
          <w:sz w:val="20"/>
          <w:szCs w:val="20"/>
          <w:color w:val="auto"/>
        </w:rPr>
        <w:t>Any questions regarding the understanding of these Internal Rules shall be dealt with and answered only by the Executive Management or by a person authorized by the Executive Management. The Company’s Legal Department is authorized by the Executive Management to answer questions regarding the understanding of these Internal Rules.</w:t>
      </w:r>
    </w:p>
    <w:p>
      <w:pPr>
        <w:spacing w:after="0" w:line="180" w:lineRule="exact"/>
        <w:rPr>
          <w:sz w:val="20"/>
          <w:szCs w:val="20"/>
          <w:color w:val="auto"/>
        </w:rPr>
      </w:pPr>
    </w:p>
    <w:p>
      <w:pPr>
        <w:ind w:left="200" w:right="399" w:firstLine="9"/>
        <w:spacing w:after="0" w:line="269" w:lineRule="auto"/>
        <w:tabs>
          <w:tab w:leader="none" w:pos="49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DUTY OF DISCLOSURE OF INFORMATION TO NASDAQ COPENHAGEN AND THE DANISH FINANCIAL SUPERVISORY AUTHORITY AND INCONSISTENCIES</w:t>
      </w:r>
    </w:p>
    <w:p>
      <w:pPr>
        <w:spacing w:after="0" w:line="159" w:lineRule="exact"/>
        <w:rPr>
          <w:sz w:val="20"/>
          <w:szCs w:val="20"/>
          <w:color w:val="auto"/>
        </w:rPr>
      </w:pPr>
    </w:p>
    <w:p>
      <w:pPr>
        <w:ind w:left="200" w:right="259"/>
        <w:spacing w:after="0" w:line="245" w:lineRule="auto"/>
        <w:rPr>
          <w:sz w:val="20"/>
          <w:szCs w:val="20"/>
          <w:color w:val="auto"/>
        </w:rPr>
      </w:pPr>
      <w:r>
        <w:rPr>
          <w:rFonts w:ascii="Times New Roman" w:cs="Times New Roman" w:eastAsia="Times New Roman" w:hAnsi="Times New Roman"/>
          <w:sz w:val="20"/>
          <w:szCs w:val="20"/>
          <w:color w:val="auto"/>
        </w:rPr>
        <w:t>The Company is obliged to provide a copy of the Insider Lists to Nasdaq Copenhagen and the Danish Financial Supervisory Authority on request. The Company may also share these Internal Rules with Nasdaq Copenhagen as well as authorities in Denmark and/or the U.S. Nothing herein shall take precedence over applicable rules and regulations and in the cases of any inconsistency between the contents of these rules and the Market Abuse Regulation and regulations issued thereunder, said regulations (as the case may be) shall take precedence.</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 COMMENCEMENT AND CHANGES</w:t>
      </w:r>
    </w:p>
    <w:p>
      <w:pPr>
        <w:spacing w:after="0" w:line="216" w:lineRule="exact"/>
        <w:rPr>
          <w:sz w:val="20"/>
          <w:szCs w:val="20"/>
          <w:color w:val="auto"/>
        </w:rPr>
      </w:pPr>
    </w:p>
    <w:p>
      <w:pPr>
        <w:ind w:left="200" w:right="379"/>
        <w:spacing w:after="0" w:line="269" w:lineRule="auto"/>
        <w:rPr>
          <w:sz w:val="20"/>
          <w:szCs w:val="20"/>
          <w:color w:val="auto"/>
        </w:rPr>
      </w:pPr>
      <w:r>
        <w:rPr>
          <w:rFonts w:ascii="Times New Roman" w:cs="Times New Roman" w:eastAsia="Times New Roman" w:hAnsi="Times New Roman"/>
          <w:sz w:val="20"/>
          <w:szCs w:val="20"/>
          <w:color w:val="auto"/>
        </w:rPr>
        <w:t>These Internal Rules shall become effective on January 1, 2025, and may only be changed by the Board of Directors. These Internal Rules shall be reviewed by the Board of Directors at least once a year.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Adopted by the Board of Directors on November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640080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 G. van de Winkel, certify that:</w:t>
      </w:r>
    </w:p>
    <w:p>
      <w:pPr>
        <w:spacing w:after="0" w:line="225" w:lineRule="exact"/>
        <w:rPr>
          <w:sz w:val="20"/>
          <w:szCs w:val="20"/>
          <w:color w:val="auto"/>
        </w:rPr>
      </w:pPr>
    </w:p>
    <w:p>
      <w:pPr>
        <w:ind w:left="720" w:hanging="352"/>
        <w:spacing w:after="0"/>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Genmab A/S;</w:t>
      </w:r>
    </w:p>
    <w:p>
      <w:pPr>
        <w:spacing w:after="0" w:line="225" w:lineRule="exact"/>
        <w:rPr>
          <w:rFonts w:ascii="Times New Roman" w:cs="Times New Roman" w:eastAsia="Times New Roman" w:hAnsi="Times New Roman"/>
          <w:sz w:val="18"/>
          <w:szCs w:val="18"/>
          <w:color w:val="auto"/>
        </w:rPr>
      </w:pPr>
    </w:p>
    <w:p>
      <w:pPr>
        <w:ind w:right="360" w:firstLine="368"/>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68"/>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right="440" w:firstLine="368"/>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are responsible for establishing and maintaining disclosure controls and procedures (as defined in Exchange Act Rules 13a-15(e) and 15d-15(e)) and internal control over financial reporting (as defined in Exchange Act Rules 13a-15(f) and 15d-15(f)) for Genmab A/S and have:</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9" w:lineRule="auto"/>
        <w:tabs>
          <w:tab w:leader="none" w:pos="1354"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740" w:right="180" w:firstLine="267"/>
        <w:spacing w:after="0" w:line="266" w:lineRule="auto"/>
        <w:tabs>
          <w:tab w:leader="none" w:pos="135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356"/>
        <w:spacing w:after="0" w:line="266" w:lineRule="auto"/>
        <w:tabs>
          <w:tab w:leader="none" w:pos="135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firstLine="356"/>
        <w:spacing w:after="0" w:line="266" w:lineRule="auto"/>
        <w:tabs>
          <w:tab w:leader="none" w:pos="13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75" w:lineRule="exact"/>
        <w:rPr>
          <w:rFonts w:ascii="Times New Roman" w:cs="Times New Roman" w:eastAsia="Times New Roman" w:hAnsi="Times New Roman"/>
          <w:sz w:val="18"/>
          <w:szCs w:val="18"/>
          <w:color w:val="auto"/>
        </w:rPr>
      </w:pPr>
    </w:p>
    <w:p>
      <w:pPr>
        <w:ind w:right="160" w:firstLine="368"/>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80" w:firstLine="356"/>
        <w:spacing w:after="0" w:line="266" w:lineRule="auto"/>
        <w:tabs>
          <w:tab w:leader="none" w:pos="135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2" w:lineRule="auto"/>
        <w:tabs>
          <w:tab w:leader="none" w:pos="136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G. van de Winkel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AMERICAS/2017215015.2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Pagano, certify that:</w:t>
      </w:r>
    </w:p>
    <w:p>
      <w:pPr>
        <w:spacing w:after="0" w:line="225" w:lineRule="exact"/>
        <w:rPr>
          <w:sz w:val="20"/>
          <w:szCs w:val="20"/>
          <w:color w:val="auto"/>
        </w:rPr>
      </w:pPr>
    </w:p>
    <w:p>
      <w:pPr>
        <w:ind w:left="720" w:hanging="352"/>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Genmab A/S;</w:t>
      </w:r>
    </w:p>
    <w:p>
      <w:pPr>
        <w:spacing w:after="0" w:line="225" w:lineRule="exact"/>
        <w:rPr>
          <w:rFonts w:ascii="Times New Roman" w:cs="Times New Roman" w:eastAsia="Times New Roman" w:hAnsi="Times New Roman"/>
          <w:sz w:val="18"/>
          <w:szCs w:val="18"/>
          <w:color w:val="auto"/>
        </w:rPr>
      </w:pPr>
    </w:p>
    <w:p>
      <w:pPr>
        <w:ind w:right="360" w:firstLine="368"/>
        <w:spacing w:after="0" w:line="266"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68"/>
        <w:spacing w:after="0" w:line="266"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right="440" w:firstLine="368"/>
        <w:spacing w:after="0" w:line="266"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are responsible for establishing and maintaining disclosure controls and procedures (as defined in Exchange Act Rules 13a-15(e) and 15d-15(e)) and internal control over financial reporting (as defined in Exchange Act Rules 13a-15(f) and 15d-15(f)) for Genmab A/S and have:</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9" w:lineRule="auto"/>
        <w:tabs>
          <w:tab w:leader="none" w:pos="1354"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740" w:right="180" w:firstLine="267"/>
        <w:spacing w:after="0" w:line="266" w:lineRule="auto"/>
        <w:tabs>
          <w:tab w:leader="none" w:pos="135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firstLine="356"/>
        <w:spacing w:after="0" w:line="266" w:lineRule="auto"/>
        <w:tabs>
          <w:tab w:leader="none" w:pos="135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firstLine="356"/>
        <w:spacing w:after="0" w:line="266" w:lineRule="auto"/>
        <w:tabs>
          <w:tab w:leader="none" w:pos="13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75" w:lineRule="exact"/>
        <w:rPr>
          <w:rFonts w:ascii="Times New Roman" w:cs="Times New Roman" w:eastAsia="Times New Roman" w:hAnsi="Times New Roman"/>
          <w:sz w:val="18"/>
          <w:szCs w:val="18"/>
          <w:color w:val="auto"/>
        </w:rPr>
      </w:pPr>
    </w:p>
    <w:p>
      <w:pPr>
        <w:ind w:right="160" w:firstLine="368"/>
        <w:spacing w:after="0" w:line="266"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80" w:firstLine="356"/>
        <w:spacing w:after="0" w:line="266" w:lineRule="auto"/>
        <w:tabs>
          <w:tab w:leader="none" w:pos="135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00" w:firstLine="356"/>
        <w:spacing w:after="0" w:line="282" w:lineRule="auto"/>
        <w:tabs>
          <w:tab w:leader="none" w:pos="13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Pagano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PRINCIPAL EXECUTIVE OFFICER CERTIFICATION PURSUANT TO 18 U.S.C. SECTION 1350, AS ADOPTED PURSUANT TO SECTION 906 OF THE SARBANES-OXLEY ACT OF 2002</w:t>
      </w:r>
    </w:p>
    <w:p>
      <w:pPr>
        <w:spacing w:after="0" w:line="38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 Jan G. van de Winkel, President and Chief Executive Officer of Genmab A/S, certify, pursuant to 18 U.S.C. §1350, as adopted pursuant to §906 of the Sarbanes-Oxley Act of 2002, that, to the best of my knowledge:</w:t>
      </w:r>
    </w:p>
    <w:p>
      <w:pPr>
        <w:spacing w:after="0" w:line="162" w:lineRule="exact"/>
        <w:rPr>
          <w:sz w:val="20"/>
          <w:szCs w:val="20"/>
          <w:color w:val="auto"/>
        </w:rPr>
      </w:pPr>
    </w:p>
    <w:p>
      <w:pPr>
        <w:ind w:left="660" w:right="540" w:firstLine="356"/>
        <w:spacing w:after="0" w:line="282" w:lineRule="auto"/>
        <w:tabs>
          <w:tab w:leader="none" w:pos="13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Genmab A/S for the period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160" w:firstLine="356"/>
        <w:spacing w:after="0" w:line="282" w:lineRule="auto"/>
        <w:tabs>
          <w:tab w:leader="none" w:pos="13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 G. van de Winkel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PRINCIPAL FINANCIAL OFFICER CERTIFICATION PURSUANT TO 18 U.S.C. SECTION 1350, AS ADOPTED PURSUANT TO SECTION 906 OF THE SARBANES-OXLEY ACT OF 2002</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Anthony Pagano, Executive Vice President and Chief Financial Officer of Genmab A/S, hereby certify, pursuant to 18 U.S.C.</w:t>
      </w:r>
    </w:p>
    <w:p>
      <w:pPr>
        <w:spacing w:after="0" w:line="27" w:lineRule="exact"/>
        <w:rPr>
          <w:sz w:val="20"/>
          <w:szCs w:val="20"/>
          <w:color w:val="auto"/>
        </w:rPr>
      </w:pPr>
    </w:p>
    <w:p>
      <w:pPr>
        <w:ind w:left="140" w:hanging="132"/>
        <w:spacing w:after="0"/>
        <w:tabs>
          <w:tab w:leader="none" w:pos="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206" w:lineRule="exact"/>
        <w:rPr>
          <w:rFonts w:ascii="Times New Roman" w:cs="Times New Roman" w:eastAsia="Times New Roman" w:hAnsi="Times New Roman"/>
          <w:sz w:val="18"/>
          <w:szCs w:val="18"/>
          <w:color w:val="auto"/>
        </w:rPr>
      </w:pPr>
    </w:p>
    <w:p>
      <w:pPr>
        <w:ind w:left="660" w:right="540" w:firstLine="356"/>
        <w:spacing w:after="0" w:line="282" w:lineRule="auto"/>
        <w:tabs>
          <w:tab w:leader="none" w:pos="13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Genmab A/S for the period ended December 31,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160" w:firstLine="356"/>
        <w:spacing w:after="0" w:line="282" w:lineRule="auto"/>
        <w:tabs>
          <w:tab w:leader="none" w:pos="13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Genmab A/S.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Pagano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AMERICAS/2017215013.2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7" w:name="page148"/>
    <w:bookmarkEnd w:id="1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333-232693, 333-253519, 333-262970 and 333-277273 on Form S-8 of our reports dated February 12, 2025, relating to the financial statements of Genmab A/S and the effectiveness of Genmab A/S’ internal control over financial reporting appearing in this Annual Report on Form 20-F for the year ended December 31,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Statsautoriseret Revisionspartnerselskab</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8" w:name="page149"/>
    <w:bookmarkEnd w:id="1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874395" cy="660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8743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333-253519, 333-232693 and 333-262970) of Genmab A/S of our report dated February 14, 2024, except for the revisions in note 4.5, as to which the date is February 12, 2025 relating to the consolidated financial statements, which appears in this Form 20-F.</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Statsautoriseret Revisionspartnerselskab</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Hellerup, Denmark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211455</wp:posOffset>
            </wp:positionV>
            <wp:extent cx="546925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5469255" cy="2540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0" w:right="2599"/>
        <w:spacing w:after="0" w:line="286" w:lineRule="auto"/>
        <w:rPr>
          <w:sz w:val="20"/>
          <w:szCs w:val="20"/>
          <w:color w:val="auto"/>
        </w:rPr>
      </w:pPr>
      <w:r>
        <w:rPr>
          <w:rFonts w:ascii="Arial" w:cs="Arial" w:eastAsia="Arial" w:hAnsi="Arial"/>
          <w:sz w:val="16"/>
          <w:szCs w:val="16"/>
          <w:color w:val="auto"/>
        </w:rPr>
        <w:t>PricewaterhouseCoopers Statsautoriseret Revisionspartnerselskab, CVR-nr. 33 77 12 31 Strandvejen 44, DK-2900 Hellerup T: 3945 3945, www.pwc.dk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313690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9" w:name="page150"/>
    <w:bookmarkEnd w:id="14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-128905</wp:posOffset>
            </wp:positionV>
            <wp:extent cx="874395" cy="6686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8743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February 12, 2025</w:t>
      </w:r>
    </w:p>
    <w:p>
      <w:pPr>
        <w:spacing w:after="0" w:line="197"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Securities and Exchange Commission</w:t>
      </w:r>
    </w:p>
    <w:p>
      <w:pPr>
        <w:ind w:left="200"/>
        <w:spacing w:after="0" w:line="228" w:lineRule="auto"/>
        <w:rPr>
          <w:sz w:val="20"/>
          <w:szCs w:val="20"/>
          <w:color w:val="auto"/>
        </w:rPr>
      </w:pPr>
      <w:r>
        <w:rPr>
          <w:rFonts w:ascii="Georgia" w:cs="Georgia" w:eastAsia="Georgia" w:hAnsi="Georgia"/>
          <w:sz w:val="20"/>
          <w:szCs w:val="20"/>
          <w:color w:val="auto"/>
        </w:rPr>
        <w:t>100 F Street, N.E.</w:t>
      </w:r>
    </w:p>
    <w:p>
      <w:pPr>
        <w:ind w:left="200"/>
        <w:spacing w:after="0" w:line="236" w:lineRule="auto"/>
        <w:rPr>
          <w:sz w:val="20"/>
          <w:szCs w:val="20"/>
          <w:color w:val="auto"/>
        </w:rPr>
      </w:pPr>
      <w:r>
        <w:rPr>
          <w:rFonts w:ascii="Georgia" w:cs="Georgia" w:eastAsia="Georgia" w:hAnsi="Georgia"/>
          <w:sz w:val="20"/>
          <w:szCs w:val="20"/>
          <w:color w:val="auto"/>
        </w:rPr>
        <w:t>Washington, DC 20549</w:t>
      </w:r>
    </w:p>
    <w:p>
      <w:pPr>
        <w:spacing w:after="0" w:line="205"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Commissioners:</w:t>
      </w:r>
    </w:p>
    <w:p>
      <w:pPr>
        <w:spacing w:after="0" w:line="209" w:lineRule="exact"/>
        <w:rPr>
          <w:sz w:val="20"/>
          <w:szCs w:val="20"/>
          <w:color w:val="auto"/>
        </w:rPr>
      </w:pPr>
    </w:p>
    <w:p>
      <w:pPr>
        <w:ind w:left="540" w:right="279"/>
        <w:spacing w:after="0" w:line="230" w:lineRule="auto"/>
        <w:rPr>
          <w:sz w:val="20"/>
          <w:szCs w:val="20"/>
          <w:color w:val="auto"/>
        </w:rPr>
      </w:pPr>
      <w:r>
        <w:rPr>
          <w:rFonts w:ascii="Georgia" w:cs="Georgia" w:eastAsia="Georgia" w:hAnsi="Georgia"/>
          <w:sz w:val="20"/>
          <w:szCs w:val="20"/>
          <w:color w:val="auto"/>
        </w:rPr>
        <w:t>We have read the statements made by Genmab A/S (copy attached), which we understand will be filed with the Securities and Exchange Commission, pursuant to item 16F of Form 20-F of Genmab A/S dated February 12, 2025. We agree with the statements concerning our Firm contained therein.</w:t>
      </w:r>
    </w:p>
    <w:p>
      <w:pPr>
        <w:spacing w:after="0" w:line="205" w:lineRule="exact"/>
        <w:rPr>
          <w:sz w:val="20"/>
          <w:szCs w:val="20"/>
          <w:color w:val="auto"/>
        </w:rPr>
      </w:pPr>
    </w:p>
    <w:p>
      <w:pPr>
        <w:ind w:left="200"/>
        <w:spacing w:after="0"/>
        <w:rPr>
          <w:sz w:val="20"/>
          <w:szCs w:val="20"/>
          <w:color w:val="auto"/>
        </w:rPr>
      </w:pPr>
      <w:r>
        <w:rPr>
          <w:rFonts w:ascii="Georgia" w:cs="Georgia" w:eastAsia="Georgia" w:hAnsi="Georgia"/>
          <w:sz w:val="20"/>
          <w:szCs w:val="20"/>
          <w:color w:val="auto"/>
        </w:rPr>
        <w:t>Very truly yours,</w:t>
      </w: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Georgia" w:cs="Georgia" w:eastAsia="Georgia" w:hAnsi="Georgia"/>
          <w:sz w:val="20"/>
          <w:szCs w:val="20"/>
          <w:color w:val="auto"/>
        </w:rPr>
        <w:t>/s/ PricewaterhouseCoopers</w:t>
      </w:r>
    </w:p>
    <w:p>
      <w:pPr>
        <w:ind w:left="540"/>
        <w:spacing w:after="0" w:line="236" w:lineRule="auto"/>
        <w:rPr>
          <w:sz w:val="20"/>
          <w:szCs w:val="20"/>
          <w:color w:val="auto"/>
        </w:rPr>
      </w:pPr>
      <w:r>
        <w:rPr>
          <w:rFonts w:ascii="Georgia" w:cs="Georgia" w:eastAsia="Georgia" w:hAnsi="Georgia"/>
          <w:sz w:val="20"/>
          <w:szCs w:val="20"/>
          <w:color w:val="auto"/>
        </w:rPr>
        <w:t>Statsautoriseret Revisionspartnerselskab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342265</wp:posOffset>
            </wp:positionV>
            <wp:extent cx="545211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0" w:name="page151"/>
    <w:bookmarkEnd w:id="150"/>
    <w:p>
      <w:pPr>
        <w:ind w:left="200"/>
        <w:spacing w:after="0"/>
        <w:rPr>
          <w:sz w:val="20"/>
          <w:szCs w:val="20"/>
          <w:color w:val="auto"/>
        </w:rPr>
      </w:pPr>
      <w:r>
        <w:rPr>
          <w:rFonts w:ascii="Georgia" w:cs="Georgia" w:eastAsia="Georgia" w:hAnsi="Georgia"/>
          <w:sz w:val="18"/>
          <w:szCs w:val="18"/>
          <w:color w:val="auto"/>
        </w:rPr>
        <w:t>Attachment:</w:t>
      </w:r>
    </w:p>
    <w:p>
      <w:pPr>
        <w:spacing w:after="0" w:line="376"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ITEM 16F. CHANGE IN REGISTRANT'S CERTIFYING ACCOUNTANT</w:t>
      </w:r>
    </w:p>
    <w:p>
      <w:pPr>
        <w:spacing w:after="0" w:line="350" w:lineRule="exact"/>
        <w:rPr>
          <w:sz w:val="20"/>
          <w:szCs w:val="20"/>
          <w:color w:val="auto"/>
        </w:rPr>
      </w:pPr>
    </w:p>
    <w:p>
      <w:pPr>
        <w:ind w:left="200" w:right="259"/>
        <w:spacing w:after="0" w:line="237" w:lineRule="auto"/>
        <w:rPr>
          <w:sz w:val="20"/>
          <w:szCs w:val="20"/>
          <w:color w:val="auto"/>
        </w:rPr>
      </w:pPr>
      <w:r>
        <w:rPr>
          <w:rFonts w:ascii="Georgia" w:cs="Georgia" w:eastAsia="Georgia" w:hAnsi="Georgia"/>
          <w:sz w:val="18"/>
          <w:szCs w:val="18"/>
          <w:color w:val="auto"/>
        </w:rPr>
        <w:t>As a result of mandatory rotation of independent audit firms for public companies in Denmark, as established by the European Union regulations, Genmab could not renew PricewaterhouseCoopers Statsautoriseret Revisionspartnerselskab (“PwC”) contract for the fiscal year beginning January 1, 2024. Accordingly, the Board of Directors in accordance with a recommendation from the Audit and Finance Committee proposed the appointment of Deloitte Statsautoriseret Revisionspartnerselskab (“Deloitte”) as Genmab’s new statutory auditor and independent registered public accounting firm. Deloitte was confirmed as statutory auditor for the fiscal year beginning January 1, 2024 at the annual general meeting held on March 13, 2024, replacing PwC. PwC was dismissed as Genmab’s independent registered public accounting firm on February 14, 2024 upon the issuance of its audit report in respect of the fiscal year ended December 31, 2023.</w:t>
      </w:r>
    </w:p>
    <w:p>
      <w:pPr>
        <w:spacing w:after="0" w:line="208" w:lineRule="exact"/>
        <w:rPr>
          <w:sz w:val="20"/>
          <w:szCs w:val="20"/>
          <w:color w:val="auto"/>
        </w:rPr>
      </w:pPr>
    </w:p>
    <w:p>
      <w:pPr>
        <w:jc w:val="both"/>
        <w:ind w:left="200" w:right="339"/>
        <w:spacing w:after="0" w:line="237" w:lineRule="auto"/>
        <w:rPr>
          <w:sz w:val="20"/>
          <w:szCs w:val="20"/>
          <w:color w:val="auto"/>
        </w:rPr>
      </w:pPr>
      <w:r>
        <w:rPr>
          <w:rFonts w:ascii="Georgia" w:cs="Georgia" w:eastAsia="Georgia" w:hAnsi="Georgia"/>
          <w:sz w:val="18"/>
          <w:szCs w:val="18"/>
          <w:color w:val="auto"/>
        </w:rPr>
        <w:t>PwC’s audit reports on Genmab’s consolidated financial statements for the years ended December 31, 2023 and 2022 contained no adverse opinion or a disclaimer of opinion and were not qualified or modified as to uncertainty, audit scope, or accounting principle.</w:t>
      </w:r>
    </w:p>
    <w:p>
      <w:pPr>
        <w:spacing w:after="0" w:line="204" w:lineRule="exact"/>
        <w:rPr>
          <w:sz w:val="20"/>
          <w:szCs w:val="20"/>
          <w:color w:val="auto"/>
        </w:rPr>
      </w:pPr>
    </w:p>
    <w:p>
      <w:pPr>
        <w:ind w:left="200" w:right="259"/>
        <w:spacing w:after="0" w:line="237" w:lineRule="auto"/>
        <w:rPr>
          <w:sz w:val="20"/>
          <w:szCs w:val="20"/>
          <w:color w:val="auto"/>
        </w:rPr>
      </w:pPr>
      <w:r>
        <w:rPr>
          <w:rFonts w:ascii="Georgia" w:cs="Georgia" w:eastAsia="Georgia" w:hAnsi="Georgia"/>
          <w:sz w:val="18"/>
          <w:szCs w:val="18"/>
          <w:color w:val="auto"/>
        </w:rPr>
        <w:t>During the years ended December 31, 2023 and 2022, and through February 14, 2024, there have been (i) no disagreements between Genmab and PwC on any matters of accounting principles or practices, financial statement disclosure, or auditing scope or procedure, which disagreement, if not resolved to the satisfaction of PwC, would have caused PwC to make reference thereto in their reports on the financial statements for such years, and (ii) no “reportable events” as that term is defined in Item 16F(a)(1)(v) of Form 20-F, except for the material weakness in the Company’s internal control over financial reporting as reported in Item 15 of the Company’s Annual Report on Form 20-F for the year-ended December 31, 2023 relating to the design and maintenance of effective controls to assess and account for royalty revenue reduction provisions within agreements with collaboration partners.</w:t>
      </w:r>
    </w:p>
    <w:p>
      <w:pPr>
        <w:spacing w:after="0" w:line="207" w:lineRule="exact"/>
        <w:rPr>
          <w:sz w:val="20"/>
          <w:szCs w:val="20"/>
          <w:color w:val="auto"/>
        </w:rPr>
      </w:pPr>
    </w:p>
    <w:p>
      <w:pPr>
        <w:ind w:left="200" w:right="279"/>
        <w:spacing w:after="0" w:line="237" w:lineRule="auto"/>
        <w:rPr>
          <w:sz w:val="20"/>
          <w:szCs w:val="20"/>
          <w:color w:val="auto"/>
        </w:rPr>
      </w:pPr>
      <w:r>
        <w:rPr>
          <w:rFonts w:ascii="Georgia" w:cs="Georgia" w:eastAsia="Georgia" w:hAnsi="Georgia"/>
          <w:sz w:val="18"/>
          <w:szCs w:val="18"/>
          <w:color w:val="auto"/>
        </w:rPr>
        <w:t>Genmab has provided PwC with a copy of the foregoing disclosure under this Item 16F and has requested PwC to furnish Genmab with a letter addressed to the Securities and Exchange Commission stating whether or not PwC agrees with such disclosure. A copy of PwC's letter dated February 12, 2025 is provided as Exhibit 15.4 of this Annual Report on Form 20-F.</w:t>
      </w:r>
    </w:p>
    <w:p>
      <w:pPr>
        <w:spacing w:after="0" w:line="205" w:lineRule="exact"/>
        <w:rPr>
          <w:sz w:val="20"/>
          <w:szCs w:val="20"/>
          <w:color w:val="auto"/>
        </w:rPr>
      </w:pPr>
    </w:p>
    <w:p>
      <w:pPr>
        <w:ind w:left="200" w:right="319"/>
        <w:spacing w:after="0" w:line="237" w:lineRule="auto"/>
        <w:rPr>
          <w:sz w:val="20"/>
          <w:szCs w:val="20"/>
          <w:color w:val="auto"/>
        </w:rPr>
      </w:pPr>
      <w:r>
        <w:rPr>
          <w:rFonts w:ascii="Georgia" w:cs="Georgia" w:eastAsia="Georgia" w:hAnsi="Georgia"/>
          <w:sz w:val="18"/>
          <w:szCs w:val="18"/>
          <w:color w:val="auto"/>
        </w:rPr>
        <w:t>During the years ended December 31, 2023 and 2022 and through March 13, 2024, neither Genmab nor anyone on its behalf consulted Deloitte in relation to either: (1) the application of accounting principles to a specified transaction, either completed or proposed, or the type of audit opinion that might be rendered on Genmab’s consolidated financial statements and neither a written report was provided to Genmab or oral advice was provided that Deloitte concluded was an important factor considered by Genmab in reaching a decision as to the accounting, auditing or financial reporting issue or (2) any matter that was either the subject of a disagreement (as defined in Item 16F(a)(1)(iv)) of Form 20-F or a reportable event as that term is defined in Item 16F(a)(1)(v) of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347345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lowerRoman"/>
      <w:start w:val="1"/>
    </w:lvl>
  </w:abstractNum>
  <w:abstractNum w:abstractNumId="18">
    <w:nsid w:val="12E685FB"/>
    <w:multiLevelType w:val="hybridMultilevel"/>
    <w:lvl w:ilvl="0">
      <w:lvlJc w:val="left"/>
      <w:lvlText w:val="%1."/>
      <w:numFmt w:val="upperLetter"/>
      <w:start w:val="2"/>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upperLetter"/>
      <w:start w:val="39"/>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upperLetter"/>
      <w:start w:val="4"/>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upperLetter"/>
      <w:start w:val="2"/>
    </w:lvl>
  </w:abstractNum>
  <w:abstractNum w:abstractNumId="33">
    <w:nsid w:val="741226BB"/>
    <w:multiLevelType w:val="hybridMultilevel"/>
    <w:lvl w:ilvl="0">
      <w:lvlJc w:val="left"/>
      <w:lvlText w:val="%1."/>
      <w:numFmt w:val="upperLetter"/>
      <w:start w:val="3"/>
    </w:lvl>
  </w:abstractNum>
  <w:abstractNum w:abstractNumId="34">
    <w:nsid w:val="D34B6A8"/>
    <w:multiLevelType w:val="hybridMultilevel"/>
    <w:lvl w:ilvl="0">
      <w:lvlJc w:val="left"/>
      <w:lvlText w:val="%1."/>
      <w:numFmt w:val="upperLetter"/>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upperLetter"/>
      <w:start w:val="1"/>
    </w:lvl>
    <w:lvl w:ilvl="1">
      <w:lvlJc w:val="left"/>
      <w:lvlText w:val="●"/>
      <w:numFmt w:val="bullet"/>
      <w:start w:val="1"/>
    </w:lvl>
  </w:abstractNum>
  <w:abstractNum w:abstractNumId="43">
    <w:nsid w:val="2F305DEF"/>
    <w:multiLevelType w:val="hybridMultilevel"/>
    <w:lvl w:ilvl="0">
      <w:lvlJc w:val="left"/>
      <w:lvlText w:val="%1."/>
      <w:numFmt w:val="upperLetter"/>
      <w:start w:val="6"/>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upperLetter"/>
      <w:start w:val="3"/>
    </w:lvl>
  </w:abstractNum>
  <w:abstractNum w:abstractNumId="47">
    <w:nsid w:val="1F48EAA1"/>
    <w:multiLevelType w:val="hybridMultilevel"/>
    <w:lvl w:ilvl="0">
      <w:lvlJc w:val="left"/>
      <w:lvlText w:val="%1."/>
      <w:numFmt w:val="upperLetter"/>
      <w:start w:val="1"/>
    </w:lvl>
  </w:abstractNum>
  <w:abstractNum w:abstractNumId="48">
    <w:nsid w:val="1381823A"/>
    <w:multiLevelType w:val="hybridMultilevel"/>
    <w:lvl w:ilvl="0">
      <w:lvlJc w:val="left"/>
      <w:lvlText w:val="%1."/>
      <w:numFmt w:val="upperLetter"/>
      <w:start w:val="2"/>
    </w:lvl>
  </w:abstractNum>
  <w:abstractNum w:abstractNumId="49">
    <w:nsid w:val="5DB70AE5"/>
    <w:multiLevelType w:val="hybridMultilevel"/>
    <w:lvl w:ilvl="0">
      <w:lvlJc w:val="left"/>
      <w:lvlText w:val="%1."/>
      <w:numFmt w:val="upperLetter"/>
      <w:start w:val="2"/>
    </w:lvl>
  </w:abstractNum>
  <w:abstractNum w:abstractNumId="50">
    <w:nsid w:val="100F8FCA"/>
    <w:multiLevelType w:val="hybridMultilevel"/>
    <w:lvl w:ilvl="0">
      <w:lvlJc w:val="left"/>
      <w:lvlText w:val="%1."/>
      <w:numFmt w:val="upperLetter"/>
      <w:start w:val="4"/>
    </w:lvl>
  </w:abstractNum>
  <w:abstractNum w:abstractNumId="51">
    <w:nsid w:val="6590700B"/>
    <w:multiLevelType w:val="hybridMultilevel"/>
    <w:lvl w:ilvl="0">
      <w:lvlJc w:val="left"/>
      <w:lvlText w:val="%1."/>
      <w:numFmt w:val="upperLetter"/>
      <w:start w:val="6"/>
    </w:lvl>
  </w:abstractNum>
  <w:abstractNum w:abstractNumId="52">
    <w:nsid w:val="15014ACB"/>
    <w:multiLevelType w:val="hybridMultilevel"/>
    <w:lvl w:ilvl="0">
      <w:lvlJc w:val="left"/>
      <w:lvlText w:val="%1."/>
      <w:numFmt w:val="upperLetter"/>
      <w:start w:val="1"/>
    </w:lvl>
  </w:abstractNum>
  <w:abstractNum w:abstractNumId="53">
    <w:nsid w:val="5F5E7FD0"/>
    <w:multiLevelType w:val="hybridMultilevel"/>
    <w:lvl w:ilvl="0">
      <w:lvlJc w:val="left"/>
      <w:lvlText w:val="%1."/>
      <w:numFmt w:val="upperLetter"/>
      <w:start w:val="5"/>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upperLetter"/>
      <w:start w:val="7"/>
    </w:lvl>
  </w:abstractNum>
  <w:abstractNum w:abstractNumId="59">
    <w:nsid w:val="1EBA5D23"/>
    <w:multiLevelType w:val="hybridMultilevel"/>
    <w:lvl w:ilvl="0">
      <w:lvlJc w:val="left"/>
      <w:lvlText w:val="%1."/>
      <w:numFmt w:val="upperLetter"/>
      <w:start w:val="9"/>
    </w:lvl>
  </w:abstractNum>
  <w:abstractNum w:abstractNumId="60">
    <w:nsid w:val="661E3F1E"/>
    <w:multiLevelType w:val="hybridMultilevel"/>
    <w:lvl w:ilvl="0">
      <w:lvlJc w:val="left"/>
      <w:lvlText w:val="%1."/>
      <w:numFmt w:val="upperLetter"/>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amp;"/>
      <w:numFmt w:val="bullet"/>
      <w:start w:val="1"/>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2"/>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lowerRoman"/>
      <w:start w:val="2"/>
    </w:lvl>
  </w:abstractNum>
  <w:abstractNum w:abstractNumId="74">
    <w:nsid w:val="4962813B"/>
    <w:multiLevelType w:val="hybridMultilevel"/>
    <w:lvl w:ilvl="0">
      <w:lvlJc w:val="left"/>
      <w:lvlText w:val="%1."/>
      <w:numFmt w:val="decimal"/>
      <w:start w:val="4"/>
    </w:lvl>
    <w:lvl w:ilvl="1">
      <w:lvlJc w:val="left"/>
      <w:lvlText w:val="●"/>
      <w:numFmt w:val="bullet"/>
      <w:start w:val="1"/>
    </w:lvl>
  </w:abstractNum>
  <w:abstractNum w:abstractNumId="75">
    <w:nsid w:val="60B6DF70"/>
    <w:multiLevelType w:val="hybridMultilevel"/>
    <w:lvl w:ilvl="0">
      <w:lvlJc w:val="left"/>
      <w:lvlText w:val="%1."/>
      <w:numFmt w:val="decimal"/>
      <w:start w:val="6"/>
    </w:lvl>
    <w:lvl w:ilvl="1">
      <w:lvlJc w:val="left"/>
      <w:lvlText w:val="●"/>
      <w:numFmt w:val="bullet"/>
      <w:start w:val="1"/>
    </w:lvl>
  </w:abstractNum>
  <w:abstractNum w:abstractNumId="76">
    <w:nsid w:val="6A5EE64"/>
    <w:multiLevelType w:val="hybridMultilevel"/>
    <w:lvl w:ilvl="0">
      <w:lvlJc w:val="left"/>
      <w:lvlText w:val="%1)"/>
      <w:numFmt w:val="lowerRoman"/>
      <w:start w:val="2"/>
    </w:lvl>
  </w:abstractNum>
  <w:abstractNum w:abstractNumId="77">
    <w:nsid w:val="14330624"/>
    <w:multiLevelType w:val="hybridMultilevel"/>
    <w:lvl w:ilvl="0">
      <w:lvlJc w:val="left"/>
      <w:lvlText w:val="%1."/>
      <w:numFmt w:val="decimal"/>
      <w:start w:val="14"/>
    </w:lvl>
  </w:abstractNum>
  <w:abstractNum w:abstractNumId="78">
    <w:nsid w:val="7FFFCA11"/>
    <w:multiLevelType w:val="hybridMultilevel"/>
    <w:lvl w:ilvl="0">
      <w:lvlJc w:val="left"/>
      <w:lvlText w:val="%1)"/>
      <w:numFmt w:val="lowerLetter"/>
      <w:start w:val="6"/>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1."/>
      <w:numFmt w:val="decimal"/>
      <w:start w:val="13"/>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51" Type="http://schemas.openxmlformats.org/officeDocument/2006/relationships/image" Target="media/image131.png"/><Relationship Id="rId158"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jpe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jpeg"/><Relationship Id="rId192" Type="http://schemas.openxmlformats.org/officeDocument/2006/relationships/image" Target="media/image164.png"/><Relationship Id="rId193" Type="http://schemas.openxmlformats.org/officeDocument/2006/relationships/image" Target="media/image165.png"/><Relationship Id="rId13" Type="http://schemas.openxmlformats.org/officeDocument/2006/relationships/hyperlink" Target="https://www.sec.gov/Archives/edgar/data/1434265/000155837025000831/gmab-20241231xex99d1a.htm" TargetMode="External"/><Relationship Id="rId116" Type="http://schemas.openxmlformats.org/officeDocument/2006/relationships/hyperlink" Target="https://www.sec.gov/Archives/edgar/data/1434265/000104746919004269/a2239300z424b4.htm" TargetMode="External"/><Relationship Id="rId140" Type="http://schemas.openxmlformats.org/officeDocument/2006/relationships/hyperlink" Target="https://www.sec.gov/Archives/edgar/data/1434265/000155837025000482/tmb-20250129xex3d1.htm" TargetMode="External"/><Relationship Id="rId141" Type="http://schemas.openxmlformats.org/officeDocument/2006/relationships/hyperlink" Target="http://www.sec.gov/Archives/edgar/data/1434265/000095012719000057/a19-27_ex4.htm" TargetMode="External"/><Relationship Id="rId142" Type="http://schemas.openxmlformats.org/officeDocument/2006/relationships/hyperlink" Target="https://www.sec.gov/Archives/edgar/data/1434265/000155837021003598/tmb-20201231xex2d3.htm" TargetMode="External"/><Relationship Id="rId143" Type="http://schemas.openxmlformats.org/officeDocument/2006/relationships/hyperlink" Target="https://www.sec.gov/Archives/edgar/data/1434265/000104746919003334/a2238822zex-10_1.htm" TargetMode="External"/><Relationship Id="rId144" Type="http://schemas.openxmlformats.org/officeDocument/2006/relationships/hyperlink" Target="http://www.sec.gov/Archives/edgar/data/1434265/000104746919003334/a2238822zex-10_2.htm" TargetMode="External"/><Relationship Id="rId145" Type="http://schemas.openxmlformats.org/officeDocument/2006/relationships/hyperlink" Target="http://www.sec.gov/Archives/edgar/data/1434265/000104746919003334/a2238822zex-10_3.htm" TargetMode="External"/><Relationship Id="rId146" Type="http://schemas.openxmlformats.org/officeDocument/2006/relationships/hyperlink" Target="https://www.sec.gov/Archives/edgar/data/0001434265/000155837021003598/tmb-20201231xex4d5.htm" TargetMode="External"/><Relationship Id="rId147" Type="http://schemas.openxmlformats.org/officeDocument/2006/relationships/hyperlink" Target="http://www.sec.gov/Archives/edgar/data/1434265/000104746919003334/a2238822zex-10_5.htm" TargetMode="External"/><Relationship Id="rId148" Type="http://schemas.openxmlformats.org/officeDocument/2006/relationships/hyperlink" Target="http://www.sec.gov/Archives/edgar/data/1434265/000104746919003334/a2238822zex-10_6.htm" TargetMode="External"/><Relationship Id="rId149" Type="http://schemas.openxmlformats.org/officeDocument/2006/relationships/hyperlink" Target="http://www.sec.gov/Archives/edgar/data/1434265/000104746919003334/a2238822zex-10_7.htm" TargetMode="External"/><Relationship Id="rId150" Type="http://schemas.openxmlformats.org/officeDocument/2006/relationships/hyperlink" Target="http://www.sec.gov/Archives/edgar/data/1434265/000104746919003334/a2238822zex-10_8.htm" TargetMode="External"/><Relationship Id="rId152" Type="http://schemas.openxmlformats.org/officeDocument/2006/relationships/hyperlink" Target="http://www.sec.gov/Archives/edgar/data/1434265/000104746919003334/a2238822zex-10_9.htm" TargetMode="External"/><Relationship Id="rId153" Type="http://schemas.openxmlformats.org/officeDocument/2006/relationships/hyperlink" Target="http://www.sec.gov/Archives/edgar/data/1434265/000104746919003334/a2238822zex-10_10.htm" TargetMode="External"/><Relationship Id="rId154" Type="http://schemas.openxmlformats.org/officeDocument/2006/relationships/hyperlink" Target="http://www.sec.gov/Archives/edgar/data/1434265/000104746919003334/a2238822zex-10_11.htm" TargetMode="External"/><Relationship Id="rId155" Type="http://schemas.openxmlformats.org/officeDocument/2006/relationships/hyperlink" Target="https://www.sec.gov/Archives/edgar/data/1434265/000104746919003334/a2238822zex-10_12.htm" TargetMode="External"/><Relationship Id="rId156" Type="http://schemas.openxmlformats.org/officeDocument/2006/relationships/hyperlink" Target="https://www.sec.gov/Archives/edgar/data/1434265/000155837021003598/tmb-20201231xex4d14.htm" TargetMode="External"/><Relationship Id="rId157" Type="http://schemas.openxmlformats.org/officeDocument/2006/relationships/hyperlink" Target="https://www.sec.gov/Archives/edgar/data/1434265/000155837023001716/gmab-20221231xex4d15.htm" TargetMode="External"/><Relationship Id="rId159" Type="http://schemas.openxmlformats.org/officeDocument/2006/relationships/hyperlink" Target="https://www.sec.gov/Archives/edgar/data/1434265/000155837024001137/gmab-20231231xex97.htm" TargetMode="External"/><Relationship Id="rId160" Type="http://schemas.openxmlformats.org/officeDocument/2006/relationships/hyperlink" Target="https://www.sec.gov/ix?doc=/Archives/edgar/data/1434265/000155837025000831/gmab-20241231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2025-02-12T12:11:41Z</dcterms:created>
  <dcterms:modified xsi:type="dcterms:W3CDTF">2025-02-12T12:11:41Z</dcterms:modified>
</cp:coreProperties>
</file>