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MARCH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560" w:type="dxa"/>
            <w:vAlign w:val="bottom"/>
            <w:gridSpan w:val="2"/>
          </w:tcPr>
          <w:p>
            <w:pPr>
              <w:ind w:left="1740"/>
              <w:spacing w:after="0"/>
              <w:rPr>
                <w:sz w:val="20"/>
                <w:szCs w:val="20"/>
                <w:color w:val="auto"/>
              </w:rPr>
            </w:pPr>
            <w:r>
              <w:rPr>
                <w:rFonts w:ascii="Arial" w:cs="Arial" w:eastAsia="Arial" w:hAnsi="Arial"/>
                <w:sz w:val="18"/>
                <w:szCs w:val="18"/>
                <w:b w:val="1"/>
                <w:bCs w:val="1"/>
                <w:color w:val="auto"/>
              </w:rPr>
              <w:t>EXHIBIT INDEX</w:t>
            </w:r>
          </w:p>
        </w:tc>
      </w:tr>
      <w:tr>
        <w:trPr>
          <w:trHeight w:val="690"/>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770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80" w:type="dxa"/>
            <w:vAlign w:val="bottom"/>
          </w:tcPr>
          <w:p>
            <w:pPr>
              <w:spacing w:after="0"/>
              <w:rPr>
                <w:sz w:val="24"/>
                <w:szCs w:val="24"/>
                <w:color w:val="auto"/>
              </w:rPr>
            </w:pPr>
          </w:p>
        </w:tc>
        <w:tc>
          <w:tcPr>
            <w:tcW w:w="77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w w:val="99"/>
              </w:rPr>
              <w:t>Company Announcement Dated March 19, 2026: Passing of Genmab A/S’ Annual General Meeting</w:t>
            </w: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r>
    </w:tbl>
    <w:p>
      <w:pPr>
        <w:sectPr>
          <w:pgSz w:w="11900" w:h="16838" w:orient="portrait"/>
          <w:cols w:equalWidth="0" w:num="1">
            <w:col w:w="10059"/>
          </w:cols>
          <w:pgMar w:left="400" w:top="1440"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35"/>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Pagano</w:t>
            </w:r>
          </w:p>
        </w:tc>
      </w:tr>
      <w:tr>
        <w:trPr>
          <w:trHeight w:val="218"/>
        </w:trPr>
        <w:tc>
          <w:tcPr>
            <w:tcW w:w="7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Name: Anthony Pagano</w:t>
            </w:r>
          </w:p>
        </w:tc>
      </w:tr>
      <w:tr>
        <w:trPr>
          <w:trHeight w:val="239"/>
        </w:trPr>
        <w:tc>
          <w:tcPr>
            <w:tcW w:w="7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Executive Vice President &amp; Chief Financial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MARCH 19, 2026</w:t>
      </w:r>
    </w:p>
    <w:p>
      <w:pPr>
        <w:sectPr>
          <w:pgSz w:w="11900" w:h="16838" w:orient="portrait"/>
          <w:cols w:equalWidth="0" w:num="1">
            <w:col w:w="10980"/>
          </w:cols>
          <w:pgMar w:left="320" w:top="125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163195</wp:posOffset>
            </wp:positionV>
            <wp:extent cx="131127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Passing of Genmab A/S’ Annual General Meeting</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Announcement</w:t>
      </w:r>
    </w:p>
    <w:p>
      <w:pPr>
        <w:spacing w:after="0" w:line="25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At Genmab A/S’ Annual General Meeting held today March 19, 2026, the Annual Report for 2025 was approved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Discharge was given to the Board of Directors and the Executive Management and the year’s profit was carried forward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The 2025 Compensation Report was approved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Six members of the Board of Directors were re-elected</w:t>
      </w:r>
    </w:p>
    <w:p>
      <w:pPr>
        <w:spacing w:after="0" w:line="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Deloitte was re-elected as the auditor of the Company</w:t>
      </w:r>
    </w:p>
    <w:p>
      <w:pPr>
        <w:spacing w:after="0" w:line="8" w:lineRule="exact"/>
        <w:rPr>
          <w:rFonts w:ascii="Times New Roman" w:cs="Times New Roman" w:eastAsia="Times New Roman" w:hAnsi="Times New Roman"/>
          <w:sz w:val="18"/>
          <w:szCs w:val="18"/>
          <w:color w:val="auto"/>
        </w:rPr>
      </w:pPr>
    </w:p>
    <w:p>
      <w:pPr>
        <w:ind w:left="660" w:right="860" w:hanging="328"/>
        <w:spacing w:after="0" w:line="274" w:lineRule="auto"/>
        <w:tabs>
          <w:tab w:leader="none" w:pos="65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The proposal from the Board of Directors to reduce the Company’s share capital with nominally DKK 1,900,000 by cancellation of the Company's holding of shares was adopted</w:t>
      </w:r>
    </w:p>
    <w:p>
      <w:pPr>
        <w:spacing w:after="0" w:line="18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 xml:space="preserve">COPENHAGEN, Denmark; March 19, 2026 – Genmab A/S (Nasdaq: GMAB) held its Annual General Meeting, today at the Copenhagen Marriott Hotel, Copenhagen, Denmark. </w:t>
      </w:r>
      <w:r>
        <w:rPr>
          <w:rFonts w:ascii="Arial" w:cs="Arial" w:eastAsia="Arial" w:hAnsi="Arial"/>
          <w:sz w:val="17"/>
          <w:szCs w:val="17"/>
          <w:color w:val="auto"/>
        </w:rPr>
        <w:t>At the meeting, Deirdre P. Connelly, Chair of the Board of Directors gave – on behalf</w:t>
      </w:r>
    </w:p>
    <w:p>
      <w:pPr>
        <w:ind w:right="20"/>
        <w:spacing w:after="0" w:line="258" w:lineRule="auto"/>
        <w:rPr>
          <w:sz w:val="20"/>
          <w:szCs w:val="20"/>
          <w:color w:val="auto"/>
        </w:rPr>
      </w:pPr>
      <w:r>
        <w:rPr>
          <w:rFonts w:ascii="Arial" w:cs="Arial" w:eastAsia="Arial" w:hAnsi="Arial"/>
          <w:sz w:val="18"/>
          <w:szCs w:val="18"/>
          <w:color w:val="auto"/>
        </w:rPr>
        <w:t>of the Board of Directors – a report on the Company’s activities during the past year. Chief Executive Officer Dr. Jan van de Winkel presented the Company’s plans for 2026, and Chief Financial Officer Mr. Anthony Pagano presented the Annual Report for 2025 endorsed by the auditors. The report was approved, and discharge was given to the Board of Directors and the Executive Management.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It was decided that the year’s profit of USD 963 million be carried forward by transfer to retained earnings, as stated in the Annual Report.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2025 Compensation Report was approved.</w:t>
      </w:r>
    </w:p>
    <w:p>
      <w:pPr>
        <w:spacing w:after="0" w:line="252"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Ms. Deirdre P. Connelly, Ms. Pernille Erenbjerg, Mr. Rolf Hoffmann, Ms. Elizabeth O’Farrell, Dr. Paolo Paoletti and Dr. Anders Gersel Pedersen were re-elected to the Board of Directors for a one-year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Deloitte Statsautoriseret Revisionspartnerselskab was re-elected as the Company’s auditor.</w:t>
      </w:r>
    </w:p>
    <w:p>
      <w:pPr>
        <w:spacing w:after="0" w:line="25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General Meeting adopted the proposal from the Board of Directors to reduce the Company’s share capital for the purpose of cancelling treasury shares.</w:t>
      </w:r>
    </w:p>
    <w:p>
      <w:pPr>
        <w:spacing w:after="0" w:line="18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proposal from the Board of Directors on the Board of Directors’ remuneration for 2026 was withdrawn. A proposal will be put forward in due course for consideration by shareholders.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Genmab</w:t>
      </w:r>
    </w:p>
    <w:p>
      <w:pPr>
        <w:spacing w:after="0" w:line="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spacing w:after="0" w:line="19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Established in 1999, Genmab is headquartered in Copenhagen, Denmark, with international presence across North America, Europe and Asia Pacific. For more information, please visit Genmab.com and follow us on LinkedIn and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17</w:t>
            </w:r>
          </w:p>
        </w:tc>
        <w:tc>
          <w:tcPr>
            <w:tcW w:w="0" w:type="dxa"/>
            <w:vAlign w:val="bottom"/>
          </w:tcPr>
          <w:p>
            <w:pPr>
              <w:spacing w:after="0"/>
              <w:rPr>
                <w:sz w:val="1"/>
                <w:szCs w:val="1"/>
                <w:color w:val="auto"/>
              </w:rPr>
            </w:pPr>
          </w:p>
        </w:tc>
      </w:tr>
      <w:tr>
        <w:trPr>
          <w:trHeight w:val="148"/>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Page 1/2</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 w:name="page5"/>
    <w:bookmarkEnd w:id="4"/>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4734560</wp:posOffset>
            </wp:positionH>
            <wp:positionV relativeFrom="page">
              <wp:posOffset>397510</wp:posOffset>
            </wp:positionV>
            <wp:extent cx="1311275"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auto"/>
        </w:rPr>
        <w:t>Passing of Genmab A/S’ Annual General Meeting</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4" w:lineRule="exact"/>
        <w:rPr>
          <w:sz w:val="20"/>
          <w:szCs w:val="20"/>
          <w:color w:val="auto"/>
        </w:rPr>
      </w:pPr>
    </w:p>
    <w:p>
      <w:pPr>
        <w:ind w:right="4680"/>
        <w:spacing w:after="0" w:line="237" w:lineRule="auto"/>
        <w:rPr>
          <w:sz w:val="20"/>
          <w:szCs w:val="20"/>
          <w:color w:val="auto"/>
        </w:rPr>
      </w:pPr>
      <w:r>
        <w:rPr>
          <w:rFonts w:ascii="Arial" w:cs="Arial" w:eastAsia="Arial" w:hAnsi="Arial"/>
          <w:sz w:val="18"/>
          <w:szCs w:val="18"/>
          <w:color w:val="auto"/>
        </w:rPr>
        <w:t>Marisol Peron, Senior Vice President, Global Communications &amp; Corporate Affairs T: +1 609 524 0065; E: mmp@genmab.com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 +45 3377 9558; E: acn@genmab.com</w:t>
      </w:r>
    </w:p>
    <w:p>
      <w:pPr>
        <w:spacing w:after="0" w:line="232"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i w:val="1"/>
          <w:iCs w:val="1"/>
          <w:color w:val="auto"/>
        </w:rPr>
        <w:t>This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www.genmab.com and the risk factors included in Genmab’s most recent Annual Report on Form 20-F and other filings with the U.S. Securities and Exchange Commission (SEC), which are available at www.sec.gov. Genmab does not undertake any obligation to update or revise forward looking statements in this Company Announcement nor to confirm such statements to reflect subsequent events or circumstances after the date made or in relation to actual results, unless required by law.</w:t>
      </w:r>
    </w:p>
    <w:p>
      <w:pPr>
        <w:spacing w:after="0" w:line="377" w:lineRule="exact"/>
        <w:rPr>
          <w:sz w:val="20"/>
          <w:szCs w:val="20"/>
          <w:color w:val="auto"/>
        </w:rPr>
      </w:pPr>
    </w:p>
    <w:p>
      <w:pPr>
        <w:ind w:right="60"/>
        <w:spacing w:after="0" w:line="222" w:lineRule="auto"/>
        <w:rPr>
          <w:sz w:val="20"/>
          <w:szCs w:val="20"/>
          <w:color w:val="auto"/>
        </w:rPr>
      </w:pPr>
      <w:r>
        <w:rPr>
          <w:rFonts w:ascii="Arial" w:cs="Arial" w:eastAsia="Arial" w:hAnsi="Arial"/>
          <w:sz w:val="14"/>
          <w:szCs w:val="14"/>
          <w:i w:val="1"/>
          <w:iCs w:val="1"/>
          <w:color w:val="auto"/>
        </w:rPr>
        <w:t>Genmab A/S and/or its subsidiaries own the following trademarks: Genmab</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Genmab in combination with the Y-shaped Genmab logo</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HuMax</w:t>
      </w:r>
      <w:r>
        <w:rPr>
          <w:rFonts w:ascii="Arial" w:cs="Arial" w:eastAsia="Arial" w:hAnsi="Arial"/>
          <w:sz w:val="18"/>
          <w:szCs w:val="18"/>
          <w:i w:val="1"/>
          <w:iCs w:val="1"/>
          <w:color w:val="auto"/>
          <w:vertAlign w:val="superscript"/>
        </w:rPr>
        <w:t>®</w:t>
      </w:r>
      <w:r>
        <w:rPr>
          <w:rFonts w:ascii="Arial" w:cs="Arial" w:eastAsia="Arial" w:hAnsi="Arial"/>
          <w:sz w:val="14"/>
          <w:szCs w:val="14"/>
          <w:i w:val="1"/>
          <w:iCs w:val="1"/>
          <w:color w:val="auto"/>
        </w:rPr>
        <w:t>; DuoBody</w:t>
      </w:r>
      <w:r>
        <w:rPr>
          <w:rFonts w:ascii="Arial" w:cs="Arial" w:eastAsia="Arial" w:hAnsi="Arial"/>
          <w:sz w:val="9"/>
          <w:szCs w:val="9"/>
          <w:i w:val="1"/>
          <w:iCs w:val="1"/>
          <w:color w:val="auto"/>
        </w:rPr>
        <w:t>®</w:t>
      </w:r>
      <w:r>
        <w:rPr>
          <w:rFonts w:ascii="Arial" w:cs="Arial" w:eastAsia="Arial" w:hAnsi="Arial"/>
          <w:sz w:val="14"/>
          <w:szCs w:val="14"/>
          <w:i w:val="1"/>
          <w:iCs w:val="1"/>
          <w:color w:val="auto"/>
        </w:rPr>
        <w:t>; HexaBody</w:t>
      </w:r>
      <w:r>
        <w:rPr>
          <w:rFonts w:ascii="Arial" w:cs="Arial" w:eastAsia="Arial" w:hAnsi="Arial"/>
          <w:sz w:val="9"/>
          <w:szCs w:val="9"/>
          <w:i w:val="1"/>
          <w:iCs w:val="1"/>
          <w:color w:val="auto"/>
        </w:rPr>
        <w:t>®</w:t>
      </w:r>
      <w:r>
        <w:rPr>
          <w:rFonts w:ascii="Arial" w:cs="Arial" w:eastAsia="Arial" w:hAnsi="Arial"/>
          <w:sz w:val="14"/>
          <w:szCs w:val="14"/>
          <w:i w:val="1"/>
          <w:iCs w:val="1"/>
          <w:color w:val="auto"/>
        </w:rPr>
        <w:t>; DuoHexaBody</w:t>
      </w:r>
      <w:r>
        <w:rPr>
          <w:rFonts w:ascii="Arial" w:cs="Arial" w:eastAsia="Arial" w:hAnsi="Arial"/>
          <w:sz w:val="9"/>
          <w:szCs w:val="9"/>
          <w:i w:val="1"/>
          <w:iCs w:val="1"/>
          <w:color w:val="auto"/>
        </w:rPr>
        <w:t>®</w:t>
      </w:r>
      <w:r>
        <w:rPr>
          <w:rFonts w:ascii="Arial" w:cs="Arial" w:eastAsia="Arial" w:hAnsi="Arial"/>
          <w:sz w:val="14"/>
          <w:szCs w:val="14"/>
          <w:i w:val="1"/>
          <w:iCs w:val="1"/>
          <w:color w:val="auto"/>
        </w:rPr>
        <w:t>, HexElect</w:t>
      </w:r>
      <w:r>
        <w:rPr>
          <w:rFonts w:ascii="Arial" w:cs="Arial" w:eastAsia="Arial" w:hAnsi="Arial"/>
          <w:sz w:val="9"/>
          <w:szCs w:val="9"/>
          <w:i w:val="1"/>
          <w:iCs w:val="1"/>
          <w:color w:val="auto"/>
        </w:rPr>
        <w:t>®</w:t>
      </w:r>
      <w:r>
        <w:rPr>
          <w:rFonts w:ascii="Arial" w:cs="Arial" w:eastAsia="Arial" w:hAnsi="Arial"/>
          <w:sz w:val="14"/>
          <w:szCs w:val="14"/>
          <w:i w:val="1"/>
          <w:iCs w:val="1"/>
          <w:color w:val="auto"/>
        </w:rPr>
        <w:t xml:space="preserve"> and KYSO</w:t>
      </w:r>
      <w:r>
        <w:rPr>
          <w:rFonts w:ascii="Arial" w:cs="Arial" w:eastAsia="Arial" w:hAnsi="Arial"/>
          <w:sz w:val="9"/>
          <w:szCs w:val="9"/>
          <w:color w:val="auto"/>
        </w:rPr>
        <w: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17</w:t>
            </w:r>
          </w:p>
        </w:tc>
        <w:tc>
          <w:tcPr>
            <w:tcW w:w="0" w:type="dxa"/>
            <w:vAlign w:val="bottom"/>
          </w:tcPr>
          <w:p>
            <w:pPr>
              <w:spacing w:after="0"/>
              <w:rPr>
                <w:sz w:val="1"/>
                <w:szCs w:val="1"/>
                <w:color w:val="auto"/>
              </w:rPr>
            </w:pPr>
          </w:p>
        </w:tc>
      </w:tr>
      <w:tr>
        <w:trPr>
          <w:trHeight w:val="149"/>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Page 2/2</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2026-03-19T09:30:14Z</dcterms:created>
  <dcterms:modified xsi:type="dcterms:W3CDTF">2026-03-19T09:30:14Z</dcterms:modified>
</cp:coreProperties>
</file>