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99.1a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53975</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100330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63"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SECURITIES AND EXCHANGE COMMISSION</w:t>
      </w:r>
    </w:p>
    <w:p>
      <w:pPr>
        <w:ind w:left="38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137160</wp:posOffset>
            </wp:positionV>
            <wp:extent cx="14217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765" cy="571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151130</wp:posOffset>
            </wp:positionV>
            <wp:extent cx="14217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765" cy="5715"/>
                    </a:xfrm>
                    <a:prstGeom prst="rect">
                      <a:avLst/>
                    </a:prstGeom>
                    <a:noFill/>
                  </pic:spPr>
                </pic:pic>
              </a:graphicData>
            </a:graphic>
          </wp:anchor>
        </w:drawing>
      </w:r>
    </w:p>
    <w:p>
      <w:pPr>
        <w:spacing w:after="0" w:line="278"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REPORT OF FOREIGN PRIVATE ISSUER PURSUANT TO RULE 13a-16 OR 15d-16</w:t>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1" w:lineRule="exact"/>
        <w:rPr>
          <w:sz w:val="24"/>
          <w:szCs w:val="24"/>
          <w:color w:val="auto"/>
        </w:rPr>
      </w:pPr>
    </w:p>
    <w:p>
      <w:pPr>
        <w:ind w:left="3400"/>
        <w:spacing w:after="0"/>
        <w:rPr>
          <w:sz w:val="20"/>
          <w:szCs w:val="20"/>
          <w:color w:val="auto"/>
        </w:rPr>
      </w:pPr>
      <w:r>
        <w:rPr>
          <w:rFonts w:ascii="Arial" w:cs="Arial" w:eastAsia="Arial" w:hAnsi="Arial"/>
          <w:sz w:val="12"/>
          <w:szCs w:val="12"/>
          <w:b w:val="1"/>
          <w:bCs w:val="1"/>
          <w:color w:val="auto"/>
        </w:rPr>
        <w:t>FOR THE MONTH OF FEBRUARY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144780</wp:posOffset>
            </wp:positionV>
            <wp:extent cx="14217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1765" cy="5715"/>
                    </a:xfrm>
                    <a:prstGeom prst="rect">
                      <a:avLst/>
                    </a:prstGeom>
                    <a:noFill/>
                  </pic:spPr>
                </pic:pic>
              </a:graphicData>
            </a:graphic>
          </wp:anchor>
        </w:drawing>
      </w:r>
    </w:p>
    <w:p>
      <w:pPr>
        <w:spacing w:after="0" w:line="268" w:lineRule="exact"/>
        <w:rPr>
          <w:sz w:val="24"/>
          <w:szCs w:val="24"/>
          <w:color w:val="auto"/>
        </w:rPr>
      </w:pPr>
    </w:p>
    <w:p>
      <w:pPr>
        <w:ind w:left="3340"/>
        <w:spacing w:after="0"/>
        <w:rPr>
          <w:sz w:val="20"/>
          <w:szCs w:val="20"/>
          <w:color w:val="auto"/>
        </w:rPr>
      </w:pPr>
      <w:r>
        <w:rPr>
          <w:rFonts w:ascii="Arial" w:cs="Arial" w:eastAsia="Arial" w:hAnsi="Arial"/>
          <w:sz w:val="12"/>
          <w:szCs w:val="12"/>
          <w:b w:val="1"/>
          <w:bCs w:val="1"/>
          <w:color w:val="auto"/>
        </w:rPr>
        <w:t>COMMISSION FILE NUMBER 001-38976</w:t>
      </w:r>
    </w:p>
    <w:p>
      <w:pPr>
        <w:spacing w:after="0" w:line="136"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Genmab A/S</w:t>
      </w:r>
    </w:p>
    <w:p>
      <w:pPr>
        <w:spacing w:after="0" w:line="16" w:lineRule="exact"/>
        <w:rPr>
          <w:sz w:val="24"/>
          <w:szCs w:val="24"/>
          <w:color w:val="auto"/>
        </w:rPr>
      </w:pPr>
    </w:p>
    <w:p>
      <w:pPr>
        <w:jc w:val="center"/>
        <w:ind w:right="640"/>
        <w:spacing w:after="0"/>
        <w:rPr>
          <w:sz w:val="20"/>
          <w:szCs w:val="20"/>
          <w:color w:val="auto"/>
        </w:rPr>
      </w:pPr>
      <w:r>
        <w:rPr>
          <w:rFonts w:ascii="Arial" w:cs="Arial" w:eastAsia="Arial" w:hAnsi="Arial"/>
          <w:sz w:val="11"/>
          <w:szCs w:val="11"/>
          <w:color w:val="333333"/>
        </w:rPr>
        <w:t>(Exact name of Registrant as specified in its charter)</w:t>
      </w:r>
    </w:p>
    <w:p>
      <w:pPr>
        <w:spacing w:after="0" w:line="137"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Kalvebod Brygge 43</w:t>
      </w:r>
    </w:p>
    <w:p>
      <w:pPr>
        <w:spacing w:after="0" w:line="8"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1560 Copenhagen V</w:t>
      </w:r>
    </w:p>
    <w:p>
      <w:pPr>
        <w:jc w:val="center"/>
        <w:ind w:right="640"/>
        <w:spacing w:after="0" w:line="236" w:lineRule="auto"/>
        <w:rPr>
          <w:sz w:val="20"/>
          <w:szCs w:val="20"/>
          <w:color w:val="auto"/>
        </w:rPr>
      </w:pPr>
      <w:r>
        <w:rPr>
          <w:rFonts w:ascii="Arial" w:cs="Arial" w:eastAsia="Arial" w:hAnsi="Arial"/>
          <w:sz w:val="12"/>
          <w:szCs w:val="12"/>
          <w:b w:val="1"/>
          <w:bCs w:val="1"/>
          <w:color w:val="auto"/>
        </w:rPr>
        <w:t>Denmark</w:t>
      </w:r>
    </w:p>
    <w:p>
      <w:pPr>
        <w:jc w:val="center"/>
        <w:ind w:right="640"/>
        <w:spacing w:after="0" w:line="230" w:lineRule="auto"/>
        <w:rPr>
          <w:sz w:val="20"/>
          <w:szCs w:val="20"/>
          <w:color w:val="auto"/>
        </w:rPr>
      </w:pPr>
      <w:r>
        <w:rPr>
          <w:rFonts w:ascii="Arial" w:cs="Arial" w:eastAsia="Arial" w:hAnsi="Arial"/>
          <w:sz w:val="12"/>
          <w:szCs w:val="12"/>
          <w:b w:val="1"/>
          <w:bCs w:val="1"/>
          <w:color w:val="auto"/>
        </w:rPr>
        <w:t>+45 70 20 27 28</w:t>
      </w:r>
    </w:p>
    <w:p>
      <w:pPr>
        <w:ind w:left="3520"/>
        <w:spacing w:after="0"/>
        <w:rPr>
          <w:sz w:val="20"/>
          <w:szCs w:val="20"/>
          <w:color w:val="auto"/>
        </w:rPr>
      </w:pPr>
      <w:r>
        <w:rPr>
          <w:rFonts w:ascii="Arial" w:cs="Arial" w:eastAsia="Arial" w:hAnsi="Arial"/>
          <w:sz w:val="11"/>
          <w:szCs w:val="11"/>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140970</wp:posOffset>
            </wp:positionV>
            <wp:extent cx="14217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1765" cy="5715"/>
                    </a:xfrm>
                    <a:prstGeom prst="rect">
                      <a:avLst/>
                    </a:prstGeom>
                    <a:noFill/>
                  </pic:spPr>
                </pic:pic>
              </a:graphicData>
            </a:graphic>
          </wp:anchor>
        </w:drawing>
      </w:r>
    </w:p>
    <w:p>
      <w:pPr>
        <w:spacing w:after="0" w:line="253" w:lineRule="exact"/>
        <w:rPr>
          <w:sz w:val="24"/>
          <w:szCs w:val="24"/>
          <w:color w:val="auto"/>
        </w:rPr>
      </w:pPr>
    </w:p>
    <w:p>
      <w:pPr>
        <w:ind w:left="20"/>
        <w:spacing w:after="0"/>
        <w:rPr>
          <w:sz w:val="20"/>
          <w:szCs w:val="20"/>
          <w:color w:val="auto"/>
        </w:rPr>
      </w:pPr>
      <w:r>
        <w:rPr>
          <w:rFonts w:ascii="Arial" w:cs="Arial" w:eastAsia="Arial" w:hAnsi="Arial"/>
          <w:sz w:val="12"/>
          <w:szCs w:val="12"/>
          <w:color w:val="auto"/>
        </w:rPr>
        <w:t>Indicate by check mark whether the registrant files or will file annual reports under cover Form 20-F or Form 40-F.</w:t>
      </w:r>
    </w:p>
    <w:p>
      <w:pPr>
        <w:spacing w:after="0" w:line="124" w:lineRule="exact"/>
        <w:rPr>
          <w:sz w:val="24"/>
          <w:szCs w:val="24"/>
          <w:color w:val="auto"/>
        </w:rPr>
      </w:pPr>
    </w:p>
    <w:p>
      <w:pPr>
        <w:ind w:left="3700"/>
        <w:spacing w:after="0" w:line="138" w:lineRule="exact"/>
        <w:tabs>
          <w:tab w:leader="none" w:pos="4580" w:val="left"/>
        </w:tabs>
        <w:rPr>
          <w:sz w:val="20"/>
          <w:szCs w:val="20"/>
          <w:color w:val="auto"/>
        </w:rPr>
      </w:pPr>
      <w:r>
        <w:rPr>
          <w:rFonts w:ascii="Arial" w:cs="Arial" w:eastAsia="Arial" w:hAnsi="Arial"/>
          <w:sz w:val="12"/>
          <w:szCs w:val="12"/>
          <w:color w:val="auto"/>
        </w:rPr>
        <w:t xml:space="preserve">Form 20-F </w:t>
      </w:r>
      <w:r>
        <w:rPr>
          <w:rFonts w:ascii="Arial Unicode MS" w:cs="Arial Unicode MS" w:eastAsia="Arial Unicode MS" w:hAnsi="Arial Unicode MS"/>
          <w:sz w:val="9"/>
          <w:szCs w:val="9"/>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52" w:lineRule="exact"/>
        <w:rPr>
          <w:sz w:val="24"/>
          <w:szCs w:val="24"/>
          <w:color w:val="auto"/>
        </w:rPr>
      </w:pPr>
    </w:p>
    <w:p>
      <w:pPr>
        <w:ind w:left="20" w:right="740"/>
        <w:spacing w:after="0" w:line="286" w:lineRule="auto"/>
        <w:rPr>
          <w:sz w:val="20"/>
          <w:szCs w:val="20"/>
          <w:color w:val="auto"/>
        </w:rPr>
      </w:pPr>
      <w:r>
        <w:rPr>
          <w:rFonts w:ascii="Times New Roman" w:cs="Times New Roman" w:eastAsia="Times New Roman" w:hAnsi="Times New Roman"/>
          <w:sz w:val="12"/>
          <w:szCs w:val="12"/>
          <w:color w:val="auto"/>
        </w:rPr>
        <w:t>This report on Form 6-K shall be deemed to be incorporated by reference in Genmab A/S’s registration statements on Form S-8 (File No. 333-232693)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438150</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69850</wp:posOffset>
            </wp:positionV>
            <wp:extent cx="56921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98425</wp:posOffset>
            </wp:positionV>
            <wp:extent cx="56921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640"/>
          </w:cols>
          <w:pgMar w:left="1440" w:top="279" w:right="81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color w:val="auto"/>
        </w:rPr>
        <w:t>SIGNATURE</w:t>
      </w:r>
    </w:p>
    <w:p>
      <w:pPr>
        <w:spacing w:after="0" w:line="9" w:lineRule="exact"/>
        <w:rPr>
          <w:sz w:val="20"/>
          <w:szCs w:val="20"/>
          <w:color w:val="auto"/>
        </w:rPr>
      </w:pPr>
    </w:p>
    <w:p>
      <w:pPr>
        <w:ind w:left="20" w:right="159" w:firstLine="435"/>
        <w:spacing w:after="0" w:line="252"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GENMAB A/S</w:t>
      </w:r>
    </w:p>
    <w:p>
      <w:pPr>
        <w:spacing w:after="0" w:line="134" w:lineRule="exact"/>
        <w:rPr>
          <w:sz w:val="20"/>
          <w:szCs w:val="20"/>
          <w:color w:val="auto"/>
        </w:rPr>
      </w:pPr>
    </w:p>
    <w:p>
      <w:pPr>
        <w:ind w:left="4600"/>
        <w:spacing w:after="0"/>
        <w:tabs>
          <w:tab w:leader="none" w:pos="4900" w:val="left"/>
        </w:tabs>
        <w:rPr>
          <w:sz w:val="20"/>
          <w:szCs w:val="20"/>
          <w:color w:val="auto"/>
        </w:rPr>
      </w:pPr>
      <w:r>
        <w:rPr>
          <w:rFonts w:ascii="Arial" w:cs="Arial" w:eastAsia="Arial" w:hAnsi="Arial"/>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6985</wp:posOffset>
            </wp:positionV>
            <wp:extent cx="257873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8735" cy="571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2"/>
          <w:szCs w:val="12"/>
          <w:color w:val="auto"/>
        </w:rPr>
        <w:t>Name: Anthony Pagano</w:t>
      </w:r>
    </w:p>
    <w:p>
      <w:pPr>
        <w:ind w:left="4920"/>
        <w:spacing w:after="0"/>
        <w:rPr>
          <w:sz w:val="20"/>
          <w:szCs w:val="20"/>
          <w:color w:val="auto"/>
        </w:rPr>
      </w:pPr>
      <w:r>
        <w:rPr>
          <w:rFonts w:ascii="Arial" w:cs="Arial" w:eastAsia="Arial" w:hAnsi="Arial"/>
          <w:sz w:val="12"/>
          <w:szCs w:val="12"/>
          <w:color w:val="auto"/>
        </w:rPr>
        <w:t>Title: Executive Vice President &amp; Chief Financial Officer</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DATE: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323215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80" w:type="dxa"/>
            <w:vAlign w:val="bottom"/>
          </w:tcPr>
          <w:p>
            <w:pPr>
              <w:ind w:left="360"/>
              <w:spacing w:after="0"/>
              <w:rPr>
                <w:sz w:val="20"/>
                <w:szCs w:val="20"/>
                <w:color w:val="auto"/>
              </w:rPr>
            </w:pPr>
            <w:r>
              <w:rPr>
                <w:rFonts w:ascii="Arial" w:cs="Arial" w:eastAsia="Arial" w:hAnsi="Arial"/>
                <w:sz w:val="12"/>
                <w:szCs w:val="12"/>
                <w:b w:val="1"/>
                <w:bCs w:val="1"/>
                <w:color w:val="auto"/>
              </w:rPr>
              <w:t>EXHIBIT INDEX</w:t>
            </w:r>
          </w:p>
        </w:tc>
      </w:tr>
      <w:tr>
        <w:trPr>
          <w:trHeight w:val="25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 of Exhibit</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70"/>
        </w:trPr>
        <w:tc>
          <w:tcPr>
            <w:tcW w:w="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99.1</w:t>
            </w:r>
          </w:p>
        </w:tc>
        <w:tc>
          <w:tcPr>
            <w:tcW w:w="880" w:type="dxa"/>
            <w:vAlign w:val="bottom"/>
          </w:tcPr>
          <w:p>
            <w:pPr>
              <w:spacing w:after="0"/>
              <w:rPr>
                <w:sz w:val="23"/>
                <w:szCs w:val="23"/>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Company Announcement Dated February 22, 2023</w:t>
            </w:r>
          </w:p>
        </w:tc>
      </w:tr>
      <w:tr>
        <w:trPr>
          <w:trHeight w:val="125"/>
        </w:trPr>
        <w:tc>
          <w:tcPr>
            <w:tcW w:w="124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99.1 (a)</w:t>
            </w:r>
          </w:p>
        </w:tc>
        <w:tc>
          <w:tcPr>
            <w:tcW w:w="2260" w:type="dxa"/>
            <w:vAlign w:val="bottom"/>
            <w:tcBorders>
              <w:top w:val="single" w:sz="8" w:color="0000EE"/>
              <w:bottom w:val="single" w:sz="8" w:color="0000EE"/>
            </w:tcBorders>
            <w:gridSpan w:val="2"/>
          </w:tcPr>
          <w:p>
            <w:pPr>
              <w:spacing w:after="0" w:line="125" w:lineRule="exact"/>
              <w:rPr>
                <w:sz w:val="20"/>
                <w:szCs w:val="20"/>
                <w:color w:val="auto"/>
              </w:rPr>
            </w:pPr>
            <w:r>
              <w:rPr>
                <w:rFonts w:ascii="Times New Roman" w:cs="Times New Roman" w:eastAsia="Times New Roman" w:hAnsi="Times New Roman"/>
                <w:sz w:val="12"/>
                <w:szCs w:val="12"/>
                <w:color w:val="0000EE"/>
              </w:rPr>
              <w:t>Appendix – Genmab A/S Annual Report 2022</w:t>
            </w:r>
          </w:p>
        </w:tc>
        <w:tc>
          <w:tcPr>
            <w:tcW w:w="220" w:type="dxa"/>
            <w:vAlign w:val="bottom"/>
            <w:tcBorders>
              <w:top w:val="single" w:sz="8" w:color="0000EE"/>
            </w:tcBorders>
          </w:tcPr>
          <w:p>
            <w:pPr>
              <w:spacing w:after="0"/>
              <w:rPr>
                <w:sz w:val="10"/>
                <w:szCs w:val="10"/>
                <w:color w:val="auto"/>
              </w:rPr>
            </w:pPr>
          </w:p>
        </w:tc>
        <w:tc>
          <w:tcPr>
            <w:tcW w:w="5280" w:type="dxa"/>
            <w:vAlign w:val="bottom"/>
          </w:tcPr>
          <w:p>
            <w:pPr>
              <w:spacing w:after="0"/>
              <w:rPr>
                <w:sz w:val="10"/>
                <w:szCs w:val="10"/>
                <w:color w:val="auto"/>
              </w:rPr>
            </w:pPr>
          </w:p>
        </w:tc>
      </w:tr>
      <w:tr>
        <w:trPr>
          <w:trHeight w:val="139"/>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101.INS</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14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101.SCH</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4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101.CAL</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4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101.DEF</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4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101.LAB</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Taxonomy Extension Labels Linkbase Document</w:t>
            </w:r>
          </w:p>
        </w:tc>
      </w:tr>
      <w:tr>
        <w:trPr>
          <w:trHeight w:val="158"/>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101.PRE</w:t>
            </w:r>
          </w:p>
        </w:tc>
        <w:tc>
          <w:tcPr>
            <w:tcW w:w="7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515"/>
        </w:trPr>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9039"/>
          </w:cols>
          <w:pgMar w:left="1420" w:top="128" w:right="1440" w:bottom="1440" w:gutter="0" w:footer="0" w:header="0"/>
        </w:sectPr>
      </w:pPr>
    </w:p>
    <w:bookmarkStart w:id="3" w:name="page4"/>
    <w:bookmarkEnd w:id="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c>
          <w:tcPr>
            <w:tcW w:w="0" w:type="dxa"/>
            <w:vAlign w:val="bottom"/>
          </w:tcPr>
          <w:p>
            <w:pPr>
              <w:spacing w:after="0"/>
              <w:rPr>
                <w:sz w:val="1"/>
                <w:szCs w:val="1"/>
                <w:color w:val="auto"/>
              </w:rPr>
            </w:pPr>
          </w:p>
        </w:tc>
      </w:tr>
      <w:tr>
        <w:trPr>
          <w:trHeight w:val="654"/>
        </w:trPr>
        <w:tc>
          <w:tcPr>
            <w:tcW w:w="6340" w:type="dxa"/>
            <w:vAlign w:val="bottom"/>
            <w:gridSpan w:val="28"/>
          </w:tcPr>
          <w:p>
            <w:pPr>
              <w:spacing w:after="0"/>
              <w:rPr>
                <w:sz w:val="20"/>
                <w:szCs w:val="20"/>
                <w:color w:val="auto"/>
              </w:rPr>
            </w:pPr>
            <w:r>
              <w:rPr>
                <w:rFonts w:ascii="Arial" w:cs="Arial" w:eastAsia="Arial" w:hAnsi="Arial"/>
                <w:sz w:val="15"/>
                <w:szCs w:val="15"/>
                <w:b w:val="1"/>
                <w:bCs w:val="1"/>
                <w:color w:val="auto"/>
              </w:rPr>
              <w:t>GENMAB 2022 ANNUAL REPORT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7"/>
        </w:trPr>
        <w:tc>
          <w:tcPr>
            <w:tcW w:w="6340" w:type="dxa"/>
            <w:vAlign w:val="bottom"/>
            <w:gridSpan w:val="28"/>
          </w:tcPr>
          <w:p>
            <w:pPr>
              <w:spacing w:after="0"/>
              <w:rPr>
                <w:sz w:val="20"/>
                <w:szCs w:val="20"/>
                <w:color w:val="auto"/>
              </w:rPr>
            </w:pPr>
            <w:r>
              <w:rPr>
                <w:rFonts w:ascii="Arial" w:cs="Arial" w:eastAsia="Arial" w:hAnsi="Arial"/>
                <w:sz w:val="15"/>
                <w:szCs w:val="15"/>
                <w:b w:val="1"/>
                <w:bCs w:val="1"/>
                <w:color w:val="auto"/>
              </w:rPr>
              <w:t>Table of Contents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40" w:type="dxa"/>
            <w:vAlign w:val="bottom"/>
            <w:gridSpan w:val="28"/>
          </w:tcPr>
          <w:p>
            <w:pPr>
              <w:spacing w:after="0"/>
              <w:rPr>
                <w:sz w:val="20"/>
                <w:szCs w:val="20"/>
                <w:color w:val="auto"/>
              </w:rPr>
            </w:pPr>
            <w:r>
              <w:rPr>
                <w:rFonts w:ascii="Arial" w:cs="Arial" w:eastAsia="Arial" w:hAnsi="Arial"/>
                <w:sz w:val="12"/>
                <w:szCs w:val="12"/>
                <w:b w:val="1"/>
                <w:bCs w:val="1"/>
                <w:color w:val="029C93"/>
              </w:rPr>
              <w:t>MANAGEMENT’S REVIEW</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6340" w:type="dxa"/>
            <w:vAlign w:val="bottom"/>
            <w:gridSpan w:val="28"/>
          </w:tcPr>
          <w:p>
            <w:pPr>
              <w:spacing w:after="0" w:line="117" w:lineRule="exact"/>
              <w:rPr>
                <w:sz w:val="20"/>
                <w:szCs w:val="20"/>
                <w:color w:val="auto"/>
              </w:rPr>
            </w:pPr>
            <w:r>
              <w:rPr>
                <w:rFonts w:ascii="Arial" w:cs="Arial" w:eastAsia="Arial" w:hAnsi="Arial"/>
                <w:sz w:val="11"/>
                <w:szCs w:val="11"/>
                <w:color w:val="0000EE"/>
              </w:rPr>
              <w:t>Our Vision</w:t>
            </w:r>
          </w:p>
        </w:tc>
        <w:tc>
          <w:tcPr>
            <w:tcW w:w="2620" w:type="dxa"/>
            <w:vAlign w:val="bottom"/>
          </w:tcPr>
          <w:p>
            <w:pPr>
              <w:jc w:val="right"/>
              <w:spacing w:after="0" w:line="117"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line="20" w:lineRule="exact"/>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Chair’s Statement</w:t>
            </w: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line="20" w:lineRule="exact"/>
              <w:rPr>
                <w:sz w:val="1"/>
                <w:szCs w:val="1"/>
                <w:color w:val="auto"/>
              </w:rPr>
            </w:pPr>
          </w:p>
        </w:tc>
      </w:tr>
      <w:tr>
        <w:trPr>
          <w:trHeight w:val="107"/>
        </w:trPr>
        <w:tc>
          <w:tcPr>
            <w:tcW w:w="980" w:type="dxa"/>
            <w:vAlign w:val="bottom"/>
            <w:tcBorders>
              <w:bottom w:val="single" w:sz="8" w:color="0000EE"/>
            </w:tcBorders>
            <w:gridSpan w:val="10"/>
          </w:tcPr>
          <w:p>
            <w:pPr>
              <w:spacing w:after="0" w:line="107" w:lineRule="exact"/>
              <w:rPr>
                <w:sz w:val="20"/>
                <w:szCs w:val="20"/>
                <w:color w:val="auto"/>
              </w:rPr>
            </w:pPr>
            <w:r>
              <w:rPr>
                <w:rFonts w:ascii="Arial" w:cs="Arial" w:eastAsia="Arial" w:hAnsi="Arial"/>
                <w:sz w:val="11"/>
                <w:szCs w:val="11"/>
                <w:color w:val="0000EE"/>
                <w:w w:val="97"/>
              </w:rPr>
              <w:t>Letter from the CEO</w:t>
            </w:r>
          </w:p>
        </w:tc>
        <w:tc>
          <w:tcPr>
            <w:tcW w:w="5360" w:type="dxa"/>
            <w:vAlign w:val="bottom"/>
            <w:gridSpan w:val="18"/>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60" w:type="dxa"/>
            <w:vAlign w:val="bottom"/>
            <w:tcBorders>
              <w:bottom w:val="single" w:sz="8" w:color="0000EE"/>
            </w:tcBorders>
            <w:gridSpan w:val="7"/>
          </w:tcPr>
          <w:p>
            <w:pPr>
              <w:spacing w:after="0" w:line="107" w:lineRule="exact"/>
              <w:rPr>
                <w:sz w:val="20"/>
                <w:szCs w:val="20"/>
                <w:color w:val="auto"/>
              </w:rPr>
            </w:pPr>
            <w:r>
              <w:rPr>
                <w:rFonts w:ascii="Arial" w:cs="Arial" w:eastAsia="Arial" w:hAnsi="Arial"/>
                <w:sz w:val="11"/>
                <w:szCs w:val="11"/>
                <w:color w:val="0000EE"/>
                <w:w w:val="97"/>
              </w:rPr>
              <w:t>2022 at a Glance</w:t>
            </w:r>
          </w:p>
        </w:tc>
        <w:tc>
          <w:tcPr>
            <w:tcW w:w="5480" w:type="dxa"/>
            <w:vAlign w:val="bottom"/>
            <w:gridSpan w:val="21"/>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Consolidated Key Figures</w:t>
            </w: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07"/>
        </w:trPr>
        <w:tc>
          <w:tcPr>
            <w:tcW w:w="660" w:type="dxa"/>
            <w:vAlign w:val="bottom"/>
            <w:tcBorders>
              <w:top w:val="single" w:sz="8" w:color="0000EE"/>
              <w:bottom w:val="single" w:sz="8" w:color="0000EE"/>
            </w:tcBorders>
            <w:gridSpan w:val="4"/>
          </w:tcPr>
          <w:p>
            <w:pPr>
              <w:spacing w:after="0" w:line="107" w:lineRule="exact"/>
              <w:rPr>
                <w:sz w:val="20"/>
                <w:szCs w:val="20"/>
                <w:color w:val="auto"/>
              </w:rPr>
            </w:pPr>
            <w:r>
              <w:rPr>
                <w:rFonts w:ascii="Arial" w:cs="Arial" w:eastAsia="Arial" w:hAnsi="Arial"/>
                <w:sz w:val="11"/>
                <w:szCs w:val="11"/>
                <w:color w:val="0000EE"/>
                <w:w w:val="97"/>
              </w:rPr>
              <w:t>2023 Outlook</w:t>
            </w:r>
          </w:p>
        </w:tc>
        <w:tc>
          <w:tcPr>
            <w:tcW w:w="580" w:type="dxa"/>
            <w:vAlign w:val="bottom"/>
            <w:tcBorders>
              <w:top w:val="single" w:sz="8" w:color="0000EE"/>
            </w:tcBorders>
            <w:gridSpan w:val="9"/>
          </w:tcPr>
          <w:p>
            <w:pPr>
              <w:spacing w:after="0"/>
              <w:rPr>
                <w:sz w:val="9"/>
                <w:szCs w:val="9"/>
                <w:color w:val="auto"/>
              </w:rPr>
            </w:pPr>
          </w:p>
        </w:tc>
        <w:tc>
          <w:tcPr>
            <w:tcW w:w="5100" w:type="dxa"/>
            <w:vAlign w:val="bottom"/>
            <w:gridSpan w:val="15"/>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07"/>
        </w:trPr>
        <w:tc>
          <w:tcPr>
            <w:tcW w:w="640" w:type="dxa"/>
            <w:vAlign w:val="bottom"/>
            <w:tcBorders>
              <w:bottom w:val="single" w:sz="8" w:color="0000EE"/>
            </w:tcBorders>
            <w:gridSpan w:val="3"/>
          </w:tcPr>
          <w:p>
            <w:pPr>
              <w:spacing w:after="0" w:line="107" w:lineRule="exact"/>
              <w:rPr>
                <w:sz w:val="20"/>
                <w:szCs w:val="20"/>
                <w:color w:val="auto"/>
              </w:rPr>
            </w:pPr>
            <w:r>
              <w:rPr>
                <w:rFonts w:ascii="Arial" w:cs="Arial" w:eastAsia="Arial" w:hAnsi="Arial"/>
                <w:sz w:val="11"/>
                <w:szCs w:val="11"/>
                <w:color w:val="0000EE"/>
                <w:w w:val="99"/>
              </w:rPr>
              <w:t>Our Strategy</w:t>
            </w:r>
          </w:p>
        </w:tc>
        <w:tc>
          <w:tcPr>
            <w:tcW w:w="5700" w:type="dxa"/>
            <w:vAlign w:val="bottom"/>
            <w:gridSpan w:val="25"/>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07"/>
        </w:trPr>
        <w:tc>
          <w:tcPr>
            <w:tcW w:w="620" w:type="dxa"/>
            <w:vAlign w:val="bottom"/>
            <w:tcBorders>
              <w:bottom w:val="single" w:sz="8" w:color="0000EE"/>
            </w:tcBorders>
            <w:gridSpan w:val="2"/>
          </w:tcPr>
          <w:p>
            <w:pPr>
              <w:spacing w:after="0" w:line="107" w:lineRule="exact"/>
              <w:rPr>
                <w:sz w:val="20"/>
                <w:szCs w:val="20"/>
                <w:color w:val="auto"/>
              </w:rPr>
            </w:pPr>
            <w:r>
              <w:rPr>
                <w:rFonts w:ascii="Arial" w:cs="Arial" w:eastAsia="Arial" w:hAnsi="Arial"/>
                <w:sz w:val="11"/>
                <w:szCs w:val="11"/>
                <w:color w:val="0000EE"/>
                <w:w w:val="96"/>
              </w:rPr>
              <w:t>Who We Are</w:t>
            </w:r>
          </w:p>
        </w:tc>
        <w:tc>
          <w:tcPr>
            <w:tcW w:w="5720" w:type="dxa"/>
            <w:vAlign w:val="bottom"/>
            <w:gridSpan w:val="26"/>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7"/>
        </w:trPr>
        <w:tc>
          <w:tcPr>
            <w:tcW w:w="780" w:type="dxa"/>
            <w:vAlign w:val="bottom"/>
            <w:tcBorders>
              <w:bottom w:val="single" w:sz="8" w:color="0000EE"/>
            </w:tcBorders>
            <w:gridSpan w:val="5"/>
          </w:tcPr>
          <w:p>
            <w:pPr>
              <w:spacing w:after="0" w:line="107" w:lineRule="exact"/>
              <w:rPr>
                <w:sz w:val="20"/>
                <w:szCs w:val="20"/>
                <w:color w:val="auto"/>
              </w:rPr>
            </w:pPr>
            <w:r>
              <w:rPr>
                <w:rFonts w:ascii="Arial" w:cs="Arial" w:eastAsia="Arial" w:hAnsi="Arial"/>
                <w:sz w:val="11"/>
                <w:szCs w:val="11"/>
                <w:color w:val="0000EE"/>
                <w:w w:val="97"/>
              </w:rPr>
              <w:t>Business Model</w:t>
            </w:r>
          </w:p>
        </w:tc>
        <w:tc>
          <w:tcPr>
            <w:tcW w:w="5560" w:type="dxa"/>
            <w:vAlign w:val="bottom"/>
            <w:gridSpan w:val="23"/>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Research and Development Capabilities</w:t>
            </w: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line="20" w:lineRule="exact"/>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Enhancing Commercialization Capabilities to Bring Our Innovations to Patients</w:t>
            </w: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20" w:type="dxa"/>
            <w:vAlign w:val="bottom"/>
            <w:tcBorders>
              <w:top w:val="single" w:sz="8" w:color="0000EE"/>
              <w:bottom w:val="single" w:sz="8" w:color="0000EE"/>
            </w:tcBorders>
            <w:gridSpan w:val="20"/>
          </w:tcPr>
          <w:p>
            <w:pPr>
              <w:spacing w:after="0" w:line="107" w:lineRule="exact"/>
              <w:rPr>
                <w:sz w:val="20"/>
                <w:szCs w:val="20"/>
                <w:color w:val="auto"/>
              </w:rPr>
            </w:pPr>
            <w:r>
              <w:rPr>
                <w:rFonts w:ascii="Arial" w:cs="Arial" w:eastAsia="Arial" w:hAnsi="Arial"/>
                <w:sz w:val="11"/>
                <w:szCs w:val="11"/>
                <w:color w:val="0000EE"/>
                <w:w w:val="98"/>
              </w:rPr>
              <w:t>Antibody Discovery and Development</w:t>
            </w:r>
          </w:p>
        </w:tc>
        <w:tc>
          <w:tcPr>
            <w:tcW w:w="1960" w:type="dxa"/>
            <w:vAlign w:val="bottom"/>
            <w:tcBorders>
              <w:top w:val="single" w:sz="8" w:color="0000EE"/>
            </w:tcBorders>
            <w:gridSpan w:val="6"/>
          </w:tcPr>
          <w:p>
            <w:pPr>
              <w:spacing w:after="0"/>
              <w:rPr>
                <w:sz w:val="9"/>
                <w:szCs w:val="9"/>
                <w:color w:val="auto"/>
              </w:rPr>
            </w:pPr>
          </w:p>
        </w:tc>
        <w:tc>
          <w:tcPr>
            <w:tcW w:w="2560" w:type="dxa"/>
            <w:vAlign w:val="bottom"/>
            <w:gridSpan w:val="2"/>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07"/>
        </w:trPr>
        <w:tc>
          <w:tcPr>
            <w:tcW w:w="1320" w:type="dxa"/>
            <w:vAlign w:val="bottom"/>
            <w:tcBorders>
              <w:bottom w:val="single" w:sz="8" w:color="0000EE"/>
            </w:tcBorders>
            <w:gridSpan w:val="15"/>
          </w:tcPr>
          <w:p>
            <w:pPr>
              <w:spacing w:after="0" w:line="107" w:lineRule="exact"/>
              <w:rPr>
                <w:sz w:val="20"/>
                <w:szCs w:val="20"/>
                <w:color w:val="auto"/>
              </w:rPr>
            </w:pPr>
            <w:r>
              <w:rPr>
                <w:rFonts w:ascii="Arial" w:cs="Arial" w:eastAsia="Arial" w:hAnsi="Arial"/>
                <w:sz w:val="11"/>
                <w:szCs w:val="11"/>
                <w:color w:val="0000EE"/>
                <w:w w:val="97"/>
              </w:rPr>
              <w:t>Products and Technologies</w:t>
            </w:r>
          </w:p>
        </w:tc>
        <w:tc>
          <w:tcPr>
            <w:tcW w:w="5020" w:type="dxa"/>
            <w:vAlign w:val="bottom"/>
            <w:gridSpan w:val="13"/>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07"/>
        </w:trPr>
        <w:tc>
          <w:tcPr>
            <w:tcW w:w="3100" w:type="dxa"/>
            <w:vAlign w:val="bottom"/>
            <w:tcBorders>
              <w:bottom w:val="single" w:sz="8" w:color="0000EE"/>
            </w:tcBorders>
            <w:gridSpan w:val="24"/>
          </w:tcPr>
          <w:p>
            <w:pPr>
              <w:spacing w:after="0" w:line="107" w:lineRule="exact"/>
              <w:rPr>
                <w:sz w:val="20"/>
                <w:szCs w:val="20"/>
                <w:color w:val="auto"/>
              </w:rPr>
            </w:pPr>
            <w:r>
              <w:rPr>
                <w:rFonts w:ascii="Arial" w:cs="Arial" w:eastAsia="Arial" w:hAnsi="Arial"/>
                <w:sz w:val="11"/>
                <w:szCs w:val="11"/>
                <w:color w:val="0000EE"/>
                <w:w w:val="98"/>
              </w:rPr>
              <w:t>Corporate Social Responsibility and Sustainability Commitments</w:t>
            </w:r>
          </w:p>
        </w:tc>
        <w:tc>
          <w:tcPr>
            <w:tcW w:w="3240" w:type="dxa"/>
            <w:vAlign w:val="bottom"/>
            <w:gridSpan w:val="4"/>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7"/>
        </w:trPr>
        <w:tc>
          <w:tcPr>
            <w:tcW w:w="3040" w:type="dxa"/>
            <w:vAlign w:val="bottom"/>
            <w:tcBorders>
              <w:bottom w:val="single" w:sz="8" w:color="0000EE"/>
            </w:tcBorders>
            <w:gridSpan w:val="23"/>
          </w:tcPr>
          <w:p>
            <w:pPr>
              <w:spacing w:after="0" w:line="107" w:lineRule="exact"/>
              <w:rPr>
                <w:sz w:val="20"/>
                <w:szCs w:val="20"/>
                <w:color w:val="auto"/>
              </w:rPr>
            </w:pPr>
            <w:r>
              <w:rPr>
                <w:rFonts w:ascii="Arial" w:cs="Arial" w:eastAsia="Arial" w:hAnsi="Arial"/>
                <w:sz w:val="11"/>
                <w:szCs w:val="11"/>
                <w:color w:val="0000EE"/>
                <w:w w:val="98"/>
              </w:rPr>
              <w:t>Genmab’s Task Force on Climate-related Financial Disclosures</w:t>
            </w:r>
          </w:p>
        </w:tc>
        <w:tc>
          <w:tcPr>
            <w:tcW w:w="3300" w:type="dxa"/>
            <w:vAlign w:val="bottom"/>
            <w:gridSpan w:val="5"/>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Stakeholder Engagement</w:t>
            </w: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line="20" w:lineRule="exact"/>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Human Capital Management</w:t>
            </w: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80" w:type="dxa"/>
            <w:vAlign w:val="bottom"/>
            <w:tcBorders>
              <w:top w:val="single" w:sz="8" w:color="0000EE"/>
            </w:tcBorders>
            <w:gridSpan w:val="17"/>
          </w:tcPr>
          <w:p>
            <w:pPr>
              <w:spacing w:after="0" w:line="107" w:lineRule="exact"/>
              <w:rPr>
                <w:sz w:val="20"/>
                <w:szCs w:val="20"/>
                <w:color w:val="auto"/>
              </w:rPr>
            </w:pPr>
            <w:r>
              <w:rPr>
                <w:rFonts w:ascii="Arial" w:cs="Arial" w:eastAsia="Arial" w:hAnsi="Arial"/>
                <w:sz w:val="11"/>
                <w:szCs w:val="11"/>
                <w:color w:val="0000EE"/>
              </w:rPr>
              <w:t>Financial Review</w:t>
            </w:r>
          </w:p>
        </w:tc>
        <w:tc>
          <w:tcPr>
            <w:tcW w:w="4960" w:type="dxa"/>
            <w:vAlign w:val="bottom"/>
            <w:gridSpan w:val="11"/>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line="20" w:lineRule="exact"/>
              <w:rPr>
                <w:sz w:val="1"/>
                <w:szCs w:val="1"/>
                <w:color w:val="auto"/>
              </w:rPr>
            </w:pPr>
          </w:p>
        </w:tc>
      </w:tr>
      <w:tr>
        <w:trPr>
          <w:trHeight w:val="107"/>
        </w:trPr>
        <w:tc>
          <w:tcPr>
            <w:tcW w:w="880" w:type="dxa"/>
            <w:vAlign w:val="bottom"/>
            <w:tcBorders>
              <w:bottom w:val="single" w:sz="8" w:color="0000EE"/>
            </w:tcBorders>
            <w:gridSpan w:val="8"/>
          </w:tcPr>
          <w:p>
            <w:pPr>
              <w:spacing w:after="0" w:line="107" w:lineRule="exact"/>
              <w:rPr>
                <w:sz w:val="20"/>
                <w:szCs w:val="20"/>
                <w:color w:val="auto"/>
              </w:rPr>
            </w:pPr>
            <w:r>
              <w:rPr>
                <w:rFonts w:ascii="Arial" w:cs="Arial" w:eastAsia="Arial" w:hAnsi="Arial"/>
                <w:sz w:val="11"/>
                <w:szCs w:val="11"/>
                <w:color w:val="0000EE"/>
                <w:w w:val="96"/>
              </w:rPr>
              <w:t>Risk Management</w:t>
            </w:r>
          </w:p>
        </w:tc>
        <w:tc>
          <w:tcPr>
            <w:tcW w:w="5460" w:type="dxa"/>
            <w:vAlign w:val="bottom"/>
            <w:gridSpan w:val="20"/>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Enterprise Risk Management</w:t>
            </w: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07"/>
        </w:trPr>
        <w:tc>
          <w:tcPr>
            <w:tcW w:w="1400" w:type="dxa"/>
            <w:vAlign w:val="bottom"/>
            <w:tcBorders>
              <w:top w:val="single" w:sz="8" w:color="0000EE"/>
            </w:tcBorders>
            <w:gridSpan w:val="18"/>
          </w:tcPr>
          <w:p>
            <w:pPr>
              <w:spacing w:after="0" w:line="107" w:lineRule="exact"/>
              <w:rPr>
                <w:sz w:val="20"/>
                <w:szCs w:val="20"/>
                <w:color w:val="auto"/>
              </w:rPr>
            </w:pPr>
            <w:r>
              <w:rPr>
                <w:rFonts w:ascii="Arial" w:cs="Arial" w:eastAsia="Arial" w:hAnsi="Arial"/>
                <w:sz w:val="11"/>
                <w:szCs w:val="11"/>
                <w:color w:val="0000EE"/>
              </w:rPr>
              <w:t>Corporate Governance</w:t>
            </w:r>
          </w:p>
        </w:tc>
        <w:tc>
          <w:tcPr>
            <w:tcW w:w="4940" w:type="dxa"/>
            <w:vAlign w:val="bottom"/>
            <w:gridSpan w:val="10"/>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07"/>
        </w:trPr>
        <w:tc>
          <w:tcPr>
            <w:tcW w:w="880" w:type="dxa"/>
            <w:vAlign w:val="bottom"/>
            <w:tcBorders>
              <w:top w:val="single" w:sz="8" w:color="0000EE"/>
              <w:bottom w:val="single" w:sz="8" w:color="0000EE"/>
            </w:tcBorders>
            <w:gridSpan w:val="8"/>
          </w:tcPr>
          <w:p>
            <w:pPr>
              <w:spacing w:after="0" w:line="107" w:lineRule="exact"/>
              <w:rPr>
                <w:sz w:val="20"/>
                <w:szCs w:val="20"/>
                <w:color w:val="auto"/>
              </w:rPr>
            </w:pPr>
            <w:r>
              <w:rPr>
                <w:rFonts w:ascii="Arial" w:cs="Arial" w:eastAsia="Arial" w:hAnsi="Arial"/>
                <w:sz w:val="11"/>
                <w:szCs w:val="11"/>
                <w:color w:val="0000EE"/>
                <w:w w:val="96"/>
              </w:rPr>
              <w:t>Board of Directors</w:t>
            </w:r>
          </w:p>
        </w:tc>
        <w:tc>
          <w:tcPr>
            <w:tcW w:w="220" w:type="dxa"/>
            <w:vAlign w:val="bottom"/>
            <w:tcBorders>
              <w:top w:val="single" w:sz="8" w:color="0000EE"/>
            </w:tcBorders>
            <w:gridSpan w:val="3"/>
          </w:tcPr>
          <w:p>
            <w:pPr>
              <w:spacing w:after="0"/>
              <w:rPr>
                <w:sz w:val="9"/>
                <w:szCs w:val="9"/>
                <w:color w:val="auto"/>
              </w:rPr>
            </w:pPr>
          </w:p>
        </w:tc>
        <w:tc>
          <w:tcPr>
            <w:tcW w:w="5240" w:type="dxa"/>
            <w:vAlign w:val="bottom"/>
            <w:gridSpan w:val="17"/>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07"/>
        </w:trPr>
        <w:tc>
          <w:tcPr>
            <w:tcW w:w="6340" w:type="dxa"/>
            <w:vAlign w:val="bottom"/>
            <w:gridSpan w:val="28"/>
          </w:tcPr>
          <w:p>
            <w:pPr>
              <w:spacing w:after="0" w:line="107" w:lineRule="exact"/>
              <w:rPr>
                <w:sz w:val="20"/>
                <w:szCs w:val="20"/>
                <w:color w:val="auto"/>
              </w:rPr>
            </w:pPr>
            <w:r>
              <w:rPr>
                <w:rFonts w:ascii="Arial" w:cs="Arial" w:eastAsia="Arial" w:hAnsi="Arial"/>
                <w:sz w:val="11"/>
                <w:szCs w:val="11"/>
                <w:color w:val="0000EE"/>
              </w:rPr>
              <w:t>Senior Leadership</w:t>
            </w: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20" w:type="dxa"/>
            <w:vAlign w:val="bottom"/>
            <w:vMerge w:val="restart"/>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line="20" w:lineRule="exact"/>
              <w:rPr>
                <w:sz w:val="1"/>
                <w:szCs w:val="1"/>
                <w:color w:val="auto"/>
              </w:rPr>
            </w:pPr>
          </w:p>
        </w:tc>
      </w:tr>
      <w:tr>
        <w:trPr>
          <w:trHeight w:val="107"/>
        </w:trPr>
        <w:tc>
          <w:tcPr>
            <w:tcW w:w="1760" w:type="dxa"/>
            <w:vAlign w:val="bottom"/>
            <w:tcBorders>
              <w:bottom w:val="single" w:sz="8" w:color="0000EE"/>
            </w:tcBorders>
            <w:gridSpan w:val="19"/>
          </w:tcPr>
          <w:p>
            <w:pPr>
              <w:spacing w:after="0" w:line="107" w:lineRule="exact"/>
              <w:rPr>
                <w:sz w:val="20"/>
                <w:szCs w:val="20"/>
                <w:color w:val="auto"/>
              </w:rPr>
            </w:pPr>
            <w:r>
              <w:rPr>
                <w:rFonts w:ascii="Arial" w:cs="Arial" w:eastAsia="Arial" w:hAnsi="Arial"/>
                <w:sz w:val="11"/>
                <w:szCs w:val="11"/>
                <w:color w:val="0000EE"/>
                <w:w w:val="98"/>
              </w:rPr>
              <w:t>Shareholders and Share Information</w:t>
            </w:r>
          </w:p>
        </w:tc>
        <w:tc>
          <w:tcPr>
            <w:tcW w:w="4580" w:type="dxa"/>
            <w:vAlign w:val="bottom"/>
            <w:gridSpan w:val="9"/>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6340" w:type="dxa"/>
            <w:vAlign w:val="bottom"/>
            <w:gridSpan w:val="28"/>
          </w:tcPr>
          <w:p>
            <w:pPr>
              <w:spacing w:after="0"/>
              <w:rPr>
                <w:sz w:val="20"/>
                <w:szCs w:val="20"/>
                <w:color w:val="auto"/>
              </w:rPr>
            </w:pPr>
            <w:r>
              <w:rPr>
                <w:rFonts w:ascii="Arial" w:cs="Arial" w:eastAsia="Arial" w:hAnsi="Arial"/>
                <w:sz w:val="12"/>
                <w:szCs w:val="12"/>
                <w:b w:val="1"/>
                <w:bCs w:val="1"/>
                <w:color w:val="029C93"/>
              </w:rPr>
              <w:t>FINANCIAL STATEMENTS FOR THE GENMAB GROUP</w:t>
            </w:r>
          </w:p>
        </w:tc>
        <w:tc>
          <w:tcPr>
            <w:tcW w:w="2620" w:type="dxa"/>
            <w:vAlign w:val="bottom"/>
          </w:tcPr>
          <w:p>
            <w:pPr>
              <w:jc w:val="right"/>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16"/>
        </w:trPr>
        <w:tc>
          <w:tcPr>
            <w:tcW w:w="3100" w:type="dxa"/>
            <w:vAlign w:val="bottom"/>
            <w:tcBorders>
              <w:top w:val="single" w:sz="8" w:color="029C93"/>
              <w:bottom w:val="single" w:sz="8" w:color="029C93"/>
            </w:tcBorders>
            <w:gridSpan w:val="24"/>
          </w:tcPr>
          <w:p>
            <w:pPr>
              <w:spacing w:after="0" w:line="116" w:lineRule="exact"/>
              <w:rPr>
                <w:sz w:val="20"/>
                <w:szCs w:val="20"/>
                <w:color w:val="auto"/>
              </w:rPr>
            </w:pPr>
            <w:r>
              <w:rPr>
                <w:rFonts w:ascii="Arial" w:cs="Arial" w:eastAsia="Arial" w:hAnsi="Arial"/>
                <w:sz w:val="12"/>
                <w:szCs w:val="12"/>
                <w:b w:val="1"/>
                <w:bCs w:val="1"/>
                <w:color w:val="029C93"/>
                <w:w w:val="95"/>
              </w:rPr>
              <w:t>FINANCIAL STATEMENTS FOR THE PARENT COMPANY</w:t>
            </w:r>
          </w:p>
        </w:tc>
        <w:tc>
          <w:tcPr>
            <w:tcW w:w="120" w:type="dxa"/>
            <w:vAlign w:val="bottom"/>
            <w:tcBorders>
              <w:bottom w:val="single" w:sz="8" w:color="029C93"/>
            </w:tcBorders>
          </w:tcPr>
          <w:p>
            <w:pPr>
              <w:spacing w:after="0"/>
              <w:rPr>
                <w:sz w:val="10"/>
                <w:szCs w:val="10"/>
                <w:color w:val="auto"/>
              </w:rPr>
            </w:pPr>
          </w:p>
        </w:tc>
        <w:tc>
          <w:tcPr>
            <w:tcW w:w="1180" w:type="dxa"/>
            <w:vAlign w:val="bottom"/>
            <w:gridSpan w:val="2"/>
          </w:tcPr>
          <w:p>
            <w:pPr>
              <w:spacing w:after="0"/>
              <w:rPr>
                <w:sz w:val="10"/>
                <w:szCs w:val="10"/>
                <w:color w:val="auto"/>
              </w:rPr>
            </w:pPr>
          </w:p>
        </w:tc>
        <w:tc>
          <w:tcPr>
            <w:tcW w:w="1940" w:type="dxa"/>
            <w:vAlign w:val="bottom"/>
          </w:tcPr>
          <w:p>
            <w:pPr>
              <w:spacing w:after="0"/>
              <w:rPr>
                <w:sz w:val="10"/>
                <w:szCs w:val="10"/>
                <w:color w:val="auto"/>
              </w:rPr>
            </w:pPr>
          </w:p>
        </w:tc>
        <w:tc>
          <w:tcPr>
            <w:tcW w:w="2620" w:type="dxa"/>
            <w:vAlign w:val="bottom"/>
          </w:tcPr>
          <w:p>
            <w:pPr>
              <w:jc w:val="right"/>
              <w:spacing w:after="0" w:line="116" w:lineRule="exact"/>
              <w:rPr>
                <w:sz w:val="20"/>
                <w:szCs w:val="20"/>
                <w:color w:val="auto"/>
              </w:rPr>
            </w:pPr>
            <w:r>
              <w:rPr>
                <w:rFonts w:ascii="Arial" w:cs="Arial" w:eastAsia="Arial" w:hAnsi="Arial"/>
                <w:sz w:val="11"/>
                <w:szCs w:val="11"/>
                <w:color w:val="auto"/>
              </w:rPr>
              <w:t>131</w:t>
            </w:r>
          </w:p>
        </w:tc>
        <w:tc>
          <w:tcPr>
            <w:tcW w:w="0" w:type="dxa"/>
            <w:vAlign w:val="bottom"/>
          </w:tcPr>
          <w:p>
            <w:pPr>
              <w:spacing w:after="0"/>
              <w:rPr>
                <w:sz w:val="1"/>
                <w:szCs w:val="1"/>
                <w:color w:val="auto"/>
              </w:rPr>
            </w:pPr>
          </w:p>
        </w:tc>
      </w:tr>
      <w:tr>
        <w:trPr>
          <w:trHeight w:val="116"/>
        </w:trPr>
        <w:tc>
          <w:tcPr>
            <w:tcW w:w="6340" w:type="dxa"/>
            <w:vAlign w:val="bottom"/>
            <w:gridSpan w:val="28"/>
          </w:tcPr>
          <w:p>
            <w:pPr>
              <w:spacing w:after="0" w:line="116" w:lineRule="exact"/>
              <w:rPr>
                <w:sz w:val="20"/>
                <w:szCs w:val="20"/>
                <w:color w:val="auto"/>
              </w:rPr>
            </w:pPr>
            <w:r>
              <w:rPr>
                <w:rFonts w:ascii="Arial" w:cs="Arial" w:eastAsia="Arial" w:hAnsi="Arial"/>
                <w:sz w:val="12"/>
                <w:szCs w:val="12"/>
                <w:b w:val="1"/>
                <w:bCs w:val="1"/>
                <w:color w:val="029C93"/>
              </w:rPr>
              <w:t>DIRECTORS’ AND MANAGEMENT’S STATEMENT ON THE ANNUAL REPORT</w:t>
            </w:r>
          </w:p>
        </w:tc>
        <w:tc>
          <w:tcPr>
            <w:tcW w:w="2620" w:type="dxa"/>
            <w:vAlign w:val="bottom"/>
          </w:tcPr>
          <w:p>
            <w:pPr>
              <w:jc w:val="right"/>
              <w:spacing w:after="0" w:line="116" w:lineRule="exact"/>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16"/>
        </w:trPr>
        <w:tc>
          <w:tcPr>
            <w:tcW w:w="4400" w:type="dxa"/>
            <w:vAlign w:val="bottom"/>
            <w:tcBorders>
              <w:top w:val="single" w:sz="8" w:color="029C93"/>
            </w:tcBorders>
            <w:gridSpan w:val="27"/>
          </w:tcPr>
          <w:p>
            <w:pPr>
              <w:spacing w:after="0" w:line="116" w:lineRule="exact"/>
              <w:rPr>
                <w:sz w:val="20"/>
                <w:szCs w:val="20"/>
                <w:color w:val="auto"/>
              </w:rPr>
            </w:pPr>
            <w:r>
              <w:rPr>
                <w:rFonts w:ascii="Arial" w:cs="Arial" w:eastAsia="Arial" w:hAnsi="Arial"/>
                <w:sz w:val="12"/>
                <w:szCs w:val="12"/>
                <w:b w:val="1"/>
                <w:bCs w:val="1"/>
                <w:color w:val="029C93"/>
              </w:rPr>
              <w:t>INDEPENDENT AUDITOR’S REPORTS</w:t>
            </w:r>
          </w:p>
        </w:tc>
        <w:tc>
          <w:tcPr>
            <w:tcW w:w="1940" w:type="dxa"/>
            <w:vAlign w:val="bottom"/>
          </w:tcPr>
          <w:p>
            <w:pPr>
              <w:spacing w:after="0"/>
              <w:rPr>
                <w:sz w:val="10"/>
                <w:szCs w:val="10"/>
                <w:color w:val="auto"/>
              </w:rPr>
            </w:pPr>
          </w:p>
        </w:tc>
        <w:tc>
          <w:tcPr>
            <w:tcW w:w="2620" w:type="dxa"/>
            <w:vAlign w:val="bottom"/>
          </w:tcPr>
          <w:p>
            <w:pPr>
              <w:jc w:val="right"/>
              <w:spacing w:after="0" w:line="116" w:lineRule="exact"/>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16"/>
        </w:trPr>
        <w:tc>
          <w:tcPr>
            <w:tcW w:w="2100" w:type="dxa"/>
            <w:vAlign w:val="bottom"/>
            <w:tcBorders>
              <w:top w:val="single" w:sz="8" w:color="029C93"/>
            </w:tcBorders>
            <w:gridSpan w:val="22"/>
          </w:tcPr>
          <w:p>
            <w:pPr>
              <w:spacing w:after="0" w:line="116" w:lineRule="exact"/>
              <w:rPr>
                <w:sz w:val="20"/>
                <w:szCs w:val="20"/>
                <w:color w:val="auto"/>
              </w:rPr>
            </w:pPr>
            <w:r>
              <w:rPr>
                <w:rFonts w:ascii="Arial" w:cs="Arial" w:eastAsia="Arial" w:hAnsi="Arial"/>
                <w:sz w:val="12"/>
                <w:szCs w:val="12"/>
                <w:b w:val="1"/>
                <w:bCs w:val="1"/>
                <w:color w:val="029C93"/>
              </w:rPr>
              <w:t>OTHER INFORMATION</w:t>
            </w:r>
          </w:p>
        </w:tc>
        <w:tc>
          <w:tcPr>
            <w:tcW w:w="4240" w:type="dxa"/>
            <w:vAlign w:val="bottom"/>
            <w:gridSpan w:val="6"/>
          </w:tcPr>
          <w:p>
            <w:pPr>
              <w:spacing w:after="0"/>
              <w:rPr>
                <w:sz w:val="10"/>
                <w:szCs w:val="10"/>
                <w:color w:val="auto"/>
              </w:rPr>
            </w:pPr>
          </w:p>
        </w:tc>
        <w:tc>
          <w:tcPr>
            <w:tcW w:w="2620" w:type="dxa"/>
            <w:vAlign w:val="bottom"/>
          </w:tcPr>
          <w:p>
            <w:pPr>
              <w:jc w:val="right"/>
              <w:spacing w:after="0" w:line="116" w:lineRule="exact"/>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07"/>
        </w:trPr>
        <w:tc>
          <w:tcPr>
            <w:tcW w:w="500" w:type="dxa"/>
            <w:vAlign w:val="bottom"/>
            <w:tcBorders>
              <w:top w:val="single" w:sz="8" w:color="029C93"/>
              <w:bottom w:val="single" w:sz="8" w:color="0000EE"/>
            </w:tcBorders>
          </w:tcPr>
          <w:p>
            <w:pPr>
              <w:spacing w:after="0" w:line="107" w:lineRule="exact"/>
              <w:rPr>
                <w:sz w:val="20"/>
                <w:szCs w:val="20"/>
                <w:color w:val="auto"/>
              </w:rPr>
            </w:pPr>
            <w:r>
              <w:rPr>
                <w:rFonts w:ascii="Arial" w:cs="Arial" w:eastAsia="Arial" w:hAnsi="Arial"/>
                <w:sz w:val="11"/>
                <w:szCs w:val="11"/>
                <w:color w:val="0000EE"/>
              </w:rPr>
              <w:t>Glossary</w:t>
            </w:r>
          </w:p>
        </w:tc>
        <w:tc>
          <w:tcPr>
            <w:tcW w:w="800" w:type="dxa"/>
            <w:vAlign w:val="bottom"/>
            <w:tcBorders>
              <w:top w:val="single" w:sz="8" w:color="029C93"/>
            </w:tcBorders>
            <w:gridSpan w:val="13"/>
          </w:tcPr>
          <w:p>
            <w:pPr>
              <w:spacing w:after="0"/>
              <w:rPr>
                <w:sz w:val="9"/>
                <w:szCs w:val="9"/>
                <w:color w:val="auto"/>
              </w:rPr>
            </w:pPr>
          </w:p>
        </w:tc>
        <w:tc>
          <w:tcPr>
            <w:tcW w:w="5040" w:type="dxa"/>
            <w:vAlign w:val="bottom"/>
            <w:gridSpan w:val="14"/>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0000EE"/>
            </w:tcBorders>
            <w:gridSpan w:val="16"/>
          </w:tcPr>
          <w:p>
            <w:pPr>
              <w:spacing w:after="0" w:line="107" w:lineRule="exact"/>
              <w:rPr>
                <w:sz w:val="20"/>
                <w:szCs w:val="20"/>
                <w:color w:val="auto"/>
              </w:rPr>
            </w:pPr>
            <w:r>
              <w:rPr>
                <w:rFonts w:ascii="Arial" w:cs="Arial" w:eastAsia="Arial" w:hAnsi="Arial"/>
                <w:sz w:val="11"/>
                <w:szCs w:val="11"/>
                <w:color w:val="0000EE"/>
                <w:w w:val="97"/>
              </w:rPr>
              <w:t>Forward Looking Statement</w:t>
            </w:r>
          </w:p>
        </w:tc>
        <w:tc>
          <w:tcPr>
            <w:tcW w:w="5000" w:type="dxa"/>
            <w:vAlign w:val="bottom"/>
            <w:gridSpan w:val="12"/>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07"/>
        </w:trPr>
        <w:tc>
          <w:tcPr>
            <w:tcW w:w="960" w:type="dxa"/>
            <w:vAlign w:val="bottom"/>
            <w:tcBorders>
              <w:bottom w:val="single" w:sz="8" w:color="0000EE"/>
            </w:tcBorders>
            <w:gridSpan w:val="9"/>
          </w:tcPr>
          <w:p>
            <w:pPr>
              <w:spacing w:after="0" w:line="107" w:lineRule="exact"/>
              <w:rPr>
                <w:sz w:val="20"/>
                <w:szCs w:val="20"/>
                <w:color w:val="auto"/>
              </w:rPr>
            </w:pPr>
            <w:r>
              <w:rPr>
                <w:rFonts w:ascii="Arial" w:cs="Arial" w:eastAsia="Arial" w:hAnsi="Arial"/>
                <w:sz w:val="11"/>
                <w:szCs w:val="11"/>
                <w:color w:val="0000EE"/>
                <w:w w:val="97"/>
              </w:rPr>
              <w:t>Contact Information</w:t>
            </w:r>
          </w:p>
        </w:tc>
        <w:tc>
          <w:tcPr>
            <w:tcW w:w="5380" w:type="dxa"/>
            <w:vAlign w:val="bottom"/>
            <w:gridSpan w:val="19"/>
          </w:tcPr>
          <w:p>
            <w:pPr>
              <w:spacing w:after="0"/>
              <w:rPr>
                <w:sz w:val="9"/>
                <w:szCs w:val="9"/>
                <w:color w:val="auto"/>
              </w:rPr>
            </w:pPr>
          </w:p>
        </w:tc>
        <w:tc>
          <w:tcPr>
            <w:tcW w:w="2620" w:type="dxa"/>
            <w:vAlign w:val="bottom"/>
          </w:tcPr>
          <w:p>
            <w:pPr>
              <w:jc w:val="right"/>
              <w:spacing w:after="0" w:line="107" w:lineRule="exact"/>
              <w:rPr>
                <w:sz w:val="20"/>
                <w:szCs w:val="20"/>
                <w:color w:val="auto"/>
              </w:rPr>
            </w:pPr>
            <w:r>
              <w:rPr>
                <w:rFonts w:ascii="Arial" w:cs="Arial" w:eastAsia="Arial" w:hAnsi="Arial"/>
                <w:sz w:val="11"/>
                <w:szCs w:val="11"/>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-3545205</wp:posOffset>
            </wp:positionV>
            <wp:extent cx="1323975" cy="38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Reporting Suite</w:t>
      </w:r>
    </w:p>
    <w:p>
      <w:pPr>
        <w:spacing w:after="0" w:line="143" w:lineRule="exact"/>
        <w:rPr>
          <w:sz w:val="20"/>
          <w:szCs w:val="20"/>
          <w:color w:val="auto"/>
        </w:rPr>
      </w:pPr>
    </w:p>
    <w:p>
      <w:pPr>
        <w:ind w:left="460" w:hanging="220"/>
        <w:spacing w:after="0"/>
        <w:tabs>
          <w:tab w:leader="none" w:pos="46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2022 Corporate Responsibility Report (</w:t>
      </w:r>
      <w:r>
        <w:rPr>
          <w:rFonts w:ascii="Arial" w:cs="Arial" w:eastAsia="Arial" w:hAnsi="Arial"/>
          <w:sz w:val="12"/>
          <w:szCs w:val="12"/>
          <w:color w:val="029C93"/>
        </w:rPr>
        <w:t>https://ir.genmab.com/static-files/72218610-90a6-4fd3-a76a-d4a7c9c6ef01</w:t>
      </w:r>
      <w:r>
        <w:rPr>
          <w:rFonts w:ascii="Arial" w:cs="Arial" w:eastAsia="Arial" w:hAnsi="Arial"/>
          <w:sz w:val="12"/>
          <w:szCs w:val="12"/>
          <w:color w:val="auto"/>
        </w:rPr>
        <w:t>)</w:t>
      </w:r>
    </w:p>
    <w:p>
      <w:pPr>
        <w:spacing w:after="0" w:line="151" w:lineRule="exact"/>
        <w:rPr>
          <w:rFonts w:ascii="Times New Roman" w:cs="Times New Roman" w:eastAsia="Times New Roman" w:hAnsi="Times New Roman"/>
          <w:sz w:val="12"/>
          <w:szCs w:val="12"/>
          <w:color w:val="auto"/>
        </w:rPr>
      </w:pPr>
    </w:p>
    <w:p>
      <w:pPr>
        <w:ind w:left="460" w:hanging="220"/>
        <w:spacing w:after="0"/>
        <w:tabs>
          <w:tab w:leader="none" w:pos="46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2022 Corporate Governance Report</w:t>
      </w:r>
    </w:p>
    <w:p>
      <w:pPr>
        <w:spacing w:after="0" w:line="151" w:lineRule="exact"/>
        <w:rPr>
          <w:rFonts w:ascii="Times New Roman" w:cs="Times New Roman" w:eastAsia="Times New Roman" w:hAnsi="Times New Roman"/>
          <w:sz w:val="12"/>
          <w:szCs w:val="12"/>
          <w:color w:val="auto"/>
        </w:rPr>
      </w:pPr>
    </w:p>
    <w:p>
      <w:pPr>
        <w:ind w:left="460" w:hanging="220"/>
        <w:spacing w:after="0"/>
        <w:tabs>
          <w:tab w:leader="none" w:pos="46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2022 Compensation Report</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Our Corporate Responsibility, Corporate Governance and Compensation Reports for 2022 can be found on our website, </w:t>
      </w:r>
      <w:r>
        <w:rPr>
          <w:rFonts w:ascii="Arial" w:cs="Arial" w:eastAsia="Arial" w:hAnsi="Arial"/>
          <w:sz w:val="12"/>
          <w:szCs w:val="12"/>
          <w:color w:val="029C93"/>
        </w:rPr>
        <w:t>Genmab.com</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415290</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Our 2030 Vision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 2030, our KYSO (knock-your-socks-off) antibody medicines are fundamentally transforming the lives of people with cancer and other serious diseases.</w:t>
      </w:r>
    </w:p>
    <w:p>
      <w:pPr>
        <w:spacing w:after="0" w:line="143" w:lineRule="exact"/>
        <w:rPr>
          <w:sz w:val="20"/>
          <w:szCs w:val="20"/>
          <w:color w:val="auto"/>
        </w:rPr>
      </w:pPr>
    </w:p>
    <w:p>
      <w:pPr>
        <w:ind w:left="20" w:right="339"/>
        <w:spacing w:after="0" w:line="273" w:lineRule="auto"/>
        <w:rPr>
          <w:sz w:val="20"/>
          <w:szCs w:val="20"/>
          <w:color w:val="auto"/>
        </w:rPr>
      </w:pPr>
      <w:r>
        <w:rPr>
          <w:rFonts w:ascii="Arial" w:cs="Arial" w:eastAsia="Arial" w:hAnsi="Arial"/>
          <w:sz w:val="12"/>
          <w:szCs w:val="12"/>
          <w:b w:val="1"/>
          <w:bCs w:val="1"/>
          <w:color w:val="auto"/>
        </w:rPr>
        <w:t xml:space="preserve">Our Core purpose: </w:t>
      </w:r>
      <w:r>
        <w:rPr>
          <w:rFonts w:ascii="Arial" w:cs="Arial" w:eastAsia="Arial" w:hAnsi="Arial"/>
          <w:sz w:val="12"/>
          <w:szCs w:val="12"/>
          <w:color w:val="auto"/>
        </w:rPr>
        <w:t>Supporting our 2030 Vision is our core purpose – our unstoppable team will improve the lives of patients through innovative and differentiated</w:t>
      </w:r>
      <w:r>
        <w:rPr>
          <w:rFonts w:ascii="Arial" w:cs="Arial" w:eastAsia="Arial" w:hAnsi="Arial"/>
          <w:sz w:val="12"/>
          <w:szCs w:val="12"/>
          <w:b w:val="1"/>
          <w:bCs w:val="1"/>
          <w:color w:val="auto"/>
        </w:rPr>
        <w:t xml:space="preserve"> </w:t>
      </w:r>
      <w:r>
        <w:rPr>
          <w:rFonts w:ascii="Arial" w:cs="Arial" w:eastAsia="Arial" w:hAnsi="Arial"/>
          <w:sz w:val="12"/>
          <w:szCs w:val="12"/>
          <w:color w:val="auto"/>
        </w:rPr>
        <w:t>antibody therapeutics.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Chair’s Statement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Dear Shareholder,</w:t>
      </w:r>
    </w:p>
    <w:p>
      <w:pPr>
        <w:spacing w:after="0" w:line="10" w:lineRule="exact"/>
        <w:rPr>
          <w:sz w:val="20"/>
          <w:szCs w:val="20"/>
          <w:color w:val="auto"/>
        </w:rPr>
      </w:pPr>
    </w:p>
    <w:p>
      <w:pPr>
        <w:ind w:left="20" w:right="579"/>
        <w:spacing w:after="0" w:line="252" w:lineRule="auto"/>
        <w:rPr>
          <w:sz w:val="20"/>
          <w:szCs w:val="20"/>
          <w:color w:val="auto"/>
        </w:rPr>
      </w:pPr>
      <w:r>
        <w:rPr>
          <w:rFonts w:ascii="Arial" w:cs="Arial" w:eastAsia="Arial" w:hAnsi="Arial"/>
          <w:sz w:val="12"/>
          <w:szCs w:val="12"/>
          <w:color w:val="auto"/>
        </w:rPr>
        <w:t>At Genmab, we strive to be innovative and forward-thinking in everything we do, not just in our approach to discovering and developing differentiated antibody therapeutics. As a result, in 2022 the unstoppable team at Genmab built on our already solid foundation with progress throughout our business.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COMMITMENT TO SUSTAINABILITY AND THE ENVIRONMENT</w:t>
      </w:r>
    </w:p>
    <w:p>
      <w:pPr>
        <w:spacing w:after="0" w:line="10" w:lineRule="exact"/>
        <w:rPr>
          <w:sz w:val="20"/>
          <w:szCs w:val="20"/>
          <w:color w:val="auto"/>
        </w:rPr>
      </w:pPr>
    </w:p>
    <w:p>
      <w:pPr>
        <w:jc w:val="both"/>
        <w:ind w:left="20" w:right="199"/>
        <w:spacing w:after="0" w:line="244" w:lineRule="auto"/>
        <w:rPr>
          <w:sz w:val="20"/>
          <w:szCs w:val="20"/>
          <w:color w:val="auto"/>
        </w:rPr>
      </w:pPr>
      <w:r>
        <w:rPr>
          <w:rFonts w:ascii="Arial" w:cs="Arial" w:eastAsia="Arial" w:hAnsi="Arial"/>
          <w:sz w:val="12"/>
          <w:szCs w:val="12"/>
          <w:color w:val="auto"/>
        </w:rPr>
        <w:t>Over the past year, we continued our business-driven corporate responsibility strategy with an emphasis on measuring our carbon footprint, setting climate ambitions and targets, and improving our climate-related disclosures. We remained committed to our three previously selected United Nations Sustainable Development Goals (UNSDGs), and added an additional UNSDG, Goal 13: Climate Action.</w:t>
      </w:r>
    </w:p>
    <w:p>
      <w:pPr>
        <w:spacing w:after="0" w:line="120" w:lineRule="exact"/>
        <w:rPr>
          <w:sz w:val="20"/>
          <w:szCs w:val="20"/>
          <w:color w:val="auto"/>
        </w:rPr>
      </w:pPr>
    </w:p>
    <w:p>
      <w:pPr>
        <w:ind w:left="20" w:right="159"/>
        <w:spacing w:after="0" w:line="243" w:lineRule="auto"/>
        <w:rPr>
          <w:sz w:val="20"/>
          <w:szCs w:val="20"/>
          <w:color w:val="auto"/>
        </w:rPr>
      </w:pPr>
      <w:r>
        <w:rPr>
          <w:rFonts w:ascii="Arial" w:cs="Arial" w:eastAsia="Arial" w:hAnsi="Arial"/>
          <w:sz w:val="12"/>
          <w:szCs w:val="12"/>
          <w:color w:val="auto"/>
        </w:rPr>
        <w:t>We are also dedicated to transparency and the continued improvement of our climate disclosures. We have included in our Annual Report our disclosures in accordance with the Task Force on Climate-related Financial Disclosures (TCFD) recommendations. In addition, we have an intention to commit to a climate target to reduce our greenhouse gas (GHG) emissions in line with the Paris Agreement. Because of our focus on sustainability, Genmab scores well on external benchmarking for environmental, social and governance (ESG) and we continually seek ways to improve and remain compliant with existing and new requirements. In 2023, we will continue our commitment to environmental responsibility and sustainability and will look for opportunities to further integrate this commitment into our business. I encourage you to read our 2022 Corporate Responsibility Report for more information.</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EXPERIENCED LEADERSHIP</w:t>
      </w:r>
    </w:p>
    <w:p>
      <w:pPr>
        <w:spacing w:after="0" w:line="10" w:lineRule="exact"/>
        <w:rPr>
          <w:sz w:val="20"/>
          <w:szCs w:val="20"/>
          <w:color w:val="auto"/>
        </w:rPr>
      </w:pPr>
    </w:p>
    <w:p>
      <w:pPr>
        <w:ind w:left="20" w:right="219"/>
        <w:spacing w:after="0" w:line="241" w:lineRule="auto"/>
        <w:rPr>
          <w:sz w:val="20"/>
          <w:szCs w:val="20"/>
          <w:color w:val="auto"/>
        </w:rPr>
      </w:pPr>
      <w:r>
        <w:rPr>
          <w:rFonts w:ascii="Arial" w:cs="Arial" w:eastAsia="Arial" w:hAnsi="Arial"/>
          <w:sz w:val="12"/>
          <w:szCs w:val="12"/>
          <w:color w:val="auto"/>
        </w:rPr>
        <w:t>In 2022, we further strengthened our Senior Leadership team with the appointments of Birgitte Stephensen to Chief Legal Officer and Chris Cozic to Chief People Officer. Both leaders have experience in their fields, within and outside of Genmab. Birgitte Stephensen joined Genmab in 2002 and previously served as Genmab’s Senior Vice President, Intellectual Property Rights and Legal. Chris Cozic joined Genmab in 2017 and most recently served as Senior Vice President, Global Human Resources.</w:t>
      </w:r>
    </w:p>
    <w:p>
      <w:pPr>
        <w:spacing w:after="0" w:line="123"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We also saw a change to our Board of Directors with the election of Elizabeth O’Farrell at Genmab’s 2022 Annual General Meeting. During her 24-year career at Eli Lilly, Ms. O’Farrell served as CFO of some of the company’s largest businesses, including as Head of Global Finance Operations. She has solid financial</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experience including strategic, operational and financial decision-making and reporting across the value chain as well as expertise in driving global change initiatives.</w:t>
      </w:r>
    </w:p>
    <w:p>
      <w:pPr>
        <w:spacing w:after="0" w:line="14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On behalf of the Board of Directors, I would like to thank Genmab’s dedicated team members, CEO Jan van de Winkel and the entire global leadership team for their inspiration and extraordinary leadership as well as our shareholders for their continued support.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Sincerely,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Deirdre P. Connelly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Board Chair</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Letter from the CEO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Dear Shareholder,</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 SUCCESSFUL STRATEGY</w:t>
      </w:r>
    </w:p>
    <w:p>
      <w:pPr>
        <w:spacing w:after="0" w:line="143" w:lineRule="exact"/>
        <w:rPr>
          <w:sz w:val="20"/>
          <w:szCs w:val="20"/>
          <w:color w:val="auto"/>
        </w:rPr>
      </w:pPr>
    </w:p>
    <w:p>
      <w:pPr>
        <w:ind w:left="20" w:right="119"/>
        <w:spacing w:after="0" w:line="211" w:lineRule="auto"/>
        <w:rPr>
          <w:sz w:val="20"/>
          <w:szCs w:val="20"/>
          <w:color w:val="auto"/>
        </w:rPr>
      </w:pPr>
      <w:r>
        <w:rPr>
          <w:rFonts w:ascii="Arial" w:cs="Arial" w:eastAsia="Arial" w:hAnsi="Arial"/>
          <w:sz w:val="12"/>
          <w:szCs w:val="12"/>
          <w:color w:val="auto"/>
        </w:rPr>
        <w:t>When I became CEO of Genmab in 2010 there was an imperative to outline a new strategy – one that would reposition the company to become financially sustainable and allow us to invest in our world-class antibody products and technologies. That three-pronged strategy – to turn science into medicine, build a profitable and successful biotech and focus on our core competence – led quickly to success. Just two years after we unveiled this strategy, we entered into two agreements with Janssen Biotech, Inc. (Janssen) that subsequently resulted in multiple approved medicines: DARZALEX</w:t>
      </w:r>
      <w:r>
        <w:rPr>
          <w:rFonts w:ascii="Arial" w:cs="Arial" w:eastAsia="Arial" w:hAnsi="Arial"/>
          <w:sz w:val="18"/>
          <w:szCs w:val="18"/>
          <w:color w:val="auto"/>
          <w:vertAlign w:val="superscript"/>
        </w:rPr>
        <w:t>®</w:t>
      </w:r>
      <w:r>
        <w:rPr>
          <w:rFonts w:ascii="Arial" w:cs="Arial" w:eastAsia="Arial" w:hAnsi="Arial"/>
          <w:sz w:val="12"/>
          <w:szCs w:val="12"/>
          <w:color w:val="auto"/>
        </w:rPr>
        <w:t xml:space="preserve"> (daratumumab) and DARZALEX </w:t>
      </w:r>
      <w:r>
        <w:rPr>
          <w:rFonts w:ascii="Arial" w:cs="Arial" w:eastAsia="Arial" w:hAnsi="Arial"/>
          <w:sz w:val="12"/>
          <w:szCs w:val="12"/>
          <w:i w:val="1"/>
          <w:iCs w:val="1"/>
          <w:color w:val="auto"/>
        </w:rPr>
        <w:t>FASPRO</w:t>
      </w:r>
      <w:r>
        <w:rPr>
          <w:rFonts w:ascii="Arial" w:cs="Arial" w:eastAsia="Arial" w:hAnsi="Arial"/>
          <w:sz w:val="18"/>
          <w:szCs w:val="18"/>
          <w:color w:val="auto"/>
          <w:vertAlign w:val="superscript"/>
        </w:rPr>
        <w:t>®</w:t>
      </w:r>
      <w:r>
        <w:rPr>
          <w:rFonts w:ascii="Arial" w:cs="Arial" w:eastAsia="Arial" w:hAnsi="Arial"/>
          <w:sz w:val="12"/>
          <w:szCs w:val="12"/>
          <w:color w:val="auto"/>
        </w:rPr>
        <w:t xml:space="preserve"> (daratumumab and hyaluronidase-fihj) and the first approved DuoBody</w:t>
      </w:r>
      <w:r>
        <w:rPr>
          <w:rFonts w:ascii="Arial" w:cs="Arial" w:eastAsia="Arial" w:hAnsi="Arial"/>
          <w:sz w:val="18"/>
          <w:szCs w:val="18"/>
          <w:color w:val="auto"/>
          <w:vertAlign w:val="superscript"/>
        </w:rPr>
        <w:t>®</w:t>
      </w:r>
      <w:r>
        <w:rPr>
          <w:rFonts w:ascii="Arial" w:cs="Arial" w:eastAsia="Arial" w:hAnsi="Arial"/>
          <w:sz w:val="12"/>
          <w:szCs w:val="12"/>
          <w:color w:val="auto"/>
        </w:rPr>
        <w:t>-based antibody therapies RYBREVANT</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(amivantamab) and TECVAYLI</w:t>
      </w:r>
      <w:r>
        <w:rPr>
          <w:rFonts w:ascii="Arial" w:cs="Arial" w:eastAsia="Arial" w:hAnsi="Arial"/>
          <w:sz w:val="18"/>
          <w:szCs w:val="18"/>
          <w:color w:val="auto"/>
          <w:vertAlign w:val="superscript"/>
        </w:rPr>
        <w:t>®</w:t>
      </w:r>
      <w:r>
        <w:rPr>
          <w:rFonts w:ascii="Arial" w:cs="Arial" w:eastAsia="Arial" w:hAnsi="Arial"/>
          <w:sz w:val="12"/>
          <w:szCs w:val="12"/>
          <w:color w:val="auto"/>
        </w:rPr>
        <w:t xml:space="preserve"> (teclistamab). There is potential for an additional DuoBody-based medicine from this collaboration, as Janssen submitted a Biologics License Application (BLA) in December to the U.S. Food and Drug Administration (U.S. FDA) for talquetamab.</w:t>
      </w:r>
    </w:p>
    <w:p>
      <w:pPr>
        <w:spacing w:after="0" w:line="126" w:lineRule="exact"/>
        <w:rPr>
          <w:sz w:val="20"/>
          <w:szCs w:val="20"/>
          <w:color w:val="auto"/>
        </w:rPr>
      </w:pPr>
    </w:p>
    <w:p>
      <w:pPr>
        <w:ind w:left="20" w:right="119"/>
        <w:spacing w:after="0" w:line="224" w:lineRule="auto"/>
        <w:rPr>
          <w:sz w:val="20"/>
          <w:szCs w:val="20"/>
          <w:color w:val="auto"/>
        </w:rPr>
      </w:pPr>
      <w:r>
        <w:rPr>
          <w:rFonts w:ascii="Arial" w:cs="Arial" w:eastAsia="Arial" w:hAnsi="Arial"/>
          <w:sz w:val="12"/>
          <w:szCs w:val="12"/>
          <w:color w:val="auto"/>
        </w:rPr>
        <w:t>The approved medicines form part of the recurring revenue streams that we use to invest back into our company’s pipeline, technology and people. The results of this investment were on display in 2022. We celebrated the first full year of Genmab’s first approved medicine, Tivdak</w:t>
      </w:r>
      <w:r>
        <w:rPr>
          <w:rFonts w:ascii="Arial" w:cs="Arial" w:eastAsia="Arial" w:hAnsi="Arial"/>
          <w:sz w:val="18"/>
          <w:szCs w:val="18"/>
          <w:color w:val="auto"/>
          <w:vertAlign w:val="superscript"/>
        </w:rPr>
        <w:t>®</w:t>
      </w:r>
      <w:r>
        <w:rPr>
          <w:rFonts w:ascii="Arial" w:cs="Arial" w:eastAsia="Arial" w:hAnsi="Arial"/>
          <w:sz w:val="12"/>
          <w:szCs w:val="12"/>
          <w:color w:val="auto"/>
        </w:rPr>
        <w:t xml:space="preserve"> (tisotumab vedotin-tftv), co-developed with Seagen Inc. (Seagen), being available for certain cervical cancer patients in the U.S. We submitted applications for our own DuoBody-based investigational medicine, epcoritamab, for approval in the U.S. and Japan and our partner AbbVie Inc. (AbbVie) followed suit in Europe. We expanded and advanced our clinical and pre-clinical portfolios, including an expansion of our successful collaboration with BioNTech SE (BioNTech), and we further scaled our organization to be aligned with our portfolio growth and potential future product launches.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 VISION ROOTED IN SCIENCE, INSPIRED BY PATIENTS</w:t>
      </w:r>
    </w:p>
    <w:p>
      <w:pPr>
        <w:spacing w:after="0" w:line="10" w:lineRule="exact"/>
        <w:rPr>
          <w:sz w:val="20"/>
          <w:szCs w:val="20"/>
          <w:color w:val="auto"/>
        </w:rPr>
      </w:pPr>
    </w:p>
    <w:p>
      <w:pPr>
        <w:ind w:left="20" w:right="79"/>
        <w:spacing w:after="0"/>
        <w:rPr>
          <w:sz w:val="20"/>
          <w:szCs w:val="20"/>
          <w:color w:val="auto"/>
        </w:rPr>
      </w:pPr>
      <w:r>
        <w:rPr>
          <w:rFonts w:ascii="Arial" w:cs="Arial" w:eastAsia="Arial" w:hAnsi="Arial"/>
          <w:sz w:val="12"/>
          <w:szCs w:val="12"/>
          <w:color w:val="auto"/>
        </w:rPr>
        <w:t>Soon after we launched our successful strategy, we articulated an ambitious vision for the company – that by 2025, our own product has transformed cancer treatment, and we have a pipeline of KYSO antibodies. To support this vision, we outlined how we would build our capabilities and teams, and we aligned on a series of goals and milestones that we committed to reaching by 2025. These ambitious goals were a roadmap to becoming the company that we knew we could be. I am proud that we have met most of those goals and many more are within reach, giving us an extremely solid foundation on which to continue to build Genmab. With these achievements, we felt that it was time to look beyond our 2025 Vision to continue impacting the</w:t>
      </w: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20" w:right="179"/>
        <w:spacing w:after="0" w:line="255" w:lineRule="auto"/>
        <w:rPr>
          <w:sz w:val="20"/>
          <w:szCs w:val="20"/>
          <w:color w:val="auto"/>
        </w:rPr>
      </w:pPr>
      <w:r>
        <w:rPr>
          <w:rFonts w:ascii="Arial" w:cs="Arial" w:eastAsia="Arial" w:hAnsi="Arial"/>
          <w:sz w:val="12"/>
          <w:szCs w:val="12"/>
          <w:color w:val="auto"/>
        </w:rPr>
        <w:t xml:space="preserve">lives of patients and the healthcare community into the future. Together with members of Genmab’s leadership team and colleagues throughout the organization, we discussed what would make us feel proud in 2030. We have captured our aspirations for the future with a new vision, that by 2030, </w:t>
      </w:r>
      <w:r>
        <w:rPr>
          <w:rFonts w:ascii="Arial" w:cs="Arial" w:eastAsia="Arial" w:hAnsi="Arial"/>
          <w:sz w:val="12"/>
          <w:szCs w:val="12"/>
          <w:i w:val="1"/>
          <w:iCs w:val="1"/>
          <w:color w:val="auto"/>
        </w:rPr>
        <w:t>our KYSO antibody medicines are</w:t>
      </w:r>
      <w:r>
        <w:rPr>
          <w:rFonts w:ascii="Arial" w:cs="Arial" w:eastAsia="Arial" w:hAnsi="Arial"/>
          <w:sz w:val="12"/>
          <w:szCs w:val="12"/>
          <w:color w:val="auto"/>
        </w:rPr>
        <w:t xml:space="preserve"> </w:t>
      </w:r>
      <w:r>
        <w:rPr>
          <w:rFonts w:ascii="Arial" w:cs="Arial" w:eastAsia="Arial" w:hAnsi="Arial"/>
          <w:sz w:val="12"/>
          <w:szCs w:val="12"/>
          <w:i w:val="1"/>
          <w:iCs w:val="1"/>
          <w:color w:val="auto"/>
        </w:rPr>
        <w:t>fundamentally transforming the lives of people with cancer and other serious diseases</w:t>
      </w:r>
      <w:r>
        <w:rPr>
          <w:rFonts w:ascii="Arial" w:cs="Arial" w:eastAsia="Arial" w:hAnsi="Arial"/>
          <w:sz w:val="12"/>
          <w:szCs w:val="12"/>
          <w:color w:val="auto"/>
        </w:rPr>
        <w:t>.</w:t>
      </w:r>
    </w:p>
    <w:p>
      <w:pPr>
        <w:spacing w:after="0" w:line="113" w:lineRule="exact"/>
        <w:rPr>
          <w:sz w:val="20"/>
          <w:szCs w:val="20"/>
          <w:color w:val="auto"/>
        </w:rPr>
      </w:pPr>
    </w:p>
    <w:p>
      <w:pPr>
        <w:ind w:left="20" w:right="39"/>
        <w:spacing w:after="0" w:line="224" w:lineRule="auto"/>
        <w:rPr>
          <w:sz w:val="20"/>
          <w:szCs w:val="20"/>
          <w:color w:val="auto"/>
        </w:rPr>
      </w:pPr>
      <w:r>
        <w:rPr>
          <w:rFonts w:ascii="Arial" w:cs="Arial" w:eastAsia="Arial" w:hAnsi="Arial"/>
          <w:sz w:val="12"/>
          <w:szCs w:val="12"/>
          <w:color w:val="auto"/>
        </w:rPr>
        <w:t>Our 2030 Vision is not a reimagining of what Genmab is, but a bold expansion of what Genmab can be and how our unstoppable team aspires to use our innovation in antibody therapeutics to fundamentally transform the lives of patients. We know that our antibody know-how, assets and technologies can be applied to diseases outside cancer – the approvals of Novartis AG (Novartis)’s Kesimpta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(ofatumumab) in relapsing multiple sclerosis (RMS) and Horizon Therapeutics, plc (Horizon)’s TEPEZZA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(teprotumumab-trbw) in thyroid eye disease (TED) are proof of this. While we will continue to create and develop new treatment concepts in oncology, we will apply a rigorous approach in identifying areas outside of oncology where our science and expertise may potentially make the biggest difference for patients, with the ultimate goal of improving the lives of as many people as possible.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AN UNSTOPPABLE TEAM, A KYSO FUTURE</w:t>
      </w:r>
    </w:p>
    <w:p>
      <w:pPr>
        <w:spacing w:after="0" w:line="10" w:lineRule="exact"/>
        <w:rPr>
          <w:sz w:val="20"/>
          <w:szCs w:val="20"/>
          <w:color w:val="auto"/>
        </w:rPr>
      </w:pPr>
    </w:p>
    <w:p>
      <w:pPr>
        <w:ind w:left="20" w:right="719"/>
        <w:spacing w:after="0" w:line="252" w:lineRule="auto"/>
        <w:rPr>
          <w:sz w:val="20"/>
          <w:szCs w:val="20"/>
          <w:color w:val="auto"/>
        </w:rPr>
      </w:pPr>
      <w:r>
        <w:rPr>
          <w:rFonts w:ascii="Arial" w:cs="Arial" w:eastAsia="Arial" w:hAnsi="Arial"/>
          <w:sz w:val="12"/>
          <w:szCs w:val="12"/>
          <w:color w:val="auto"/>
        </w:rPr>
        <w:t>As a co-founder of Genmab, I am extremely motivated by the progress we have made, both since I became CEO and over the past year. As a scientist and immunologist, I am truly excited by the potential of our antibodies and by the possibilities for Genmab in 2023, 2030 and beyond.</w:t>
      </w:r>
    </w:p>
    <w:p>
      <w:pPr>
        <w:spacing w:after="0" w:line="115"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I can say with confidence that this is not my story alone or the story of our global leadership team – it is the story of our talented and unstoppable Genmab team, of our collaboration partners who believe in the power of antibody therapies, of our supportive Board of Directors, the patients who participate in our clinical trials and their families, the investigators who help us trailblaze innovations, and our shareholders who believe in our vision. We are at the beginning of a fantastic KYSO future that we are creating together, and I thank you for your continued support.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Sincerely yours,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Jan van de Winkel, Ph.D.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&amp; Chief Executive Officer</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2022 at a Glance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Operational</w:t>
      </w:r>
    </w:p>
    <w:p>
      <w:pPr>
        <w:spacing w:after="0" w:line="10" w:lineRule="exact"/>
        <w:rPr>
          <w:sz w:val="20"/>
          <w:szCs w:val="20"/>
          <w:color w:val="auto"/>
        </w:rPr>
      </w:pPr>
    </w:p>
    <w:p>
      <w:pPr>
        <w:ind w:left="480" w:hanging="222"/>
        <w:spacing w:after="0"/>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U.S. FDA granted orphan-drug designation to epcoritamab for the treatment of follicular lymphoma (FL)</w:t>
      </w:r>
    </w:p>
    <w:p>
      <w:pPr>
        <w:spacing w:after="0" w:line="6" w:lineRule="exact"/>
        <w:rPr>
          <w:rFonts w:ascii="Times New Roman" w:cs="Times New Roman" w:eastAsia="Times New Roman" w:hAnsi="Times New Roman"/>
          <w:sz w:val="12"/>
          <w:szCs w:val="12"/>
          <w:color w:val="auto"/>
        </w:rPr>
      </w:pPr>
    </w:p>
    <w:p>
      <w:pPr>
        <w:ind w:left="480" w:right="339" w:hanging="222"/>
        <w:spacing w:after="0" w:line="236" w:lineRule="auto"/>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Publication by Genmab and collaboration partner AbbVie of topline results from the large B-cell lymphoma (LBCL) cohort of the pivotal EPCORE™ NHL-1 epcoritamab study</w:t>
      </w:r>
    </w:p>
    <w:p>
      <w:pPr>
        <w:ind w:left="480" w:hanging="222"/>
        <w:spacing w:after="0"/>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New Phase 3 study for epcoritamab initiated</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Regulatory submissions for subcutaneous (SC) epcoritamab in the U.S. and Japan by Genmab and in Europe by AbbVie</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Epcoritamab BLA accepted for Priority Review by the U.S. FDA with a Prescription Drug User Fee Act (PDUFA) target action date of May 21, 2023</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Epcoritamab Marketing Authorization Application (MAA) validated by the European Medicines Agency (EMA)</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hanging="222"/>
        <w:spacing w:after="0"/>
        <w:tabs>
          <w:tab w:leader="none" w:pos="48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First full year of Tivdak, co-development with Seagen, available for certain cervical cancer patients in the U.S.</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Continued development of commercialization capabilities and Genmab’s broader organizational infrastructure with the addition of 448 new colleagues</w:t>
      </w:r>
    </w:p>
    <w:p>
      <w:pPr>
        <w:spacing w:after="0" w:line="6" w:lineRule="exact"/>
        <w:rPr>
          <w:rFonts w:ascii="Times New Roman" w:cs="Times New Roman" w:eastAsia="Times New Roman" w:hAnsi="Times New Roman"/>
          <w:sz w:val="12"/>
          <w:szCs w:val="12"/>
          <w:color w:val="auto"/>
        </w:rPr>
      </w:pPr>
    </w:p>
    <w:p>
      <w:pPr>
        <w:ind w:left="480" w:hanging="222"/>
        <w:spacing w:after="0" w:line="189" w:lineRule="auto"/>
        <w:tabs>
          <w:tab w:leader="none" w:pos="480" w:val="left"/>
        </w:tabs>
        <w:numPr>
          <w:ilvl w:val="0"/>
          <w:numId w:val="3"/>
        </w:numPr>
        <w:rPr>
          <w:rFonts w:ascii="Times New Roman" w:cs="Times New Roman" w:eastAsia="Times New Roman" w:hAnsi="Times New Roman"/>
          <w:sz w:val="11"/>
          <w:szCs w:val="11"/>
          <w:color w:val="auto"/>
        </w:rPr>
      </w:pPr>
      <w:r>
        <w:rPr>
          <w:rFonts w:ascii="Arial" w:cs="Arial" w:eastAsia="Arial" w:hAnsi="Arial"/>
          <w:sz w:val="11"/>
          <w:szCs w:val="11"/>
          <w:color w:val="auto"/>
        </w:rPr>
        <w:t>Expansion of global strategic collaboration with BioNTech, including investigational medicine HexaBody</w:t>
      </w:r>
      <w:r>
        <w:rPr>
          <w:rFonts w:ascii="Arial" w:cs="Arial" w:eastAsia="Arial" w:hAnsi="Arial"/>
          <w:sz w:val="16"/>
          <w:szCs w:val="16"/>
          <w:color w:val="auto"/>
          <w:vertAlign w:val="superscript"/>
        </w:rPr>
        <w:t>®</w:t>
      </w:r>
      <w:r>
        <w:rPr>
          <w:rFonts w:ascii="Arial" w:cs="Arial" w:eastAsia="Arial" w:hAnsi="Arial"/>
          <w:sz w:val="11"/>
          <w:szCs w:val="11"/>
          <w:color w:val="auto"/>
        </w:rPr>
        <w:t>-CD27 (GEN1053/BNT313)</w:t>
      </w:r>
    </w:p>
    <w:p>
      <w:pPr>
        <w:ind w:left="480" w:hanging="222"/>
        <w:spacing w:after="0"/>
        <w:tabs>
          <w:tab w:leader="none" w:pos="48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Second DuoBody-based medicine to receive regulatory approval: Janssen’s TECVAYLI</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Financial</w:t>
      </w:r>
    </w:p>
    <w:p>
      <w:pPr>
        <w:spacing w:after="0" w:line="10" w:lineRule="exact"/>
        <w:rPr>
          <w:sz w:val="20"/>
          <w:szCs w:val="20"/>
          <w:color w:val="auto"/>
        </w:rPr>
      </w:pPr>
    </w:p>
    <w:p>
      <w:pPr>
        <w:ind w:left="480" w:hanging="222"/>
        <w:spacing w:after="0"/>
        <w:tabs>
          <w:tab w:leader="none" w:pos="480"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DKK 194B</w:t>
      </w:r>
    </w:p>
    <w:p>
      <w:pPr>
        <w:spacing w:after="0" w:line="4" w:lineRule="exact"/>
        <w:rPr>
          <w:sz w:val="20"/>
          <w:szCs w:val="20"/>
          <w:color w:val="auto"/>
        </w:rPr>
      </w:pPr>
    </w:p>
    <w:p>
      <w:pPr>
        <w:ind w:left="900" w:hanging="225"/>
        <w:spacing w:after="0"/>
        <w:tabs>
          <w:tab w:leader="none" w:pos="900" w:val="left"/>
        </w:tabs>
        <w:numPr>
          <w:ilvl w:val="1"/>
          <w:numId w:val="5"/>
        </w:numPr>
        <w:rPr>
          <w:rFonts w:ascii="Arial" w:cs="Arial" w:eastAsia="Arial" w:hAnsi="Arial"/>
          <w:sz w:val="12"/>
          <w:szCs w:val="12"/>
          <w:color w:val="auto"/>
        </w:rPr>
      </w:pPr>
      <w:r>
        <w:rPr>
          <w:rFonts w:ascii="Arial" w:cs="Arial" w:eastAsia="Arial" w:hAnsi="Arial"/>
          <w:sz w:val="12"/>
          <w:szCs w:val="12"/>
          <w:color w:val="auto"/>
        </w:rPr>
        <w:t>2022 year-end market cap</w:t>
      </w:r>
    </w:p>
    <w:p>
      <w:pPr>
        <w:ind w:left="480" w:hanging="222"/>
        <w:spacing w:after="0"/>
        <w:tabs>
          <w:tab w:leader="none" w:pos="480"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DKK 14,595M</w:t>
      </w:r>
    </w:p>
    <w:p>
      <w:pPr>
        <w:spacing w:after="0" w:line="6" w:lineRule="exact"/>
        <w:rPr>
          <w:rFonts w:ascii="Times New Roman" w:cs="Times New Roman" w:eastAsia="Times New Roman" w:hAnsi="Times New Roman"/>
          <w:sz w:val="12"/>
          <w:szCs w:val="12"/>
          <w:color w:val="auto"/>
        </w:rPr>
      </w:pPr>
    </w:p>
    <w:p>
      <w:pPr>
        <w:ind w:left="900" w:hanging="225"/>
        <w:spacing w:after="0" w:line="236" w:lineRule="auto"/>
        <w:tabs>
          <w:tab w:leader="none" w:pos="900" w:val="left"/>
        </w:tabs>
        <w:numPr>
          <w:ilvl w:val="1"/>
          <w:numId w:val="5"/>
        </w:numPr>
        <w:rPr>
          <w:rFonts w:ascii="Arial" w:cs="Arial" w:eastAsia="Arial" w:hAnsi="Arial"/>
          <w:sz w:val="12"/>
          <w:szCs w:val="12"/>
          <w:color w:val="auto"/>
        </w:rPr>
      </w:pPr>
      <w:r>
        <w:rPr>
          <w:rFonts w:ascii="Arial" w:cs="Arial" w:eastAsia="Arial" w:hAnsi="Arial"/>
          <w:sz w:val="12"/>
          <w:szCs w:val="12"/>
          <w:color w:val="auto"/>
        </w:rPr>
        <w:t>2022 revenue</w:t>
      </w:r>
    </w:p>
    <w:p>
      <w:pPr>
        <w:ind w:left="480" w:hanging="222"/>
        <w:spacing w:after="0"/>
        <w:tabs>
          <w:tab w:leader="none" w:pos="480"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DKK 8,238M</w:t>
      </w:r>
    </w:p>
    <w:p>
      <w:pPr>
        <w:spacing w:after="0" w:line="6" w:lineRule="exact"/>
        <w:rPr>
          <w:rFonts w:ascii="Times New Roman" w:cs="Times New Roman" w:eastAsia="Times New Roman" w:hAnsi="Times New Roman"/>
          <w:sz w:val="12"/>
          <w:szCs w:val="12"/>
          <w:color w:val="auto"/>
        </w:rPr>
      </w:pPr>
    </w:p>
    <w:p>
      <w:pPr>
        <w:ind w:left="900" w:hanging="225"/>
        <w:spacing w:after="0" w:line="236" w:lineRule="auto"/>
        <w:tabs>
          <w:tab w:leader="none" w:pos="900" w:val="left"/>
        </w:tabs>
        <w:numPr>
          <w:ilvl w:val="1"/>
          <w:numId w:val="5"/>
        </w:numPr>
        <w:rPr>
          <w:rFonts w:ascii="Arial" w:cs="Arial" w:eastAsia="Arial" w:hAnsi="Arial"/>
          <w:sz w:val="12"/>
          <w:szCs w:val="12"/>
          <w:color w:val="auto"/>
        </w:rPr>
      </w:pPr>
      <w:r>
        <w:rPr>
          <w:rFonts w:ascii="Arial" w:cs="Arial" w:eastAsia="Arial" w:hAnsi="Arial"/>
          <w:sz w:val="12"/>
          <w:szCs w:val="12"/>
          <w:color w:val="auto"/>
        </w:rPr>
        <w:t>2022 operating expenses</w:t>
      </w:r>
    </w:p>
    <w:p>
      <w:pPr>
        <w:ind w:left="900"/>
        <w:spacing w:after="0" w:line="236" w:lineRule="auto"/>
        <w:rPr>
          <w:rFonts w:ascii="Arial" w:cs="Arial" w:eastAsia="Arial" w:hAnsi="Arial"/>
          <w:sz w:val="12"/>
          <w:szCs w:val="12"/>
          <w:color w:val="auto"/>
        </w:rPr>
      </w:pPr>
      <w:r>
        <w:rPr>
          <w:rFonts w:ascii="Arial" w:cs="Arial" w:eastAsia="Arial" w:hAnsi="Arial"/>
          <w:sz w:val="12"/>
          <w:szCs w:val="12"/>
          <w:color w:val="auto"/>
        </w:rPr>
        <w:t>68% invested in research and development (R&amp;D)</w:t>
      </w:r>
    </w:p>
    <w:p>
      <w:pPr>
        <w:ind w:left="480" w:hanging="222"/>
        <w:spacing w:after="0"/>
        <w:tabs>
          <w:tab w:leader="none" w:pos="480"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Liquidity and Capital Resources</w:t>
      </w:r>
    </w:p>
    <w:p>
      <w:pPr>
        <w:spacing w:after="0" w:line="3" w:lineRule="exact"/>
        <w:rPr>
          <w:sz w:val="20"/>
          <w:szCs w:val="20"/>
          <w:color w:val="auto"/>
        </w:rPr>
      </w:pPr>
    </w:p>
    <w:p>
      <w:pPr>
        <w:ind w:left="920" w:hanging="227"/>
        <w:spacing w:after="0"/>
        <w:tabs>
          <w:tab w:leader="none" w:pos="920" w:val="left"/>
        </w:tabs>
        <w:numPr>
          <w:ilvl w:val="0"/>
          <w:numId w:val="6"/>
        </w:numPr>
        <w:rPr>
          <w:rFonts w:ascii="Courier New" w:cs="Courier New" w:eastAsia="Courier New" w:hAnsi="Courier New"/>
          <w:sz w:val="12"/>
          <w:szCs w:val="12"/>
          <w:color w:val="auto"/>
        </w:rPr>
      </w:pPr>
      <w:r>
        <w:rPr>
          <w:rFonts w:ascii="Arial" w:cs="Arial" w:eastAsia="Arial" w:hAnsi="Arial"/>
          <w:sz w:val="12"/>
          <w:szCs w:val="12"/>
          <w:color w:val="auto"/>
        </w:rPr>
        <w:t xml:space="preserve">Marketable securities </w:t>
      </w:r>
      <w:r>
        <w:rPr>
          <w:rFonts w:ascii="Courier New" w:cs="Courier New" w:eastAsia="Courier New" w:hAnsi="Courier New"/>
          <w:sz w:val="12"/>
          <w:szCs w:val="12"/>
          <w:color w:val="auto"/>
        </w:rPr>
        <w:t>–</w:t>
      </w:r>
      <w:r>
        <w:rPr>
          <w:rFonts w:ascii="Arial" w:cs="Arial" w:eastAsia="Arial" w:hAnsi="Arial"/>
          <w:sz w:val="12"/>
          <w:szCs w:val="12"/>
          <w:color w:val="auto"/>
        </w:rPr>
        <w:t xml:space="preserve"> DKK 12,431M</w:t>
      </w:r>
    </w:p>
    <w:p>
      <w:pPr>
        <w:ind w:left="920" w:hanging="227"/>
        <w:spacing w:after="0" w:line="234" w:lineRule="auto"/>
        <w:tabs>
          <w:tab w:leader="none" w:pos="920" w:val="left"/>
        </w:tabs>
        <w:numPr>
          <w:ilvl w:val="0"/>
          <w:numId w:val="6"/>
        </w:numPr>
        <w:rPr>
          <w:rFonts w:ascii="Courier New" w:cs="Courier New" w:eastAsia="Courier New" w:hAnsi="Courier New"/>
          <w:sz w:val="12"/>
          <w:szCs w:val="12"/>
          <w:color w:val="auto"/>
        </w:rPr>
      </w:pPr>
      <w:r>
        <w:rPr>
          <w:rFonts w:ascii="Arial" w:cs="Arial" w:eastAsia="Arial" w:hAnsi="Arial"/>
          <w:sz w:val="12"/>
          <w:szCs w:val="12"/>
          <w:color w:val="auto"/>
        </w:rPr>
        <w:t xml:space="preserve">Cash and cash equivalents </w:t>
      </w:r>
      <w:r>
        <w:rPr>
          <w:rFonts w:ascii="Courier New" w:cs="Courier New" w:eastAsia="Courier New" w:hAnsi="Courier New"/>
          <w:sz w:val="12"/>
          <w:szCs w:val="12"/>
          <w:color w:val="auto"/>
        </w:rPr>
        <w:t>–</w:t>
      </w:r>
      <w:r>
        <w:rPr>
          <w:rFonts w:ascii="Arial" w:cs="Arial" w:eastAsia="Arial" w:hAnsi="Arial"/>
          <w:sz w:val="12"/>
          <w:szCs w:val="12"/>
          <w:color w:val="auto"/>
        </w:rPr>
        <w:t xml:space="preserve"> DKK 9,893M</w:t>
      </w:r>
    </w:p>
    <w:p>
      <w:pPr>
        <w:ind w:left="920" w:hanging="227"/>
        <w:spacing w:after="0"/>
        <w:tabs>
          <w:tab w:leader="none" w:pos="920" w:val="left"/>
        </w:tabs>
        <w:numPr>
          <w:ilvl w:val="0"/>
          <w:numId w:val="6"/>
        </w:numPr>
        <w:rPr>
          <w:rFonts w:ascii="Courier New" w:cs="Courier New" w:eastAsia="Courier New" w:hAnsi="Courier New"/>
          <w:sz w:val="12"/>
          <w:szCs w:val="12"/>
          <w:color w:val="auto"/>
        </w:rPr>
      </w:pPr>
      <w:r>
        <w:rPr>
          <w:rFonts w:ascii="Arial" w:cs="Arial" w:eastAsia="Arial" w:hAnsi="Arial"/>
          <w:sz w:val="12"/>
          <w:szCs w:val="12"/>
          <w:color w:val="auto"/>
        </w:rPr>
        <w:t>Shareholders</w:t>
      </w:r>
      <w:r>
        <w:rPr>
          <w:rFonts w:ascii="Courier New" w:cs="Courier New" w:eastAsia="Courier New" w:hAnsi="Courier New"/>
          <w:sz w:val="12"/>
          <w:szCs w:val="12"/>
          <w:color w:val="auto"/>
        </w:rPr>
        <w:t>’</w:t>
      </w:r>
      <w:r>
        <w:rPr>
          <w:rFonts w:ascii="Arial" w:cs="Arial" w:eastAsia="Arial" w:hAnsi="Arial"/>
          <w:sz w:val="12"/>
          <w:szCs w:val="12"/>
          <w:color w:val="auto"/>
        </w:rPr>
        <w:t xml:space="preserve"> equity </w:t>
      </w:r>
      <w:r>
        <w:rPr>
          <w:rFonts w:ascii="Courier New" w:cs="Courier New" w:eastAsia="Courier New" w:hAnsi="Courier New"/>
          <w:sz w:val="12"/>
          <w:szCs w:val="12"/>
          <w:color w:val="auto"/>
        </w:rPr>
        <w:t>–</w:t>
      </w:r>
      <w:r>
        <w:rPr>
          <w:rFonts w:ascii="Arial" w:cs="Arial" w:eastAsia="Arial" w:hAnsi="Arial"/>
          <w:sz w:val="12"/>
          <w:szCs w:val="12"/>
          <w:color w:val="auto"/>
        </w:rPr>
        <w:t xml:space="preserve"> DKK 27,441M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84455</wp:posOffset>
            </wp:positionV>
            <wp:extent cx="1893570" cy="1249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3570" cy="124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2020 Operating Profit impacted by one-time AbbVie upfront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Key Figures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500" w:type="dxa"/>
            <w:vAlign w:val="bottom"/>
          </w:tcPr>
          <w:p>
            <w:pPr>
              <w:spacing w:after="0"/>
              <w:rPr>
                <w:sz w:val="20"/>
                <w:szCs w:val="20"/>
                <w:color w:val="auto"/>
              </w:rPr>
            </w:pPr>
            <w:r>
              <w:rPr>
                <w:rFonts w:ascii="Arial" w:cs="Arial" w:eastAsia="Arial" w:hAnsi="Arial"/>
                <w:sz w:val="8"/>
                <w:szCs w:val="8"/>
                <w:b w:val="1"/>
                <w:bCs w:val="1"/>
                <w:color w:val="auto"/>
              </w:rPr>
              <w:t>(DKK million)</w:t>
            </w:r>
          </w:p>
        </w:tc>
        <w:tc>
          <w:tcPr>
            <w:tcW w:w="10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2018*</w:t>
            </w:r>
          </w:p>
        </w:tc>
        <w:tc>
          <w:tcPr>
            <w:tcW w:w="12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2019</w:t>
            </w:r>
          </w:p>
        </w:tc>
        <w:tc>
          <w:tcPr>
            <w:tcW w:w="12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2020</w:t>
            </w:r>
          </w:p>
        </w:tc>
        <w:tc>
          <w:tcPr>
            <w:tcW w:w="12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2021</w:t>
            </w:r>
          </w:p>
        </w:tc>
        <w:tc>
          <w:tcPr>
            <w:tcW w:w="760" w:type="dxa"/>
            <w:vAlign w:val="bottom"/>
          </w:tcPr>
          <w:p>
            <w:pPr>
              <w:spacing w:after="0"/>
              <w:rPr>
                <w:sz w:val="7"/>
                <w:szCs w:val="7"/>
                <w:color w:val="auto"/>
              </w:rPr>
            </w:pPr>
          </w:p>
        </w:tc>
        <w:tc>
          <w:tcPr>
            <w:tcW w:w="960" w:type="dxa"/>
            <w:vAlign w:val="bottom"/>
            <w:vMerge w:val="restart"/>
          </w:tcPr>
          <w:p>
            <w:pPr>
              <w:jc w:val="right"/>
              <w:ind w:right="438"/>
              <w:spacing w:after="0"/>
              <w:rPr>
                <w:sz w:val="20"/>
                <w:szCs w:val="20"/>
                <w:color w:val="auto"/>
              </w:rPr>
            </w:pPr>
            <w:r>
              <w:rPr>
                <w:rFonts w:ascii="Arial" w:cs="Arial" w:eastAsia="Arial" w:hAnsi="Arial"/>
                <w:sz w:val="8"/>
                <w:szCs w:val="8"/>
                <w:b w:val="1"/>
                <w:bCs w:val="1"/>
                <w:color w:val="auto"/>
              </w:rPr>
              <w:t>2022</w:t>
            </w:r>
          </w:p>
        </w:tc>
        <w:tc>
          <w:tcPr>
            <w:tcW w:w="0" w:type="dxa"/>
            <w:vAlign w:val="bottom"/>
          </w:tcPr>
          <w:p>
            <w:pPr>
              <w:spacing w:after="0"/>
              <w:rPr>
                <w:sz w:val="1"/>
                <w:szCs w:val="1"/>
                <w:color w:val="auto"/>
              </w:rPr>
            </w:pPr>
          </w:p>
        </w:tc>
      </w:tr>
      <w:tr>
        <w:trPr>
          <w:trHeight w:val="103"/>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Income Statement</w:t>
            </w:r>
          </w:p>
        </w:tc>
        <w:tc>
          <w:tcPr>
            <w:tcW w:w="104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00" w:type="dxa"/>
            <w:vAlign w:val="bottom"/>
          </w:tcPr>
          <w:p>
            <w:pPr>
              <w:spacing w:after="0" w:line="86" w:lineRule="exact"/>
              <w:rPr>
                <w:sz w:val="20"/>
                <w:szCs w:val="20"/>
                <w:color w:val="auto"/>
              </w:rPr>
            </w:pPr>
            <w:r>
              <w:rPr>
                <w:rFonts w:ascii="Arial" w:cs="Arial" w:eastAsia="Arial" w:hAnsi="Arial"/>
                <w:sz w:val="8"/>
                <w:szCs w:val="8"/>
                <w:color w:val="auto"/>
              </w:rPr>
              <w:t>Revenue</w:t>
            </w:r>
          </w:p>
        </w:tc>
        <w:tc>
          <w:tcPr>
            <w:tcW w:w="1040" w:type="dxa"/>
            <w:vAlign w:val="bottom"/>
          </w:tcPr>
          <w:p>
            <w:pPr>
              <w:spacing w:after="0"/>
              <w:rPr>
                <w:sz w:val="7"/>
                <w:szCs w:val="7"/>
                <w:color w:val="auto"/>
              </w:rPr>
            </w:pP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3,025</w:t>
            </w: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5,366</w:t>
            </w:r>
          </w:p>
        </w:tc>
        <w:tc>
          <w:tcPr>
            <w:tcW w:w="1260" w:type="dxa"/>
            <w:vAlign w:val="bottom"/>
          </w:tcPr>
          <w:p>
            <w:pPr>
              <w:jc w:val="right"/>
              <w:ind w:right="778"/>
              <w:spacing w:after="0" w:line="86" w:lineRule="exact"/>
              <w:rPr>
                <w:sz w:val="20"/>
                <w:szCs w:val="20"/>
                <w:color w:val="auto"/>
              </w:rPr>
            </w:pPr>
            <w:r>
              <w:rPr>
                <w:rFonts w:ascii="Arial" w:cs="Arial" w:eastAsia="Arial" w:hAnsi="Arial"/>
                <w:sz w:val="8"/>
                <w:szCs w:val="8"/>
                <w:color w:val="auto"/>
              </w:rPr>
              <w:t>10,111</w:t>
            </w:r>
          </w:p>
        </w:tc>
        <w:tc>
          <w:tcPr>
            <w:tcW w:w="760" w:type="dxa"/>
            <w:vAlign w:val="bottom"/>
          </w:tcPr>
          <w:p>
            <w:pPr>
              <w:jc w:val="right"/>
              <w:ind w:right="278"/>
              <w:spacing w:after="0" w:line="86" w:lineRule="exact"/>
              <w:rPr>
                <w:sz w:val="20"/>
                <w:szCs w:val="20"/>
                <w:color w:val="auto"/>
              </w:rPr>
            </w:pPr>
            <w:r>
              <w:rPr>
                <w:rFonts w:ascii="Arial" w:cs="Arial" w:eastAsia="Arial" w:hAnsi="Arial"/>
                <w:sz w:val="8"/>
                <w:szCs w:val="8"/>
                <w:color w:val="auto"/>
              </w:rPr>
              <w:t>8,482</w:t>
            </w:r>
          </w:p>
        </w:tc>
        <w:tc>
          <w:tcPr>
            <w:tcW w:w="960" w:type="dxa"/>
            <w:vAlign w:val="bottom"/>
          </w:tcPr>
          <w:p>
            <w:pPr>
              <w:jc w:val="right"/>
              <w:spacing w:after="0" w:line="86" w:lineRule="exact"/>
              <w:rPr>
                <w:sz w:val="20"/>
                <w:szCs w:val="20"/>
                <w:color w:val="auto"/>
              </w:rPr>
            </w:pPr>
            <w:r>
              <w:rPr>
                <w:rFonts w:ascii="Arial" w:cs="Arial" w:eastAsia="Arial" w:hAnsi="Arial"/>
                <w:sz w:val="8"/>
                <w:szCs w:val="8"/>
                <w:color w:val="auto"/>
              </w:rPr>
              <w:t>14,595</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Research and development expenses</w:t>
            </w:r>
          </w:p>
        </w:tc>
        <w:tc>
          <w:tcPr>
            <w:tcW w:w="1040" w:type="dxa"/>
            <w:vAlign w:val="bottom"/>
          </w:tcPr>
          <w:p>
            <w:pPr>
              <w:spacing w:after="0"/>
              <w:rPr>
                <w:sz w:val="8"/>
                <w:szCs w:val="8"/>
                <w:color w:val="auto"/>
              </w:rPr>
            </w:pPr>
          </w:p>
        </w:tc>
        <w:tc>
          <w:tcPr>
            <w:tcW w:w="1220" w:type="dxa"/>
            <w:vAlign w:val="bottom"/>
          </w:tcPr>
          <w:p>
            <w:pPr>
              <w:jc w:val="right"/>
              <w:ind w:right="718"/>
              <w:spacing w:after="0"/>
              <w:rPr>
                <w:sz w:val="20"/>
                <w:szCs w:val="20"/>
                <w:color w:val="auto"/>
              </w:rPr>
            </w:pPr>
            <w:r>
              <w:rPr>
                <w:rFonts w:ascii="Arial" w:cs="Arial" w:eastAsia="Arial" w:hAnsi="Arial"/>
                <w:sz w:val="8"/>
                <w:szCs w:val="8"/>
                <w:color w:val="auto"/>
              </w:rPr>
              <w:t>(1,431)</w:t>
            </w:r>
          </w:p>
        </w:tc>
        <w:tc>
          <w:tcPr>
            <w:tcW w:w="1220" w:type="dxa"/>
            <w:vAlign w:val="bottom"/>
          </w:tcPr>
          <w:p>
            <w:pPr>
              <w:jc w:val="right"/>
              <w:ind w:right="698"/>
              <w:spacing w:after="0"/>
              <w:rPr>
                <w:sz w:val="20"/>
                <w:szCs w:val="20"/>
                <w:color w:val="auto"/>
              </w:rPr>
            </w:pPr>
            <w:r>
              <w:rPr>
                <w:rFonts w:ascii="Arial" w:cs="Arial" w:eastAsia="Arial" w:hAnsi="Arial"/>
                <w:sz w:val="8"/>
                <w:szCs w:val="8"/>
                <w:color w:val="auto"/>
              </w:rPr>
              <w:t>(2,386)</w:t>
            </w:r>
          </w:p>
        </w:tc>
        <w:tc>
          <w:tcPr>
            <w:tcW w:w="1260" w:type="dxa"/>
            <w:vAlign w:val="bottom"/>
          </w:tcPr>
          <w:p>
            <w:pPr>
              <w:jc w:val="right"/>
              <w:ind w:right="738"/>
              <w:spacing w:after="0"/>
              <w:rPr>
                <w:sz w:val="20"/>
                <w:szCs w:val="20"/>
                <w:color w:val="auto"/>
              </w:rPr>
            </w:pPr>
            <w:r>
              <w:rPr>
                <w:rFonts w:ascii="Arial" w:cs="Arial" w:eastAsia="Arial" w:hAnsi="Arial"/>
                <w:sz w:val="8"/>
                <w:szCs w:val="8"/>
                <w:color w:val="auto"/>
              </w:rPr>
              <w:t>(3,137)</w:t>
            </w:r>
          </w:p>
        </w:tc>
        <w:tc>
          <w:tcPr>
            <w:tcW w:w="760" w:type="dxa"/>
            <w:vAlign w:val="bottom"/>
          </w:tcPr>
          <w:p>
            <w:pPr>
              <w:jc w:val="right"/>
              <w:ind w:right="258"/>
              <w:spacing w:after="0"/>
              <w:rPr>
                <w:sz w:val="20"/>
                <w:szCs w:val="20"/>
                <w:color w:val="auto"/>
              </w:rPr>
            </w:pPr>
            <w:r>
              <w:rPr>
                <w:rFonts w:ascii="Arial" w:cs="Arial" w:eastAsia="Arial" w:hAnsi="Arial"/>
                <w:sz w:val="8"/>
                <w:szCs w:val="8"/>
                <w:color w:val="auto"/>
              </w:rPr>
              <w:t>(4,181)</w:t>
            </w:r>
          </w:p>
        </w:tc>
        <w:tc>
          <w:tcPr>
            <w:tcW w:w="960" w:type="dxa"/>
            <w:vAlign w:val="bottom"/>
          </w:tcPr>
          <w:p>
            <w:pPr>
              <w:jc w:val="right"/>
              <w:spacing w:after="0"/>
              <w:rPr>
                <w:sz w:val="20"/>
                <w:szCs w:val="20"/>
                <w:color w:val="auto"/>
              </w:rPr>
            </w:pPr>
            <w:r>
              <w:rPr>
                <w:rFonts w:ascii="Arial" w:cs="Arial" w:eastAsia="Arial" w:hAnsi="Arial"/>
                <w:sz w:val="8"/>
                <w:szCs w:val="8"/>
                <w:color w:val="auto"/>
              </w:rPr>
              <w:t>(5,562)</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Selling, general and administrative expenses</w:t>
            </w:r>
          </w:p>
        </w:tc>
        <w:tc>
          <w:tcPr>
            <w:tcW w:w="1040" w:type="dxa"/>
            <w:vAlign w:val="bottom"/>
          </w:tcPr>
          <w:p>
            <w:pPr>
              <w:spacing w:after="0"/>
              <w:rPr>
                <w:sz w:val="8"/>
                <w:szCs w:val="8"/>
                <w:color w:val="auto"/>
              </w:rPr>
            </w:pPr>
          </w:p>
        </w:tc>
        <w:tc>
          <w:tcPr>
            <w:tcW w:w="1220" w:type="dxa"/>
            <w:vAlign w:val="bottom"/>
          </w:tcPr>
          <w:p>
            <w:pPr>
              <w:jc w:val="right"/>
              <w:ind w:right="718"/>
              <w:spacing w:after="0"/>
              <w:rPr>
                <w:sz w:val="20"/>
                <w:szCs w:val="20"/>
                <w:color w:val="auto"/>
              </w:rPr>
            </w:pPr>
            <w:r>
              <w:rPr>
                <w:rFonts w:ascii="Arial" w:cs="Arial" w:eastAsia="Arial" w:hAnsi="Arial"/>
                <w:sz w:val="8"/>
                <w:szCs w:val="8"/>
                <w:color w:val="auto"/>
              </w:rPr>
              <w:t>(214)</w:t>
            </w:r>
          </w:p>
        </w:tc>
        <w:tc>
          <w:tcPr>
            <w:tcW w:w="1220" w:type="dxa"/>
            <w:vAlign w:val="bottom"/>
          </w:tcPr>
          <w:p>
            <w:pPr>
              <w:jc w:val="right"/>
              <w:ind w:right="698"/>
              <w:spacing w:after="0"/>
              <w:rPr>
                <w:sz w:val="20"/>
                <w:szCs w:val="20"/>
                <w:color w:val="auto"/>
              </w:rPr>
            </w:pPr>
            <w:r>
              <w:rPr>
                <w:rFonts w:ascii="Arial" w:cs="Arial" w:eastAsia="Arial" w:hAnsi="Arial"/>
                <w:sz w:val="8"/>
                <w:szCs w:val="8"/>
                <w:color w:val="auto"/>
              </w:rPr>
              <w:t>(342)</w:t>
            </w:r>
          </w:p>
        </w:tc>
        <w:tc>
          <w:tcPr>
            <w:tcW w:w="1260" w:type="dxa"/>
            <w:vAlign w:val="bottom"/>
          </w:tcPr>
          <w:p>
            <w:pPr>
              <w:jc w:val="right"/>
              <w:ind w:right="738"/>
              <w:spacing w:after="0"/>
              <w:rPr>
                <w:sz w:val="20"/>
                <w:szCs w:val="20"/>
                <w:color w:val="auto"/>
              </w:rPr>
            </w:pPr>
            <w:r>
              <w:rPr>
                <w:rFonts w:ascii="Arial" w:cs="Arial" w:eastAsia="Arial" w:hAnsi="Arial"/>
                <w:sz w:val="8"/>
                <w:szCs w:val="8"/>
                <w:color w:val="auto"/>
              </w:rPr>
              <w:t>(661)</w:t>
            </w:r>
          </w:p>
        </w:tc>
        <w:tc>
          <w:tcPr>
            <w:tcW w:w="760" w:type="dxa"/>
            <w:vAlign w:val="bottom"/>
          </w:tcPr>
          <w:p>
            <w:pPr>
              <w:jc w:val="right"/>
              <w:ind w:right="258"/>
              <w:spacing w:after="0"/>
              <w:rPr>
                <w:sz w:val="20"/>
                <w:szCs w:val="20"/>
                <w:color w:val="auto"/>
              </w:rPr>
            </w:pPr>
            <w:r>
              <w:rPr>
                <w:rFonts w:ascii="Arial" w:cs="Arial" w:eastAsia="Arial" w:hAnsi="Arial"/>
                <w:sz w:val="8"/>
                <w:szCs w:val="8"/>
                <w:color w:val="auto"/>
              </w:rPr>
              <w:t>(1,283)</w:t>
            </w:r>
          </w:p>
        </w:tc>
        <w:tc>
          <w:tcPr>
            <w:tcW w:w="960" w:type="dxa"/>
            <w:vAlign w:val="bottom"/>
          </w:tcPr>
          <w:p>
            <w:pPr>
              <w:jc w:val="right"/>
              <w:spacing w:after="0"/>
              <w:rPr>
                <w:sz w:val="20"/>
                <w:szCs w:val="20"/>
                <w:color w:val="auto"/>
              </w:rPr>
            </w:pPr>
            <w:r>
              <w:rPr>
                <w:rFonts w:ascii="Arial" w:cs="Arial" w:eastAsia="Arial" w:hAnsi="Arial"/>
                <w:sz w:val="8"/>
                <w:szCs w:val="8"/>
                <w:color w:val="auto"/>
              </w:rPr>
              <w:t>(2,676)</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Operating expenses</w:t>
            </w:r>
          </w:p>
        </w:tc>
        <w:tc>
          <w:tcPr>
            <w:tcW w:w="1040" w:type="dxa"/>
            <w:vAlign w:val="bottom"/>
          </w:tcPr>
          <w:p>
            <w:pPr>
              <w:spacing w:after="0"/>
              <w:rPr>
                <w:sz w:val="8"/>
                <w:szCs w:val="8"/>
                <w:color w:val="auto"/>
              </w:rPr>
            </w:pPr>
          </w:p>
        </w:tc>
        <w:tc>
          <w:tcPr>
            <w:tcW w:w="1220" w:type="dxa"/>
            <w:vAlign w:val="bottom"/>
          </w:tcPr>
          <w:p>
            <w:pPr>
              <w:jc w:val="right"/>
              <w:ind w:right="718"/>
              <w:spacing w:after="0"/>
              <w:rPr>
                <w:sz w:val="20"/>
                <w:szCs w:val="20"/>
                <w:color w:val="auto"/>
              </w:rPr>
            </w:pPr>
            <w:r>
              <w:rPr>
                <w:rFonts w:ascii="Arial" w:cs="Arial" w:eastAsia="Arial" w:hAnsi="Arial"/>
                <w:sz w:val="8"/>
                <w:szCs w:val="8"/>
                <w:color w:val="auto"/>
              </w:rPr>
              <w:t>(1,645)</w:t>
            </w:r>
          </w:p>
        </w:tc>
        <w:tc>
          <w:tcPr>
            <w:tcW w:w="1220" w:type="dxa"/>
            <w:vAlign w:val="bottom"/>
          </w:tcPr>
          <w:p>
            <w:pPr>
              <w:jc w:val="right"/>
              <w:ind w:right="698"/>
              <w:spacing w:after="0"/>
              <w:rPr>
                <w:sz w:val="20"/>
                <w:szCs w:val="20"/>
                <w:color w:val="auto"/>
              </w:rPr>
            </w:pPr>
            <w:r>
              <w:rPr>
                <w:rFonts w:ascii="Arial" w:cs="Arial" w:eastAsia="Arial" w:hAnsi="Arial"/>
                <w:sz w:val="8"/>
                <w:szCs w:val="8"/>
                <w:color w:val="auto"/>
              </w:rPr>
              <w:t>(2,728)</w:t>
            </w:r>
          </w:p>
        </w:tc>
        <w:tc>
          <w:tcPr>
            <w:tcW w:w="1260" w:type="dxa"/>
            <w:vAlign w:val="bottom"/>
          </w:tcPr>
          <w:p>
            <w:pPr>
              <w:jc w:val="right"/>
              <w:ind w:right="738"/>
              <w:spacing w:after="0"/>
              <w:rPr>
                <w:sz w:val="20"/>
                <w:szCs w:val="20"/>
                <w:color w:val="auto"/>
              </w:rPr>
            </w:pPr>
            <w:r>
              <w:rPr>
                <w:rFonts w:ascii="Arial" w:cs="Arial" w:eastAsia="Arial" w:hAnsi="Arial"/>
                <w:sz w:val="8"/>
                <w:szCs w:val="8"/>
                <w:color w:val="auto"/>
              </w:rPr>
              <w:t>(3,798)</w:t>
            </w:r>
          </w:p>
        </w:tc>
        <w:tc>
          <w:tcPr>
            <w:tcW w:w="760" w:type="dxa"/>
            <w:vAlign w:val="bottom"/>
          </w:tcPr>
          <w:p>
            <w:pPr>
              <w:jc w:val="right"/>
              <w:ind w:right="258"/>
              <w:spacing w:after="0"/>
              <w:rPr>
                <w:sz w:val="20"/>
                <w:szCs w:val="20"/>
                <w:color w:val="auto"/>
              </w:rPr>
            </w:pPr>
            <w:r>
              <w:rPr>
                <w:rFonts w:ascii="Arial" w:cs="Arial" w:eastAsia="Arial" w:hAnsi="Arial"/>
                <w:sz w:val="8"/>
                <w:szCs w:val="8"/>
                <w:color w:val="auto"/>
              </w:rPr>
              <w:t>(5,464)</w:t>
            </w:r>
          </w:p>
        </w:tc>
        <w:tc>
          <w:tcPr>
            <w:tcW w:w="960" w:type="dxa"/>
            <w:vAlign w:val="bottom"/>
          </w:tcPr>
          <w:p>
            <w:pPr>
              <w:jc w:val="right"/>
              <w:spacing w:after="0"/>
              <w:rPr>
                <w:sz w:val="20"/>
                <w:szCs w:val="20"/>
                <w:color w:val="auto"/>
              </w:rPr>
            </w:pPr>
            <w:r>
              <w:rPr>
                <w:rFonts w:ascii="Arial" w:cs="Arial" w:eastAsia="Arial" w:hAnsi="Arial"/>
                <w:sz w:val="8"/>
                <w:szCs w:val="8"/>
                <w:color w:val="auto"/>
              </w:rPr>
              <w:t>(8,238)</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Operating profit</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1,380</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2,638</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6,313</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3,018</w:t>
            </w:r>
          </w:p>
        </w:tc>
        <w:tc>
          <w:tcPr>
            <w:tcW w:w="960" w:type="dxa"/>
            <w:vAlign w:val="bottom"/>
          </w:tcPr>
          <w:p>
            <w:pPr>
              <w:jc w:val="right"/>
              <w:spacing w:after="0"/>
              <w:rPr>
                <w:sz w:val="20"/>
                <w:szCs w:val="20"/>
                <w:color w:val="auto"/>
              </w:rPr>
            </w:pPr>
            <w:r>
              <w:rPr>
                <w:rFonts w:ascii="Arial" w:cs="Arial" w:eastAsia="Arial" w:hAnsi="Arial"/>
                <w:sz w:val="8"/>
                <w:szCs w:val="8"/>
                <w:color w:val="auto"/>
              </w:rPr>
              <w:t>6,357</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Net financial items</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232</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221</w:t>
            </w:r>
          </w:p>
        </w:tc>
        <w:tc>
          <w:tcPr>
            <w:tcW w:w="1260" w:type="dxa"/>
            <w:vAlign w:val="bottom"/>
          </w:tcPr>
          <w:p>
            <w:pPr>
              <w:jc w:val="right"/>
              <w:ind w:right="738"/>
              <w:spacing w:after="0"/>
              <w:rPr>
                <w:sz w:val="20"/>
                <w:szCs w:val="20"/>
                <w:color w:val="auto"/>
              </w:rPr>
            </w:pPr>
            <w:r>
              <w:rPr>
                <w:rFonts w:ascii="Arial" w:cs="Arial" w:eastAsia="Arial" w:hAnsi="Arial"/>
                <w:sz w:val="8"/>
                <w:szCs w:val="8"/>
                <w:color w:val="auto"/>
              </w:rPr>
              <w:t>(409)</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965</w:t>
            </w:r>
          </w:p>
        </w:tc>
        <w:tc>
          <w:tcPr>
            <w:tcW w:w="960" w:type="dxa"/>
            <w:vAlign w:val="bottom"/>
          </w:tcPr>
          <w:p>
            <w:pPr>
              <w:jc w:val="right"/>
              <w:spacing w:after="0"/>
              <w:rPr>
                <w:sz w:val="20"/>
                <w:szCs w:val="20"/>
                <w:color w:val="auto"/>
              </w:rPr>
            </w:pPr>
            <w:r>
              <w:rPr>
                <w:rFonts w:ascii="Arial" w:cs="Arial" w:eastAsia="Arial" w:hAnsi="Arial"/>
                <w:sz w:val="8"/>
                <w:szCs w:val="8"/>
                <w:color w:val="auto"/>
              </w:rPr>
              <w:t>678</w:t>
            </w:r>
          </w:p>
        </w:tc>
        <w:tc>
          <w:tcPr>
            <w:tcW w:w="0" w:type="dxa"/>
            <w:vAlign w:val="bottom"/>
          </w:tcPr>
          <w:p>
            <w:pPr>
              <w:spacing w:after="0"/>
              <w:rPr>
                <w:sz w:val="1"/>
                <w:szCs w:val="1"/>
                <w:color w:val="auto"/>
              </w:rPr>
            </w:pPr>
          </w:p>
        </w:tc>
      </w:tr>
      <w:tr>
        <w:trPr>
          <w:trHeight w:val="103"/>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Net profit</w:t>
            </w:r>
          </w:p>
        </w:tc>
        <w:tc>
          <w:tcPr>
            <w:tcW w:w="1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1,472</w:t>
            </w: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2,166</w:t>
            </w:r>
          </w:p>
        </w:tc>
        <w:tc>
          <w:tcPr>
            <w:tcW w:w="1260" w:type="dxa"/>
            <w:vAlign w:val="bottom"/>
            <w:tcBorders>
              <w:bottom w:val="single" w:sz="8" w:color="auto"/>
            </w:tcBorders>
          </w:tcPr>
          <w:p>
            <w:pPr>
              <w:jc w:val="right"/>
              <w:ind w:right="778"/>
              <w:spacing w:after="0"/>
              <w:rPr>
                <w:sz w:val="20"/>
                <w:szCs w:val="20"/>
                <w:color w:val="auto"/>
              </w:rPr>
            </w:pPr>
            <w:r>
              <w:rPr>
                <w:rFonts w:ascii="Arial" w:cs="Arial" w:eastAsia="Arial" w:hAnsi="Arial"/>
                <w:sz w:val="8"/>
                <w:szCs w:val="8"/>
                <w:color w:val="auto"/>
              </w:rPr>
              <w:t>4,758</w:t>
            </w: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color w:val="auto"/>
              </w:rPr>
              <w:t>3,008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5,522</w:t>
            </w:r>
          </w:p>
        </w:tc>
        <w:tc>
          <w:tcPr>
            <w:tcW w:w="0" w:type="dxa"/>
            <w:vAlign w:val="bottom"/>
          </w:tcPr>
          <w:p>
            <w:pPr>
              <w:spacing w:after="0"/>
              <w:rPr>
                <w:sz w:val="1"/>
                <w:szCs w:val="1"/>
                <w:color w:val="auto"/>
              </w:rPr>
            </w:pPr>
          </w:p>
        </w:tc>
      </w:tr>
      <w:tr>
        <w:trPr>
          <w:trHeight w:val="170"/>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Balance Sheet</w:t>
            </w:r>
          </w:p>
        </w:tc>
        <w:tc>
          <w:tcPr>
            <w:tcW w:w="10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line="68" w:lineRule="exact"/>
              <w:rPr>
                <w:sz w:val="20"/>
                <w:szCs w:val="20"/>
                <w:color w:val="auto"/>
              </w:rPr>
            </w:pPr>
            <w:r>
              <w:rPr>
                <w:rFonts w:ascii="Arial" w:cs="Arial" w:eastAsia="Arial" w:hAnsi="Arial"/>
                <w:sz w:val="7"/>
                <w:szCs w:val="7"/>
                <w:color w:val="auto"/>
              </w:rPr>
              <w:t>Marketable securities</w:t>
            </w:r>
          </w:p>
        </w:tc>
        <w:tc>
          <w:tcPr>
            <w:tcW w:w="1040" w:type="dxa"/>
            <w:vAlign w:val="bottom"/>
          </w:tcPr>
          <w:p>
            <w:pPr>
              <w:spacing w:after="0"/>
              <w:rPr>
                <w:sz w:val="5"/>
                <w:szCs w:val="5"/>
                <w:color w:val="auto"/>
              </w:rPr>
            </w:pPr>
          </w:p>
        </w:tc>
        <w:tc>
          <w:tcPr>
            <w:tcW w:w="1220" w:type="dxa"/>
            <w:vAlign w:val="bottom"/>
          </w:tcPr>
          <w:p>
            <w:pPr>
              <w:jc w:val="right"/>
              <w:ind w:right="738"/>
              <w:spacing w:after="0" w:line="68" w:lineRule="exact"/>
              <w:rPr>
                <w:sz w:val="20"/>
                <w:szCs w:val="20"/>
                <w:color w:val="auto"/>
              </w:rPr>
            </w:pPr>
            <w:r>
              <w:rPr>
                <w:rFonts w:ascii="Arial" w:cs="Arial" w:eastAsia="Arial" w:hAnsi="Arial"/>
                <w:sz w:val="7"/>
                <w:szCs w:val="7"/>
                <w:color w:val="auto"/>
              </w:rPr>
              <w:t>5,573</w:t>
            </w:r>
          </w:p>
        </w:tc>
        <w:tc>
          <w:tcPr>
            <w:tcW w:w="1220" w:type="dxa"/>
            <w:vAlign w:val="bottom"/>
          </w:tcPr>
          <w:p>
            <w:pPr>
              <w:jc w:val="right"/>
              <w:ind w:right="738"/>
              <w:spacing w:after="0" w:line="68" w:lineRule="exact"/>
              <w:rPr>
                <w:sz w:val="20"/>
                <w:szCs w:val="20"/>
                <w:color w:val="auto"/>
              </w:rPr>
            </w:pPr>
            <w:r>
              <w:rPr>
                <w:rFonts w:ascii="Arial" w:cs="Arial" w:eastAsia="Arial" w:hAnsi="Arial"/>
                <w:sz w:val="7"/>
                <w:szCs w:val="7"/>
                <w:color w:val="auto"/>
              </w:rPr>
              <w:t>7,419</w:t>
            </w:r>
          </w:p>
        </w:tc>
        <w:tc>
          <w:tcPr>
            <w:tcW w:w="1260" w:type="dxa"/>
            <w:vAlign w:val="bottom"/>
          </w:tcPr>
          <w:p>
            <w:pPr>
              <w:jc w:val="right"/>
              <w:ind w:right="778"/>
              <w:spacing w:after="0" w:line="68" w:lineRule="exact"/>
              <w:rPr>
                <w:sz w:val="20"/>
                <w:szCs w:val="20"/>
                <w:color w:val="auto"/>
              </w:rPr>
            </w:pPr>
            <w:r>
              <w:rPr>
                <w:rFonts w:ascii="Arial" w:cs="Arial" w:eastAsia="Arial" w:hAnsi="Arial"/>
                <w:sz w:val="7"/>
                <w:szCs w:val="7"/>
                <w:color w:val="auto"/>
              </w:rPr>
              <w:t>8,819</w:t>
            </w:r>
          </w:p>
        </w:tc>
        <w:tc>
          <w:tcPr>
            <w:tcW w:w="760" w:type="dxa"/>
            <w:vAlign w:val="bottom"/>
          </w:tcPr>
          <w:p>
            <w:pPr>
              <w:jc w:val="right"/>
              <w:ind w:right="278"/>
              <w:spacing w:after="0" w:line="68" w:lineRule="exact"/>
              <w:rPr>
                <w:sz w:val="20"/>
                <w:szCs w:val="20"/>
                <w:color w:val="auto"/>
              </w:rPr>
            </w:pPr>
            <w:r>
              <w:rPr>
                <w:rFonts w:ascii="Arial" w:cs="Arial" w:eastAsia="Arial" w:hAnsi="Arial"/>
                <w:sz w:val="7"/>
                <w:szCs w:val="7"/>
                <w:color w:val="auto"/>
              </w:rPr>
              <w:t>10,381</w:t>
            </w:r>
          </w:p>
        </w:tc>
        <w:tc>
          <w:tcPr>
            <w:tcW w:w="960" w:type="dxa"/>
            <w:vAlign w:val="bottom"/>
          </w:tcPr>
          <w:p>
            <w:pPr>
              <w:jc w:val="right"/>
              <w:spacing w:after="0" w:line="68" w:lineRule="exact"/>
              <w:rPr>
                <w:sz w:val="20"/>
                <w:szCs w:val="20"/>
                <w:color w:val="auto"/>
              </w:rPr>
            </w:pPr>
            <w:r>
              <w:rPr>
                <w:rFonts w:ascii="Arial" w:cs="Arial" w:eastAsia="Arial" w:hAnsi="Arial"/>
                <w:sz w:val="7"/>
                <w:szCs w:val="7"/>
                <w:color w:val="auto"/>
              </w:rPr>
              <w:t>12,431</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Cash and cash equivalents</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533</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3,552</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7,260</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8,957</w:t>
            </w:r>
          </w:p>
        </w:tc>
        <w:tc>
          <w:tcPr>
            <w:tcW w:w="960" w:type="dxa"/>
            <w:vAlign w:val="bottom"/>
          </w:tcPr>
          <w:p>
            <w:pPr>
              <w:jc w:val="right"/>
              <w:spacing w:after="0"/>
              <w:rPr>
                <w:sz w:val="20"/>
                <w:szCs w:val="20"/>
                <w:color w:val="auto"/>
              </w:rPr>
            </w:pPr>
            <w:r>
              <w:rPr>
                <w:rFonts w:ascii="Arial" w:cs="Arial" w:eastAsia="Arial" w:hAnsi="Arial"/>
                <w:sz w:val="8"/>
                <w:szCs w:val="8"/>
                <w:color w:val="auto"/>
              </w:rPr>
              <w:t>9,893</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Total non-current assets</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1,028</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1,183</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2,352</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1,891</w:t>
            </w:r>
          </w:p>
        </w:tc>
        <w:tc>
          <w:tcPr>
            <w:tcW w:w="960" w:type="dxa"/>
            <w:vAlign w:val="bottom"/>
          </w:tcPr>
          <w:p>
            <w:pPr>
              <w:jc w:val="right"/>
              <w:spacing w:after="0"/>
              <w:rPr>
                <w:sz w:val="20"/>
                <w:szCs w:val="20"/>
                <w:color w:val="auto"/>
              </w:rPr>
            </w:pPr>
            <w:r>
              <w:rPr>
                <w:rFonts w:ascii="Arial" w:cs="Arial" w:eastAsia="Arial" w:hAnsi="Arial"/>
                <w:sz w:val="8"/>
                <w:szCs w:val="8"/>
                <w:color w:val="auto"/>
              </w:rPr>
              <w:t>1,901</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Total assets</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8,461</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15,144</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21,143</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24,627</w:t>
            </w:r>
          </w:p>
        </w:tc>
        <w:tc>
          <w:tcPr>
            <w:tcW w:w="960" w:type="dxa"/>
            <w:vAlign w:val="bottom"/>
          </w:tcPr>
          <w:p>
            <w:pPr>
              <w:jc w:val="right"/>
              <w:spacing w:after="0"/>
              <w:rPr>
                <w:sz w:val="20"/>
                <w:szCs w:val="20"/>
                <w:color w:val="auto"/>
              </w:rPr>
            </w:pPr>
            <w:r>
              <w:rPr>
                <w:rFonts w:ascii="Arial" w:cs="Arial" w:eastAsia="Arial" w:hAnsi="Arial"/>
                <w:sz w:val="8"/>
                <w:szCs w:val="8"/>
                <w:color w:val="auto"/>
              </w:rPr>
              <w:t>30,278</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Shareholders' equity</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8,014</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14,048</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19,121</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22,196</w:t>
            </w:r>
          </w:p>
        </w:tc>
        <w:tc>
          <w:tcPr>
            <w:tcW w:w="960" w:type="dxa"/>
            <w:vAlign w:val="bottom"/>
          </w:tcPr>
          <w:p>
            <w:pPr>
              <w:jc w:val="right"/>
              <w:spacing w:after="0"/>
              <w:rPr>
                <w:sz w:val="20"/>
                <w:szCs w:val="20"/>
                <w:color w:val="auto"/>
              </w:rPr>
            </w:pPr>
            <w:r>
              <w:rPr>
                <w:rFonts w:ascii="Arial" w:cs="Arial" w:eastAsia="Arial" w:hAnsi="Arial"/>
                <w:sz w:val="8"/>
                <w:szCs w:val="8"/>
                <w:color w:val="auto"/>
              </w:rPr>
              <w:t>27,441</w:t>
            </w:r>
          </w:p>
        </w:tc>
        <w:tc>
          <w:tcPr>
            <w:tcW w:w="0" w:type="dxa"/>
            <w:vAlign w:val="bottom"/>
          </w:tcPr>
          <w:p>
            <w:pPr>
              <w:spacing w:after="0"/>
              <w:rPr>
                <w:sz w:val="1"/>
                <w:szCs w:val="1"/>
                <w:color w:val="auto"/>
              </w:rPr>
            </w:pPr>
          </w:p>
        </w:tc>
      </w:tr>
      <w:tr>
        <w:trPr>
          <w:trHeight w:val="103"/>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Share capital</w:t>
            </w:r>
          </w:p>
        </w:tc>
        <w:tc>
          <w:tcPr>
            <w:tcW w:w="1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61</w:t>
            </w: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65</w:t>
            </w:r>
          </w:p>
        </w:tc>
        <w:tc>
          <w:tcPr>
            <w:tcW w:w="1260" w:type="dxa"/>
            <w:vAlign w:val="bottom"/>
            <w:tcBorders>
              <w:bottom w:val="single" w:sz="8" w:color="auto"/>
            </w:tcBorders>
          </w:tcPr>
          <w:p>
            <w:pPr>
              <w:jc w:val="right"/>
              <w:ind w:right="778"/>
              <w:spacing w:after="0"/>
              <w:rPr>
                <w:sz w:val="20"/>
                <w:szCs w:val="20"/>
                <w:color w:val="auto"/>
              </w:rPr>
            </w:pPr>
            <w:r>
              <w:rPr>
                <w:rFonts w:ascii="Arial" w:cs="Arial" w:eastAsia="Arial" w:hAnsi="Arial"/>
                <w:sz w:val="8"/>
                <w:szCs w:val="8"/>
                <w:color w:val="auto"/>
              </w:rPr>
              <w:t>66</w:t>
            </w: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color w:val="auto"/>
              </w:rPr>
              <w:t>66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66</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Cash Flow Statement</w:t>
            </w: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500" w:type="dxa"/>
            <w:vAlign w:val="bottom"/>
          </w:tcPr>
          <w:p>
            <w:pPr>
              <w:spacing w:after="0" w:line="86" w:lineRule="exact"/>
              <w:rPr>
                <w:sz w:val="20"/>
                <w:szCs w:val="20"/>
                <w:color w:val="auto"/>
              </w:rPr>
            </w:pPr>
            <w:r>
              <w:rPr>
                <w:rFonts w:ascii="Arial" w:cs="Arial" w:eastAsia="Arial" w:hAnsi="Arial"/>
                <w:sz w:val="8"/>
                <w:szCs w:val="8"/>
                <w:color w:val="auto"/>
              </w:rPr>
              <w:t>Cash flow from operating activities</w:t>
            </w:r>
          </w:p>
        </w:tc>
        <w:tc>
          <w:tcPr>
            <w:tcW w:w="1040" w:type="dxa"/>
            <w:vAlign w:val="bottom"/>
          </w:tcPr>
          <w:p>
            <w:pPr>
              <w:spacing w:after="0"/>
              <w:rPr>
                <w:sz w:val="7"/>
                <w:szCs w:val="7"/>
                <w:color w:val="auto"/>
              </w:rPr>
            </w:pP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1,015</w:t>
            </w: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1,326</w:t>
            </w:r>
          </w:p>
        </w:tc>
        <w:tc>
          <w:tcPr>
            <w:tcW w:w="1260" w:type="dxa"/>
            <w:vAlign w:val="bottom"/>
          </w:tcPr>
          <w:p>
            <w:pPr>
              <w:jc w:val="right"/>
              <w:ind w:right="778"/>
              <w:spacing w:after="0" w:line="86" w:lineRule="exact"/>
              <w:rPr>
                <w:sz w:val="20"/>
                <w:szCs w:val="20"/>
                <w:color w:val="auto"/>
              </w:rPr>
            </w:pPr>
            <w:r>
              <w:rPr>
                <w:rFonts w:ascii="Arial" w:cs="Arial" w:eastAsia="Arial" w:hAnsi="Arial"/>
                <w:sz w:val="8"/>
                <w:szCs w:val="8"/>
                <w:color w:val="auto"/>
              </w:rPr>
              <w:t>6,433</w:t>
            </w:r>
          </w:p>
        </w:tc>
        <w:tc>
          <w:tcPr>
            <w:tcW w:w="760" w:type="dxa"/>
            <w:vAlign w:val="bottom"/>
          </w:tcPr>
          <w:p>
            <w:pPr>
              <w:jc w:val="right"/>
              <w:ind w:right="278"/>
              <w:spacing w:after="0" w:line="86" w:lineRule="exact"/>
              <w:rPr>
                <w:sz w:val="20"/>
                <w:szCs w:val="20"/>
                <w:color w:val="auto"/>
              </w:rPr>
            </w:pPr>
            <w:r>
              <w:rPr>
                <w:rFonts w:ascii="Arial" w:cs="Arial" w:eastAsia="Arial" w:hAnsi="Arial"/>
                <w:sz w:val="8"/>
                <w:szCs w:val="8"/>
                <w:color w:val="auto"/>
              </w:rPr>
              <w:t>2,228</w:t>
            </w:r>
          </w:p>
        </w:tc>
        <w:tc>
          <w:tcPr>
            <w:tcW w:w="960" w:type="dxa"/>
            <w:vAlign w:val="bottom"/>
          </w:tcPr>
          <w:p>
            <w:pPr>
              <w:jc w:val="right"/>
              <w:spacing w:after="0" w:line="86" w:lineRule="exact"/>
              <w:rPr>
                <w:sz w:val="20"/>
                <w:szCs w:val="20"/>
                <w:color w:val="auto"/>
              </w:rPr>
            </w:pPr>
            <w:r>
              <w:rPr>
                <w:rFonts w:ascii="Arial" w:cs="Arial" w:eastAsia="Arial" w:hAnsi="Arial"/>
                <w:sz w:val="8"/>
                <w:szCs w:val="8"/>
                <w:color w:val="auto"/>
              </w:rPr>
              <w:t>3,912</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Cash flow from investing activities</w:t>
            </w:r>
          </w:p>
        </w:tc>
        <w:tc>
          <w:tcPr>
            <w:tcW w:w="1040" w:type="dxa"/>
            <w:vAlign w:val="bottom"/>
          </w:tcPr>
          <w:p>
            <w:pPr>
              <w:spacing w:after="0"/>
              <w:rPr>
                <w:sz w:val="8"/>
                <w:szCs w:val="8"/>
                <w:color w:val="auto"/>
              </w:rPr>
            </w:pPr>
          </w:p>
        </w:tc>
        <w:tc>
          <w:tcPr>
            <w:tcW w:w="1220" w:type="dxa"/>
            <w:vAlign w:val="bottom"/>
          </w:tcPr>
          <w:p>
            <w:pPr>
              <w:jc w:val="right"/>
              <w:ind w:right="718"/>
              <w:spacing w:after="0"/>
              <w:rPr>
                <w:sz w:val="20"/>
                <w:szCs w:val="20"/>
                <w:color w:val="auto"/>
              </w:rPr>
            </w:pPr>
            <w:r>
              <w:rPr>
                <w:rFonts w:ascii="Arial" w:cs="Arial" w:eastAsia="Arial" w:hAnsi="Arial"/>
                <w:sz w:val="8"/>
                <w:szCs w:val="8"/>
                <w:color w:val="auto"/>
              </w:rPr>
              <w:t>(1,778)</w:t>
            </w:r>
          </w:p>
        </w:tc>
        <w:tc>
          <w:tcPr>
            <w:tcW w:w="1220" w:type="dxa"/>
            <w:vAlign w:val="bottom"/>
          </w:tcPr>
          <w:p>
            <w:pPr>
              <w:jc w:val="right"/>
              <w:ind w:right="698"/>
              <w:spacing w:after="0"/>
              <w:rPr>
                <w:sz w:val="20"/>
                <w:szCs w:val="20"/>
                <w:color w:val="auto"/>
              </w:rPr>
            </w:pPr>
            <w:r>
              <w:rPr>
                <w:rFonts w:ascii="Arial" w:cs="Arial" w:eastAsia="Arial" w:hAnsi="Arial"/>
                <w:sz w:val="8"/>
                <w:szCs w:val="8"/>
                <w:color w:val="auto"/>
              </w:rPr>
              <w:t>(1,983)</w:t>
            </w:r>
          </w:p>
        </w:tc>
        <w:tc>
          <w:tcPr>
            <w:tcW w:w="1260" w:type="dxa"/>
            <w:vAlign w:val="bottom"/>
          </w:tcPr>
          <w:p>
            <w:pPr>
              <w:jc w:val="right"/>
              <w:ind w:right="738"/>
              <w:spacing w:after="0"/>
              <w:rPr>
                <w:sz w:val="20"/>
                <w:szCs w:val="20"/>
                <w:color w:val="auto"/>
              </w:rPr>
            </w:pPr>
            <w:r>
              <w:rPr>
                <w:rFonts w:ascii="Arial" w:cs="Arial" w:eastAsia="Arial" w:hAnsi="Arial"/>
                <w:sz w:val="8"/>
                <w:szCs w:val="8"/>
                <w:color w:val="auto"/>
              </w:rPr>
              <w:t>(2,351)</w:t>
            </w:r>
          </w:p>
        </w:tc>
        <w:tc>
          <w:tcPr>
            <w:tcW w:w="760" w:type="dxa"/>
            <w:vAlign w:val="bottom"/>
          </w:tcPr>
          <w:p>
            <w:pPr>
              <w:jc w:val="right"/>
              <w:ind w:right="258"/>
              <w:spacing w:after="0"/>
              <w:rPr>
                <w:sz w:val="20"/>
                <w:szCs w:val="20"/>
                <w:color w:val="auto"/>
              </w:rPr>
            </w:pPr>
            <w:r>
              <w:rPr>
                <w:rFonts w:ascii="Arial" w:cs="Arial" w:eastAsia="Arial" w:hAnsi="Arial"/>
                <w:sz w:val="8"/>
                <w:szCs w:val="8"/>
                <w:color w:val="auto"/>
              </w:rPr>
              <w:t>(961)</w:t>
            </w:r>
          </w:p>
        </w:tc>
        <w:tc>
          <w:tcPr>
            <w:tcW w:w="960" w:type="dxa"/>
            <w:vAlign w:val="bottom"/>
          </w:tcPr>
          <w:p>
            <w:pPr>
              <w:jc w:val="right"/>
              <w:spacing w:after="0"/>
              <w:rPr>
                <w:sz w:val="20"/>
                <w:szCs w:val="20"/>
                <w:color w:val="auto"/>
              </w:rPr>
            </w:pPr>
            <w:r>
              <w:rPr>
                <w:rFonts w:ascii="Arial" w:cs="Arial" w:eastAsia="Arial" w:hAnsi="Arial"/>
                <w:sz w:val="8"/>
                <w:szCs w:val="8"/>
                <w:color w:val="auto"/>
              </w:rPr>
              <w:t>(2,761)</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Cash flow from financing activities</w:t>
            </w:r>
          </w:p>
        </w:tc>
        <w:tc>
          <w:tcPr>
            <w:tcW w:w="1040" w:type="dxa"/>
            <w:vAlign w:val="bottom"/>
          </w:tcPr>
          <w:p>
            <w:pPr>
              <w:spacing w:after="0"/>
              <w:rPr>
                <w:sz w:val="8"/>
                <w:szCs w:val="8"/>
                <w:color w:val="auto"/>
              </w:rPr>
            </w:pPr>
          </w:p>
        </w:tc>
        <w:tc>
          <w:tcPr>
            <w:tcW w:w="1220" w:type="dxa"/>
            <w:vAlign w:val="bottom"/>
          </w:tcPr>
          <w:p>
            <w:pPr>
              <w:jc w:val="right"/>
              <w:ind w:right="718"/>
              <w:spacing w:after="0"/>
              <w:rPr>
                <w:sz w:val="20"/>
                <w:szCs w:val="20"/>
                <w:color w:val="auto"/>
              </w:rPr>
            </w:pPr>
            <w:r>
              <w:rPr>
                <w:rFonts w:ascii="Arial" w:cs="Arial" w:eastAsia="Arial" w:hAnsi="Arial"/>
                <w:sz w:val="8"/>
                <w:szCs w:val="8"/>
                <w:color w:val="auto"/>
              </w:rPr>
              <w:t>(71)</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3,660</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71</w:t>
            </w:r>
          </w:p>
        </w:tc>
        <w:tc>
          <w:tcPr>
            <w:tcW w:w="760" w:type="dxa"/>
            <w:vAlign w:val="bottom"/>
          </w:tcPr>
          <w:p>
            <w:pPr>
              <w:jc w:val="right"/>
              <w:ind w:right="258"/>
              <w:spacing w:after="0"/>
              <w:rPr>
                <w:sz w:val="20"/>
                <w:szCs w:val="20"/>
                <w:color w:val="auto"/>
              </w:rPr>
            </w:pPr>
            <w:r>
              <w:rPr>
                <w:rFonts w:ascii="Arial" w:cs="Arial" w:eastAsia="Arial" w:hAnsi="Arial"/>
                <w:sz w:val="8"/>
                <w:szCs w:val="8"/>
                <w:color w:val="auto"/>
              </w:rPr>
              <w:t>(420)</w:t>
            </w:r>
          </w:p>
        </w:tc>
        <w:tc>
          <w:tcPr>
            <w:tcW w:w="960" w:type="dxa"/>
            <w:vAlign w:val="bottom"/>
          </w:tcPr>
          <w:p>
            <w:pPr>
              <w:jc w:val="right"/>
              <w:spacing w:after="0"/>
              <w:rPr>
                <w:sz w:val="20"/>
                <w:szCs w:val="20"/>
                <w:color w:val="auto"/>
              </w:rPr>
            </w:pPr>
            <w:r>
              <w:rPr>
                <w:rFonts w:ascii="Arial" w:cs="Arial" w:eastAsia="Arial" w:hAnsi="Arial"/>
                <w:sz w:val="8"/>
                <w:szCs w:val="8"/>
                <w:color w:val="auto"/>
              </w:rPr>
              <w:t>(789)</w:t>
            </w:r>
          </w:p>
        </w:tc>
        <w:tc>
          <w:tcPr>
            <w:tcW w:w="0" w:type="dxa"/>
            <w:vAlign w:val="bottom"/>
          </w:tcPr>
          <w:p>
            <w:pPr>
              <w:spacing w:after="0"/>
              <w:rPr>
                <w:sz w:val="1"/>
                <w:szCs w:val="1"/>
                <w:color w:val="auto"/>
              </w:rPr>
            </w:pPr>
          </w:p>
        </w:tc>
      </w:tr>
      <w:tr>
        <w:trPr>
          <w:trHeight w:val="103"/>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Investments in intangible and tangible assets</w:t>
            </w:r>
          </w:p>
        </w:tc>
        <w:tc>
          <w:tcPr>
            <w:tcW w:w="1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718"/>
              <w:spacing w:after="0"/>
              <w:rPr>
                <w:sz w:val="20"/>
                <w:szCs w:val="20"/>
                <w:color w:val="auto"/>
              </w:rPr>
            </w:pPr>
            <w:r>
              <w:rPr>
                <w:rFonts w:ascii="Arial" w:cs="Arial" w:eastAsia="Arial" w:hAnsi="Arial"/>
                <w:sz w:val="8"/>
                <w:szCs w:val="8"/>
                <w:color w:val="auto"/>
              </w:rPr>
              <w:t>(478)</w:t>
            </w:r>
          </w:p>
        </w:tc>
        <w:tc>
          <w:tcPr>
            <w:tcW w:w="122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rPr>
              <w:t>(111)</w:t>
            </w:r>
          </w:p>
        </w:tc>
        <w:tc>
          <w:tcPr>
            <w:tcW w:w="126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(307)</w:t>
            </w: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color w:val="auto"/>
              </w:rPr>
              <w:t>(252)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(317)</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Financial Ratios and Other Information</w:t>
            </w: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500" w:type="dxa"/>
            <w:vAlign w:val="bottom"/>
          </w:tcPr>
          <w:p>
            <w:pPr>
              <w:spacing w:after="0" w:line="86" w:lineRule="exact"/>
              <w:rPr>
                <w:sz w:val="20"/>
                <w:szCs w:val="20"/>
                <w:color w:val="auto"/>
              </w:rPr>
            </w:pPr>
            <w:r>
              <w:rPr>
                <w:rFonts w:ascii="Arial" w:cs="Arial" w:eastAsia="Arial" w:hAnsi="Arial"/>
                <w:sz w:val="8"/>
                <w:szCs w:val="8"/>
                <w:color w:val="auto"/>
              </w:rPr>
              <w:t>Basic net profit per share</w:t>
            </w:r>
          </w:p>
        </w:tc>
        <w:tc>
          <w:tcPr>
            <w:tcW w:w="1040" w:type="dxa"/>
            <w:vAlign w:val="bottom"/>
          </w:tcPr>
          <w:p>
            <w:pPr>
              <w:spacing w:after="0"/>
              <w:rPr>
                <w:sz w:val="7"/>
                <w:szCs w:val="7"/>
                <w:color w:val="auto"/>
              </w:rPr>
            </w:pP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24.03</w:t>
            </w:r>
          </w:p>
        </w:tc>
        <w:tc>
          <w:tcPr>
            <w:tcW w:w="1220" w:type="dxa"/>
            <w:vAlign w:val="bottom"/>
          </w:tcPr>
          <w:p>
            <w:pPr>
              <w:jc w:val="right"/>
              <w:ind w:right="738"/>
              <w:spacing w:after="0" w:line="86" w:lineRule="exact"/>
              <w:rPr>
                <w:sz w:val="20"/>
                <w:szCs w:val="20"/>
                <w:color w:val="auto"/>
              </w:rPr>
            </w:pPr>
            <w:r>
              <w:rPr>
                <w:rFonts w:ascii="Arial" w:cs="Arial" w:eastAsia="Arial" w:hAnsi="Arial"/>
                <w:sz w:val="8"/>
                <w:szCs w:val="8"/>
                <w:color w:val="auto"/>
              </w:rPr>
              <w:t>34.40</w:t>
            </w:r>
          </w:p>
        </w:tc>
        <w:tc>
          <w:tcPr>
            <w:tcW w:w="1260" w:type="dxa"/>
            <w:vAlign w:val="bottom"/>
          </w:tcPr>
          <w:p>
            <w:pPr>
              <w:jc w:val="right"/>
              <w:ind w:right="778"/>
              <w:spacing w:after="0" w:line="86" w:lineRule="exact"/>
              <w:rPr>
                <w:sz w:val="20"/>
                <w:szCs w:val="20"/>
                <w:color w:val="auto"/>
              </w:rPr>
            </w:pPr>
            <w:r>
              <w:rPr>
                <w:rFonts w:ascii="Arial" w:cs="Arial" w:eastAsia="Arial" w:hAnsi="Arial"/>
                <w:sz w:val="8"/>
                <w:szCs w:val="8"/>
                <w:color w:val="auto"/>
              </w:rPr>
              <w:t>73.00</w:t>
            </w:r>
          </w:p>
        </w:tc>
        <w:tc>
          <w:tcPr>
            <w:tcW w:w="760" w:type="dxa"/>
            <w:vAlign w:val="bottom"/>
          </w:tcPr>
          <w:p>
            <w:pPr>
              <w:jc w:val="right"/>
              <w:ind w:right="278"/>
              <w:spacing w:after="0" w:line="86" w:lineRule="exact"/>
              <w:rPr>
                <w:sz w:val="20"/>
                <w:szCs w:val="20"/>
                <w:color w:val="auto"/>
              </w:rPr>
            </w:pPr>
            <w:r>
              <w:rPr>
                <w:rFonts w:ascii="Arial" w:cs="Arial" w:eastAsia="Arial" w:hAnsi="Arial"/>
                <w:sz w:val="8"/>
                <w:szCs w:val="8"/>
                <w:color w:val="auto"/>
              </w:rPr>
              <w:t>46.00</w:t>
            </w:r>
          </w:p>
        </w:tc>
        <w:tc>
          <w:tcPr>
            <w:tcW w:w="960" w:type="dxa"/>
            <w:vAlign w:val="bottom"/>
          </w:tcPr>
          <w:p>
            <w:pPr>
              <w:jc w:val="right"/>
              <w:spacing w:after="0" w:line="86" w:lineRule="exact"/>
              <w:rPr>
                <w:sz w:val="20"/>
                <w:szCs w:val="20"/>
                <w:color w:val="auto"/>
              </w:rPr>
            </w:pPr>
            <w:r>
              <w:rPr>
                <w:rFonts w:ascii="Arial" w:cs="Arial" w:eastAsia="Arial" w:hAnsi="Arial"/>
                <w:sz w:val="8"/>
                <w:szCs w:val="8"/>
                <w:color w:val="auto"/>
              </w:rPr>
              <w:t>84.45</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Diluted net profit per share</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23.73</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34.03</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72.21</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45.54</w:t>
            </w:r>
          </w:p>
        </w:tc>
        <w:tc>
          <w:tcPr>
            <w:tcW w:w="960" w:type="dxa"/>
            <w:vAlign w:val="bottom"/>
          </w:tcPr>
          <w:p>
            <w:pPr>
              <w:jc w:val="right"/>
              <w:spacing w:after="0"/>
              <w:rPr>
                <w:sz w:val="20"/>
                <w:szCs w:val="20"/>
                <w:color w:val="auto"/>
              </w:rPr>
            </w:pPr>
            <w:r>
              <w:rPr>
                <w:rFonts w:ascii="Arial" w:cs="Arial" w:eastAsia="Arial" w:hAnsi="Arial"/>
                <w:sz w:val="8"/>
                <w:szCs w:val="8"/>
                <w:color w:val="auto"/>
              </w:rPr>
              <w:t>83.65</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Year-end share market price</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1,067.50</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1,481.50</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2,463.00</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2,630.00</w:t>
            </w:r>
          </w:p>
        </w:tc>
        <w:tc>
          <w:tcPr>
            <w:tcW w:w="960" w:type="dxa"/>
            <w:vAlign w:val="bottom"/>
          </w:tcPr>
          <w:p>
            <w:pPr>
              <w:jc w:val="right"/>
              <w:spacing w:after="0"/>
              <w:rPr>
                <w:sz w:val="20"/>
                <w:szCs w:val="20"/>
                <w:color w:val="auto"/>
              </w:rPr>
            </w:pPr>
            <w:r>
              <w:rPr>
                <w:rFonts w:ascii="Arial" w:cs="Arial" w:eastAsia="Arial" w:hAnsi="Arial"/>
                <w:sz w:val="8"/>
                <w:szCs w:val="8"/>
                <w:color w:val="auto"/>
              </w:rPr>
              <w:t>2,941.00</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Price / book value</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8.19</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6.85</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8.50</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7.82</w:t>
            </w:r>
          </w:p>
        </w:tc>
        <w:tc>
          <w:tcPr>
            <w:tcW w:w="960" w:type="dxa"/>
            <w:vAlign w:val="bottom"/>
          </w:tcPr>
          <w:p>
            <w:pPr>
              <w:jc w:val="right"/>
              <w:spacing w:after="0"/>
              <w:rPr>
                <w:sz w:val="20"/>
                <w:szCs w:val="20"/>
                <w:color w:val="auto"/>
              </w:rPr>
            </w:pPr>
            <w:r>
              <w:rPr>
                <w:rFonts w:ascii="Arial" w:cs="Arial" w:eastAsia="Arial" w:hAnsi="Arial"/>
                <w:sz w:val="8"/>
                <w:szCs w:val="8"/>
                <w:color w:val="auto"/>
              </w:rPr>
              <w:t>7.07</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Shareholders' equity per share</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130.32</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216.12</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289.71</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336.30</w:t>
            </w:r>
          </w:p>
        </w:tc>
        <w:tc>
          <w:tcPr>
            <w:tcW w:w="960" w:type="dxa"/>
            <w:vAlign w:val="bottom"/>
          </w:tcPr>
          <w:p>
            <w:pPr>
              <w:jc w:val="right"/>
              <w:spacing w:after="0"/>
              <w:rPr>
                <w:sz w:val="20"/>
                <w:szCs w:val="20"/>
                <w:color w:val="auto"/>
              </w:rPr>
            </w:pPr>
            <w:r>
              <w:rPr>
                <w:rFonts w:ascii="Arial" w:cs="Arial" w:eastAsia="Arial" w:hAnsi="Arial"/>
                <w:sz w:val="8"/>
                <w:szCs w:val="8"/>
                <w:color w:val="auto"/>
              </w:rPr>
              <w:t>415.77</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Equity ratio</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95%</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93%</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90%</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90%</w:t>
            </w:r>
          </w:p>
        </w:tc>
        <w:tc>
          <w:tcPr>
            <w:tcW w:w="960" w:type="dxa"/>
            <w:vAlign w:val="bottom"/>
          </w:tcPr>
          <w:p>
            <w:pPr>
              <w:jc w:val="right"/>
              <w:spacing w:after="0"/>
              <w:rPr>
                <w:sz w:val="20"/>
                <w:szCs w:val="20"/>
                <w:color w:val="auto"/>
              </w:rPr>
            </w:pPr>
            <w:r>
              <w:rPr>
                <w:rFonts w:ascii="Arial" w:cs="Arial" w:eastAsia="Arial" w:hAnsi="Arial"/>
                <w:sz w:val="8"/>
                <w:szCs w:val="8"/>
                <w:color w:val="auto"/>
              </w:rPr>
              <w:t>91%</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Shares outstanding</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61,497,571</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65,074,502</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65,545,748</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65,718,456</w:t>
            </w:r>
          </w:p>
        </w:tc>
        <w:tc>
          <w:tcPr>
            <w:tcW w:w="960" w:type="dxa"/>
            <w:vAlign w:val="bottom"/>
          </w:tcPr>
          <w:p>
            <w:pPr>
              <w:jc w:val="right"/>
              <w:spacing w:after="0"/>
              <w:rPr>
                <w:sz w:val="20"/>
                <w:szCs w:val="20"/>
                <w:color w:val="auto"/>
              </w:rPr>
            </w:pPr>
            <w:r>
              <w:rPr>
                <w:rFonts w:ascii="Arial" w:cs="Arial" w:eastAsia="Arial" w:hAnsi="Arial"/>
                <w:sz w:val="8"/>
                <w:szCs w:val="8"/>
                <w:color w:val="auto"/>
              </w:rPr>
              <w:t>65,961,573</w:t>
            </w:r>
          </w:p>
        </w:tc>
        <w:tc>
          <w:tcPr>
            <w:tcW w:w="0" w:type="dxa"/>
            <w:vAlign w:val="bottom"/>
          </w:tcPr>
          <w:p>
            <w:pPr>
              <w:spacing w:after="0"/>
              <w:rPr>
                <w:sz w:val="1"/>
                <w:szCs w:val="1"/>
                <w:color w:val="auto"/>
              </w:rPr>
            </w:pPr>
          </w:p>
        </w:tc>
      </w:tr>
      <w:tr>
        <w:trPr>
          <w:trHeight w:val="100"/>
        </w:trPr>
        <w:tc>
          <w:tcPr>
            <w:tcW w:w="2500" w:type="dxa"/>
            <w:vAlign w:val="bottom"/>
          </w:tcPr>
          <w:p>
            <w:pPr>
              <w:spacing w:after="0"/>
              <w:rPr>
                <w:sz w:val="20"/>
                <w:szCs w:val="20"/>
                <w:color w:val="auto"/>
              </w:rPr>
            </w:pPr>
            <w:r>
              <w:rPr>
                <w:rFonts w:ascii="Arial" w:cs="Arial" w:eastAsia="Arial" w:hAnsi="Arial"/>
                <w:sz w:val="8"/>
                <w:szCs w:val="8"/>
                <w:color w:val="auto"/>
              </w:rPr>
              <w:t>Average number of employees (FTE)**</w:t>
            </w:r>
          </w:p>
        </w:tc>
        <w:tc>
          <w:tcPr>
            <w:tcW w:w="1040" w:type="dxa"/>
            <w:vAlign w:val="bottom"/>
          </w:tcPr>
          <w:p>
            <w:pPr>
              <w:spacing w:after="0"/>
              <w:rPr>
                <w:sz w:val="8"/>
                <w:szCs w:val="8"/>
                <w:color w:val="auto"/>
              </w:rPr>
            </w:pP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313</w:t>
            </w:r>
          </w:p>
        </w:tc>
        <w:tc>
          <w:tcPr>
            <w:tcW w:w="1220" w:type="dxa"/>
            <w:vAlign w:val="bottom"/>
          </w:tcPr>
          <w:p>
            <w:pPr>
              <w:jc w:val="right"/>
              <w:ind w:right="738"/>
              <w:spacing w:after="0"/>
              <w:rPr>
                <w:sz w:val="20"/>
                <w:szCs w:val="20"/>
                <w:color w:val="auto"/>
              </w:rPr>
            </w:pPr>
            <w:r>
              <w:rPr>
                <w:rFonts w:ascii="Arial" w:cs="Arial" w:eastAsia="Arial" w:hAnsi="Arial"/>
                <w:sz w:val="8"/>
                <w:szCs w:val="8"/>
                <w:color w:val="auto"/>
              </w:rPr>
              <w:t>471</w:t>
            </w:r>
          </w:p>
        </w:tc>
        <w:tc>
          <w:tcPr>
            <w:tcW w:w="1260" w:type="dxa"/>
            <w:vAlign w:val="bottom"/>
          </w:tcPr>
          <w:p>
            <w:pPr>
              <w:jc w:val="right"/>
              <w:ind w:right="778"/>
              <w:spacing w:after="0"/>
              <w:rPr>
                <w:sz w:val="20"/>
                <w:szCs w:val="20"/>
                <w:color w:val="auto"/>
              </w:rPr>
            </w:pPr>
            <w:r>
              <w:rPr>
                <w:rFonts w:ascii="Arial" w:cs="Arial" w:eastAsia="Arial" w:hAnsi="Arial"/>
                <w:sz w:val="8"/>
                <w:szCs w:val="8"/>
                <w:color w:val="auto"/>
              </w:rPr>
              <w:t>656</w:t>
            </w:r>
          </w:p>
        </w:tc>
        <w:tc>
          <w:tcPr>
            <w:tcW w:w="760" w:type="dxa"/>
            <w:vAlign w:val="bottom"/>
          </w:tcPr>
          <w:p>
            <w:pPr>
              <w:jc w:val="right"/>
              <w:ind w:right="278"/>
              <w:spacing w:after="0"/>
              <w:rPr>
                <w:sz w:val="20"/>
                <w:szCs w:val="20"/>
                <w:color w:val="auto"/>
              </w:rPr>
            </w:pPr>
            <w:r>
              <w:rPr>
                <w:rFonts w:ascii="Arial" w:cs="Arial" w:eastAsia="Arial" w:hAnsi="Arial"/>
                <w:sz w:val="8"/>
                <w:szCs w:val="8"/>
                <w:color w:val="auto"/>
              </w:rPr>
              <w:t>1,022</w:t>
            </w:r>
          </w:p>
        </w:tc>
        <w:tc>
          <w:tcPr>
            <w:tcW w:w="960" w:type="dxa"/>
            <w:vAlign w:val="bottom"/>
          </w:tcPr>
          <w:p>
            <w:pPr>
              <w:jc w:val="right"/>
              <w:spacing w:after="0"/>
              <w:rPr>
                <w:sz w:val="20"/>
                <w:szCs w:val="20"/>
                <w:color w:val="auto"/>
              </w:rPr>
            </w:pPr>
            <w:r>
              <w:rPr>
                <w:rFonts w:ascii="Arial" w:cs="Arial" w:eastAsia="Arial" w:hAnsi="Arial"/>
                <w:sz w:val="8"/>
                <w:szCs w:val="8"/>
                <w:color w:val="auto"/>
              </w:rPr>
              <w:t>1,460</w:t>
            </w:r>
          </w:p>
        </w:tc>
        <w:tc>
          <w:tcPr>
            <w:tcW w:w="0" w:type="dxa"/>
            <w:vAlign w:val="bottom"/>
          </w:tcPr>
          <w:p>
            <w:pPr>
              <w:spacing w:after="0"/>
              <w:rPr>
                <w:sz w:val="1"/>
                <w:szCs w:val="1"/>
                <w:color w:val="auto"/>
              </w:rPr>
            </w:pPr>
          </w:p>
        </w:tc>
      </w:tr>
      <w:tr>
        <w:trPr>
          <w:trHeight w:val="103"/>
        </w:trPr>
        <w:tc>
          <w:tcPr>
            <w:tcW w:w="25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Number of employees (FTE) at year-end</w:t>
            </w:r>
          </w:p>
        </w:tc>
        <w:tc>
          <w:tcPr>
            <w:tcW w:w="1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377</w:t>
            </w: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rPr>
              <w:t>548</w:t>
            </w:r>
          </w:p>
        </w:tc>
        <w:tc>
          <w:tcPr>
            <w:tcW w:w="1260" w:type="dxa"/>
            <w:vAlign w:val="bottom"/>
            <w:tcBorders>
              <w:bottom w:val="single" w:sz="8" w:color="auto"/>
            </w:tcBorders>
          </w:tcPr>
          <w:p>
            <w:pPr>
              <w:jc w:val="right"/>
              <w:ind w:right="778"/>
              <w:spacing w:after="0"/>
              <w:rPr>
                <w:sz w:val="20"/>
                <w:szCs w:val="20"/>
                <w:color w:val="auto"/>
              </w:rPr>
            </w:pPr>
            <w:r>
              <w:rPr>
                <w:rFonts w:ascii="Arial" w:cs="Arial" w:eastAsia="Arial" w:hAnsi="Arial"/>
                <w:sz w:val="8"/>
                <w:szCs w:val="8"/>
                <w:color w:val="auto"/>
              </w:rPr>
              <w:t>781</w:t>
            </w: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color w:val="auto"/>
              </w:rPr>
              <w:t>1,212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1,660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 w:right="2519" w:firstLine="2"/>
        <w:spacing w:after="0" w:line="284" w:lineRule="auto"/>
        <w:tabs>
          <w:tab w:leader="none" w:pos="76" w:val="left"/>
        </w:tabs>
        <w:numPr>
          <w:ilvl w:val="0"/>
          <w:numId w:val="7"/>
        </w:numPr>
        <w:rPr>
          <w:rFonts w:ascii="Arial" w:cs="Arial" w:eastAsia="Arial" w:hAnsi="Arial"/>
          <w:sz w:val="8"/>
          <w:szCs w:val="8"/>
          <w:color w:val="auto"/>
        </w:rPr>
      </w:pPr>
      <w:r>
        <w:rPr>
          <w:rFonts w:ascii="Arial" w:cs="Arial" w:eastAsia="Arial" w:hAnsi="Arial"/>
          <w:sz w:val="8"/>
          <w:szCs w:val="8"/>
          <w:color w:val="auto"/>
        </w:rPr>
        <w:t>Prior period amounts have not been adjusted under the modified retrospective method to adopt International Financial Reporting Standards (IFRS) 16 as of January 1, 2019 ** Full-time equivalent (FTE) or team members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-97155</wp:posOffset>
            </wp:positionV>
            <wp:extent cx="4063365" cy="3516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3365" cy="351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-97155</wp:posOffset>
            </wp:positionV>
            <wp:extent cx="4063365" cy="1761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3365" cy="176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2023 Outlook</w:t>
      </w:r>
    </w:p>
    <w:p>
      <w:pPr>
        <w:spacing w:after="0" w:line="153"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3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(DKK million)</w:t>
            </w:r>
          </w:p>
        </w:tc>
        <w:tc>
          <w:tcPr>
            <w:tcW w:w="272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2"/>
                <w:szCs w:val="12"/>
                <w:color w:val="auto"/>
              </w:rPr>
              <w:t>2023 Guidance</w:t>
            </w:r>
          </w:p>
        </w:tc>
        <w:tc>
          <w:tcPr>
            <w:tcW w:w="262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2"/>
                <w:szCs w:val="12"/>
                <w:color w:val="auto"/>
              </w:rPr>
              <w:t>2022 Actual Result</w:t>
            </w:r>
          </w:p>
        </w:tc>
      </w:tr>
      <w:tr>
        <w:trPr>
          <w:trHeight w:val="125"/>
        </w:trPr>
        <w:tc>
          <w:tcPr>
            <w:tcW w:w="36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Revenue</w:t>
            </w:r>
          </w:p>
        </w:tc>
        <w:tc>
          <w:tcPr>
            <w:tcW w:w="27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14,600 - 16,100</w:t>
            </w:r>
          </w:p>
        </w:tc>
        <w:tc>
          <w:tcPr>
            <w:tcW w:w="26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14,595</w:t>
            </w:r>
          </w:p>
        </w:tc>
      </w:tr>
      <w:tr>
        <w:trPr>
          <w:trHeight w:val="125"/>
        </w:trPr>
        <w:tc>
          <w:tcPr>
            <w:tcW w:w="36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Operating expenses</w:t>
            </w:r>
          </w:p>
        </w:tc>
        <w:tc>
          <w:tcPr>
            <w:tcW w:w="27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(9,800) - (10,600)</w:t>
            </w:r>
          </w:p>
        </w:tc>
        <w:tc>
          <w:tcPr>
            <w:tcW w:w="26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(8,238)</w:t>
            </w:r>
          </w:p>
        </w:tc>
      </w:tr>
      <w:tr>
        <w:trPr>
          <w:trHeight w:val="125"/>
        </w:trPr>
        <w:tc>
          <w:tcPr>
            <w:tcW w:w="36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Operating profit</w:t>
            </w:r>
          </w:p>
        </w:tc>
        <w:tc>
          <w:tcPr>
            <w:tcW w:w="27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3,900 - 6,200*</w:t>
            </w:r>
          </w:p>
        </w:tc>
        <w:tc>
          <w:tcPr>
            <w:tcW w:w="26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6,357</w:t>
            </w:r>
          </w:p>
        </w:tc>
      </w:tr>
    </w:tbl>
    <w:p>
      <w:pPr>
        <w:ind w:left="20"/>
        <w:spacing w:after="0"/>
        <w:rPr>
          <w:sz w:val="20"/>
          <w:szCs w:val="20"/>
          <w:color w:val="auto"/>
        </w:rPr>
      </w:pPr>
      <w:r>
        <w:rPr>
          <w:rFonts w:ascii="Arial" w:cs="Arial" w:eastAsia="Arial" w:hAnsi="Arial"/>
          <w:sz w:val="10"/>
          <w:szCs w:val="10"/>
          <w:i w:val="1"/>
          <w:iCs w:val="1"/>
          <w:color w:val="auto"/>
        </w:rPr>
        <w:t>*Operating profit does not sum due to rounding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Revenue</w:t>
      </w:r>
    </w:p>
    <w:p>
      <w:pPr>
        <w:spacing w:after="0" w:line="10" w:lineRule="exact"/>
        <w:rPr>
          <w:sz w:val="20"/>
          <w:szCs w:val="20"/>
          <w:color w:val="auto"/>
        </w:rPr>
      </w:pPr>
    </w:p>
    <w:p>
      <w:pPr>
        <w:ind w:left="20" w:right="59"/>
        <w:spacing w:after="0" w:line="244" w:lineRule="auto"/>
        <w:rPr>
          <w:sz w:val="20"/>
          <w:szCs w:val="20"/>
          <w:color w:val="auto"/>
        </w:rPr>
      </w:pPr>
      <w:r>
        <w:rPr>
          <w:rFonts w:ascii="Arial" w:cs="Arial" w:eastAsia="Arial" w:hAnsi="Arial"/>
          <w:sz w:val="12"/>
          <w:szCs w:val="12"/>
          <w:color w:val="auto"/>
        </w:rPr>
        <w:t>Genmab expects its 2023 revenue to be in the range of DKK 14,600 – 16,100 million, compared to DKK 14,595 million in 2022. Our revenue in 2022 was driven primarily by DARZALEX royalties due to the continued strong growth of DARZALEX net sales, favorable exchange rate movements between the USD and DKK and the positive impact of applying the DARZALEX contractual annual Currency Hedge Rate.</w:t>
      </w:r>
    </w:p>
    <w:p>
      <w:pPr>
        <w:spacing w:after="0" w:line="120"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Genmab’s projected revenue growth for 2023 is driven by recurring revenues related to DARZALEX, TEPEZZA and Kesimpta royalties from net sales growth, partly offset by negative exchange rate movements between the USD and DKK due to a lower assumed USD/DKK exchange rate.</w:t>
      </w:r>
    </w:p>
    <w:p>
      <w:pPr>
        <w:spacing w:after="0" w:line="103" w:lineRule="exact"/>
        <w:rPr>
          <w:sz w:val="20"/>
          <w:szCs w:val="20"/>
          <w:color w:val="auto"/>
        </w:rPr>
      </w:pPr>
    </w:p>
    <w:p>
      <w:pPr>
        <w:ind w:left="20" w:right="239"/>
        <w:spacing w:after="0" w:line="245" w:lineRule="auto"/>
        <w:rPr>
          <w:sz w:val="20"/>
          <w:szCs w:val="20"/>
          <w:color w:val="auto"/>
        </w:rPr>
      </w:pPr>
      <w:r>
        <w:rPr>
          <w:rFonts w:ascii="Arial" w:cs="Arial" w:eastAsia="Arial" w:hAnsi="Arial"/>
          <w:sz w:val="12"/>
          <w:szCs w:val="12"/>
          <w:color w:val="auto"/>
        </w:rPr>
        <w:t>Genmab’s projected revenue for 2023 primarily consists of DARZALEX royalties of DKK 10,400 – 11,100 million. Such royalties are based on estimated DARZALEX 2023 net sales of USD 9.4 – 10.0 billion compared to actual net sales in 2022 of approximately USD 8.0 billion. DARZALEX royalties are partly offset by Genmab’s share of Janssen’s royalty payments to Halozyme Therapeutics, Inc. (Halozyme) in connection with SC net sales. The remainder of Genmab’s revenue consists of increasing royalties from TEPEZZA, Kesimpta, RYBREVANT and TECVAYLI, reimbursement revenue, milestones including those for epcoritamab and collaboration revenue with Seagen for Tivdak.</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Operating Expenses</w:t>
      </w:r>
    </w:p>
    <w:p>
      <w:pPr>
        <w:spacing w:after="0" w:line="10" w:lineRule="exact"/>
        <w:rPr>
          <w:sz w:val="20"/>
          <w:szCs w:val="20"/>
          <w:color w:val="auto"/>
        </w:rPr>
      </w:pPr>
    </w:p>
    <w:p>
      <w:pPr>
        <w:ind w:left="20" w:right="279"/>
        <w:spacing w:after="0" w:line="252" w:lineRule="auto"/>
        <w:rPr>
          <w:sz w:val="20"/>
          <w:szCs w:val="20"/>
          <w:color w:val="auto"/>
        </w:rPr>
      </w:pPr>
      <w:r>
        <w:rPr>
          <w:rFonts w:ascii="Arial" w:cs="Arial" w:eastAsia="Arial" w:hAnsi="Arial"/>
          <w:sz w:val="12"/>
          <w:szCs w:val="12"/>
          <w:color w:val="auto"/>
        </w:rPr>
        <w:t>Genmab anticipates its 2023 operating expenses to be in the range of DKK 9,800 – 10,600 million, compared to DKK 8,238 million in 2022. The growth in operating expenses is to support Genmab’s continued portfolio advancement and investing for future product launches, including epcoritamab.</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Operating Profit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expects our operating profit to be in the range of DKK 3,900 – 6,200 million in 2023, compared to DKK 6,357 million in 2022.</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Outlook: Risks and Assumptions</w:t>
      </w:r>
    </w:p>
    <w:p>
      <w:pPr>
        <w:spacing w:after="0" w:line="10" w:lineRule="exact"/>
        <w:rPr>
          <w:sz w:val="20"/>
          <w:szCs w:val="20"/>
          <w:color w:val="auto"/>
        </w:rPr>
      </w:pPr>
    </w:p>
    <w:p>
      <w:pPr>
        <w:ind w:left="20" w:right="199"/>
        <w:spacing w:after="0" w:line="241" w:lineRule="auto"/>
        <w:rPr>
          <w:sz w:val="20"/>
          <w:szCs w:val="20"/>
          <w:color w:val="auto"/>
        </w:rPr>
      </w:pPr>
      <w:r>
        <w:rPr>
          <w:rFonts w:ascii="Arial" w:cs="Arial" w:eastAsia="Arial" w:hAnsi="Arial"/>
          <w:sz w:val="12"/>
          <w:szCs w:val="12"/>
          <w:color w:val="auto"/>
        </w:rPr>
        <w:t xml:space="preserve">In addition to factors already mentioned, the estimates above are subject to change for numerous reasons including but not limited to: the achievement of certain milestones associated with Genmab’s collaboration agreements; the timing and variation of development activities (including activities carried out by Genmab’s collaboration partners) and related income and costs; DARZALEX,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Kesimpta, TEPEZZA, RYBREVANT and TECVAYLI net sales and royalties paid to Genmab; changing rates of inflation; and currency exchange rates (the 2023 guidance assumes a USD/DKK exchange rate of 6.8). The financial</w:t>
      </w: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guidance assumes that no significant new agreements are entered into during 2023 that could materially affect the results. Additionally, depending on trends related to the coronavirus and future variants, the COVID-19 pandemic could potentially have a material adverse impact on Genmab’s business and financial performance, including clinical trials, projected regulatory approval timelines, supply chain and revenues, and cause Genmab’s actual results to differ materially from 2023 Guidance and Key 2023 Priorities in this annual report.</w:t>
      </w:r>
    </w:p>
    <w:p>
      <w:pPr>
        <w:spacing w:after="0" w:line="119" w:lineRule="exact"/>
        <w:rPr>
          <w:sz w:val="20"/>
          <w:szCs w:val="20"/>
          <w:color w:val="auto"/>
        </w:rPr>
      </w:pPr>
    </w:p>
    <w:p>
      <w:pPr>
        <w:ind w:left="20" w:right="39"/>
        <w:spacing w:after="0" w:line="243" w:lineRule="auto"/>
        <w:rPr>
          <w:sz w:val="20"/>
          <w:szCs w:val="20"/>
          <w:color w:val="auto"/>
        </w:rPr>
      </w:pPr>
      <w:r>
        <w:rPr>
          <w:rFonts w:ascii="Arial" w:cs="Arial" w:eastAsia="Arial" w:hAnsi="Arial"/>
          <w:sz w:val="12"/>
          <w:szCs w:val="12"/>
          <w:color w:val="auto"/>
        </w:rPr>
        <w:t>While global health authorities and global vaccination efforts alleviated some of the adverse impacts of the COVID-19 pandemic, should the global outbreak of COVID-19 persist, it may have long-term impacts on the development, regulatory approval and commercialization of Genmab’s investigational medicines and on net sales of approved medicines created by Genmab or that leverage Genmab’s DuoBody technology, which are developed and marketed by Genmab or Genmab’s collaboration partners. The factors discussed above, as well as other factors that are currently unforeseeable, may result in further and other unforeseen material adverse impacts on Genmab’s business and financial performance, including on the sales of Tivdak and on the net sales of DARZALEX, Kesimpta, TEPEZZA, RYBREVANT and TECVAYLI by Genmab’s collaboration partners and on Genmab’s royalties, collaboration revenue and milestone revenue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0" w:type="dxa"/>
        <w:tblCellMar>
          <w:top w:w="0" w:type="dxa"/>
          <w:left w:w="0" w:type="dxa"/>
          <w:bottom w:w="0" w:type="dxa"/>
          <w:right w:w="0" w:type="dxa"/>
        </w:tblCellMar>
      </w:tblPr>
      <w:tr>
        <w:trPr>
          <w:trHeight w:val="172"/>
        </w:trPr>
        <w:tc>
          <w:tcPr>
            <w:tcW w:w="226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Our Strategy</w:t>
            </w:r>
          </w:p>
        </w:tc>
        <w:tc>
          <w:tcPr>
            <w:tcW w:w="8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right w:val="single" w:sz="8" w:color="auto"/>
            </w:tcBorders>
          </w:tcPr>
          <w:p>
            <w:pPr>
              <w:spacing w:after="0"/>
              <w:rPr>
                <w:sz w:val="14"/>
                <w:szCs w:val="14"/>
                <w:color w:val="auto"/>
              </w:rPr>
            </w:pPr>
          </w:p>
        </w:tc>
      </w:tr>
      <w:tr>
        <w:trPr>
          <w:trHeight w:val="125"/>
        </w:trPr>
        <w:tc>
          <w:tcPr>
            <w:tcW w:w="2260" w:type="dxa"/>
            <w:vAlign w:val="bottom"/>
            <w:tcBorders>
              <w:left w:val="single" w:sz="8" w:color="auto"/>
              <w:bottom w:val="single" w:sz="8" w:color="auto"/>
              <w:right w:val="single" w:sz="8" w:color="auto"/>
            </w:tcBorders>
          </w:tcPr>
          <w:p>
            <w:pPr>
              <w:ind w:left="80"/>
              <w:spacing w:after="0" w:line="125" w:lineRule="exact"/>
              <w:rPr>
                <w:sz w:val="20"/>
                <w:szCs w:val="20"/>
                <w:color w:val="auto"/>
              </w:rPr>
            </w:pPr>
            <w:r>
              <w:rPr>
                <w:rFonts w:ascii="Arial" w:cs="Arial" w:eastAsia="Arial" w:hAnsi="Arial"/>
                <w:sz w:val="12"/>
                <w:szCs w:val="12"/>
                <w:b w:val="1"/>
                <w:bCs w:val="1"/>
                <w:color w:val="auto"/>
              </w:rPr>
              <w:t>Business Strategy</w:t>
            </w:r>
          </w:p>
        </w:tc>
        <w:tc>
          <w:tcPr>
            <w:tcW w:w="2240" w:type="dxa"/>
            <w:vAlign w:val="bottom"/>
            <w:tcBorders>
              <w:bottom w:val="single" w:sz="8" w:color="auto"/>
              <w:right w:val="single" w:sz="8" w:color="auto"/>
            </w:tcBorders>
            <w:gridSpan w:val="3"/>
          </w:tcPr>
          <w:p>
            <w:pPr>
              <w:ind w:left="60"/>
              <w:spacing w:after="0" w:line="125" w:lineRule="exact"/>
              <w:rPr>
                <w:sz w:val="20"/>
                <w:szCs w:val="20"/>
                <w:color w:val="auto"/>
              </w:rPr>
            </w:pPr>
            <w:r>
              <w:rPr>
                <w:rFonts w:ascii="Arial" w:cs="Arial" w:eastAsia="Arial" w:hAnsi="Arial"/>
                <w:sz w:val="12"/>
                <w:szCs w:val="12"/>
                <w:b w:val="1"/>
                <w:bCs w:val="1"/>
                <w:color w:val="auto"/>
              </w:rPr>
              <w:t>Priorities in 2022</w:t>
            </w:r>
          </w:p>
        </w:tc>
        <w:tc>
          <w:tcPr>
            <w:tcW w:w="224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b w:val="1"/>
                <w:bCs w:val="1"/>
                <w:color w:val="auto"/>
              </w:rPr>
              <w:t>Priorities for 2023</w:t>
            </w:r>
          </w:p>
        </w:tc>
        <w:tc>
          <w:tcPr>
            <w:tcW w:w="224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b w:val="1"/>
                <w:bCs w:val="1"/>
                <w:color w:val="auto"/>
              </w:rPr>
              <w:t>Link to Risk</w:t>
            </w:r>
          </w:p>
        </w:tc>
      </w:tr>
      <w:tr>
        <w:trPr>
          <w:trHeight w:val="112"/>
        </w:trPr>
        <w:tc>
          <w:tcPr>
            <w:tcW w:w="226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Build a profitable and successful</w:t>
            </w:r>
          </w:p>
        </w:tc>
        <w:tc>
          <w:tcPr>
            <w:tcW w:w="2240" w:type="dxa"/>
            <w:vAlign w:val="bottom"/>
            <w:tcBorders>
              <w:right w:val="single" w:sz="8" w:color="auto"/>
            </w:tcBorders>
            <w:gridSpan w:val="3"/>
          </w:tcPr>
          <w:p>
            <w:pPr>
              <w:ind w:left="40"/>
              <w:spacing w:after="0" w:line="113" w:lineRule="exact"/>
              <w:rPr>
                <w:sz w:val="20"/>
                <w:szCs w:val="20"/>
                <w:color w:val="auto"/>
              </w:rPr>
            </w:pPr>
            <w:r>
              <w:rPr>
                <w:rFonts w:ascii="Arial" w:cs="Arial" w:eastAsia="Arial" w:hAnsi="Arial"/>
                <w:sz w:val="12"/>
                <w:szCs w:val="12"/>
                <w:color w:val="auto"/>
              </w:rPr>
              <w:t>Further scale organization aligned with</w:t>
            </w:r>
          </w:p>
        </w:tc>
        <w:tc>
          <w:tcPr>
            <w:tcW w:w="224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Invest in our people and culture</w:t>
            </w:r>
          </w:p>
        </w:tc>
        <w:tc>
          <w:tcPr>
            <w:tcW w:w="224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Please refer to the risks included in this</w:t>
            </w: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biotech</w:t>
            </w:r>
          </w:p>
        </w:tc>
        <w:tc>
          <w:tcPr>
            <w:tcW w:w="224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growing product portfolio and brand</w:t>
            </w:r>
          </w:p>
        </w:tc>
        <w:tc>
          <w:tcPr>
            <w:tcW w:w="2240" w:type="dxa"/>
            <w:vAlign w:val="bottom"/>
            <w:tcBorders>
              <w:right w:val="single" w:sz="8" w:color="auto"/>
            </w:tcBorders>
          </w:tcPr>
          <w:p>
            <w:pPr>
              <w:ind w:left="60"/>
              <w:spacing w:after="0" w:line="13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Further scale organization aligned</w:t>
            </w:r>
          </w:p>
        </w:tc>
        <w:tc>
          <w:tcPr>
            <w:tcW w:w="224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029C93"/>
              </w:rPr>
              <w:t>Annual Report</w:t>
            </w:r>
            <w:r>
              <w:rPr>
                <w:rFonts w:ascii="Arial" w:cs="Arial" w:eastAsia="Arial" w:hAnsi="Arial"/>
                <w:sz w:val="12"/>
                <w:szCs w:val="12"/>
                <w:color w:val="000000"/>
              </w:rPr>
              <w:t>.</w:t>
            </w: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Maintain a flexible and capital-</w:t>
            </w:r>
          </w:p>
        </w:tc>
        <w:tc>
          <w:tcPr>
            <w:tcW w:w="224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needs</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with differentiated antibody product</w:t>
            </w:r>
          </w:p>
        </w:tc>
        <w:tc>
          <w:tcPr>
            <w:tcW w:w="224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ind w:left="180"/>
              <w:spacing w:after="0" w:line="136" w:lineRule="exact"/>
              <w:rPr>
                <w:sz w:val="20"/>
                <w:szCs w:val="20"/>
                <w:color w:val="auto"/>
              </w:rPr>
            </w:pPr>
            <w:r>
              <w:rPr>
                <w:rFonts w:ascii="Arial" w:cs="Arial" w:eastAsia="Arial" w:hAnsi="Arial"/>
                <w:sz w:val="12"/>
                <w:szCs w:val="12"/>
                <w:color w:val="auto"/>
              </w:rPr>
              <w:t>efficient model</w:t>
            </w:r>
          </w:p>
        </w:tc>
        <w:tc>
          <w:tcPr>
            <w:tcW w:w="2240" w:type="dxa"/>
            <w:vAlign w:val="bottom"/>
            <w:tcBorders>
              <w:right w:val="single" w:sz="8" w:color="auto"/>
            </w:tcBorders>
            <w:gridSpan w:val="3"/>
          </w:tcPr>
          <w:p>
            <w:pPr>
              <w:ind w:left="60"/>
              <w:spacing w:after="0" w:line="13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Further scale organization aligned</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portfolio growth and future launches</w:t>
            </w:r>
          </w:p>
        </w:tc>
        <w:tc>
          <w:tcPr>
            <w:tcW w:w="224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ind w:left="8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Maximize relationships with partners</w:t>
            </w:r>
          </w:p>
        </w:tc>
        <w:tc>
          <w:tcPr>
            <w:tcW w:w="2240" w:type="dxa"/>
            <w:vAlign w:val="bottom"/>
            <w:tcBorders>
              <w:right w:val="single" w:sz="8" w:color="auto"/>
            </w:tcBorders>
            <w:gridSpan w:val="3"/>
          </w:tcPr>
          <w:p>
            <w:pPr>
              <w:ind w:left="160"/>
              <w:spacing w:after="0" w:line="137" w:lineRule="exact"/>
              <w:rPr>
                <w:sz w:val="20"/>
                <w:szCs w:val="20"/>
                <w:color w:val="auto"/>
              </w:rPr>
            </w:pPr>
            <w:r>
              <w:rPr>
                <w:rFonts w:ascii="Arial" w:cs="Arial" w:eastAsia="Arial" w:hAnsi="Arial"/>
                <w:sz w:val="12"/>
                <w:szCs w:val="12"/>
                <w:color w:val="auto"/>
              </w:rPr>
              <w:t>with differentiated antibody product</w:t>
            </w:r>
          </w:p>
        </w:tc>
        <w:tc>
          <w:tcPr>
            <w:tcW w:w="2240" w:type="dxa"/>
            <w:vAlign w:val="bottom"/>
            <w:tcBorders>
              <w:right w:val="single" w:sz="8" w:color="auto"/>
            </w:tcBorders>
          </w:tcPr>
          <w:p>
            <w:pPr>
              <w:ind w:left="60"/>
              <w:spacing w:after="0" w:line="137" w:lineRule="exact"/>
              <w:rPr>
                <w:sz w:val="20"/>
                <w:szCs w:val="20"/>
                <w:color w:val="auto"/>
              </w:rPr>
            </w:pPr>
            <w:r>
              <w:rPr>
                <w:rFonts w:ascii="Arial" w:cs="Arial" w:eastAsia="Arial" w:hAnsi="Arial"/>
                <w:sz w:val="12"/>
                <w:szCs w:val="12"/>
                <w:color w:val="auto"/>
              </w:rPr>
              <w:t>Become a leading integrated biotech</w:t>
            </w:r>
          </w:p>
        </w:tc>
        <w:tc>
          <w:tcPr>
            <w:tcW w:w="224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Retain ownership of select products</w:t>
            </w:r>
          </w:p>
        </w:tc>
        <w:tc>
          <w:tcPr>
            <w:tcW w:w="2240" w:type="dxa"/>
            <w:vAlign w:val="bottom"/>
            <w:tcBorders>
              <w:right w:val="single" w:sz="8" w:color="auto"/>
            </w:tcBorders>
            <w:gridSpan w:val="3"/>
          </w:tcPr>
          <w:p>
            <w:pPr>
              <w:ind w:left="160"/>
              <w:spacing w:after="0" w:line="136" w:lineRule="exact"/>
              <w:rPr>
                <w:sz w:val="20"/>
                <w:szCs w:val="20"/>
                <w:color w:val="auto"/>
              </w:rPr>
            </w:pPr>
            <w:r>
              <w:rPr>
                <w:rFonts w:ascii="Arial" w:cs="Arial" w:eastAsia="Arial" w:hAnsi="Arial"/>
                <w:sz w:val="12"/>
                <w:szCs w:val="12"/>
                <w:color w:val="auto"/>
              </w:rPr>
              <w:t>portfolio growth and future launches</w:t>
            </w:r>
          </w:p>
        </w:tc>
        <w:tc>
          <w:tcPr>
            <w:tcW w:w="224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innovation powerhouse</w:t>
            </w:r>
          </w:p>
        </w:tc>
        <w:tc>
          <w:tcPr>
            <w:tcW w:w="224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gridSpan w:val="3"/>
          </w:tcPr>
          <w:p>
            <w:pPr>
              <w:ind w:left="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Use solid financial base to grow and</w:t>
            </w:r>
          </w:p>
        </w:tc>
        <w:tc>
          <w:tcPr>
            <w:tcW w:w="224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Use solid financial base to grow and</w:t>
            </w:r>
          </w:p>
        </w:tc>
        <w:tc>
          <w:tcPr>
            <w:tcW w:w="224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gridSpan w:val="3"/>
          </w:tcPr>
          <w:p>
            <w:pPr>
              <w:ind w:left="160"/>
              <w:spacing w:after="0" w:line="136" w:lineRule="exact"/>
              <w:rPr>
                <w:sz w:val="20"/>
                <w:szCs w:val="20"/>
                <w:color w:val="auto"/>
              </w:rPr>
            </w:pPr>
            <w:r>
              <w:rPr>
                <w:rFonts w:ascii="Arial" w:cs="Arial" w:eastAsia="Arial" w:hAnsi="Arial"/>
                <w:sz w:val="12"/>
                <w:szCs w:val="12"/>
                <w:color w:val="auto"/>
              </w:rPr>
              <w:t>broaden antibody product and</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broaden antibody product and</w:t>
            </w:r>
          </w:p>
        </w:tc>
        <w:tc>
          <w:tcPr>
            <w:tcW w:w="2240" w:type="dxa"/>
            <w:vAlign w:val="bottom"/>
            <w:tcBorders>
              <w:right w:val="single" w:sz="8" w:color="auto"/>
            </w:tcBorders>
          </w:tcPr>
          <w:p>
            <w:pPr>
              <w:spacing w:after="0"/>
              <w:rPr>
                <w:sz w:val="11"/>
                <w:szCs w:val="11"/>
                <w:color w:val="auto"/>
              </w:rPr>
            </w:pPr>
          </w:p>
        </w:tc>
      </w:tr>
      <w:tr>
        <w:trPr>
          <w:trHeight w:val="159"/>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160"/>
              <w:spacing w:after="0"/>
              <w:rPr>
                <w:sz w:val="20"/>
                <w:szCs w:val="20"/>
                <w:color w:val="auto"/>
              </w:rPr>
            </w:pPr>
            <w:r>
              <w:rPr>
                <w:rFonts w:ascii="Arial" w:cs="Arial" w:eastAsia="Arial" w:hAnsi="Arial"/>
                <w:sz w:val="12"/>
                <w:szCs w:val="12"/>
                <w:color w:val="auto"/>
              </w:rPr>
              <w:t>technology portfolio</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technology portfolio</w:t>
            </w:r>
          </w:p>
        </w:tc>
        <w:tc>
          <w:tcPr>
            <w:tcW w:w="2240" w:type="dxa"/>
            <w:vAlign w:val="bottom"/>
            <w:tcBorders>
              <w:right w:val="single" w:sz="8" w:color="auto"/>
            </w:tcBorders>
          </w:tcPr>
          <w:p>
            <w:pPr>
              <w:spacing w:after="0"/>
              <w:rPr>
                <w:sz w:val="13"/>
                <w:szCs w:val="13"/>
                <w:color w:val="auto"/>
              </w:rPr>
            </w:pPr>
          </w:p>
        </w:tc>
      </w:tr>
      <w:tr>
        <w:trPr>
          <w:trHeight w:val="125"/>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gridSpan w:val="3"/>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r>
      <w:tr>
        <w:trPr>
          <w:trHeight w:val="112"/>
        </w:trPr>
        <w:tc>
          <w:tcPr>
            <w:tcW w:w="226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Focus on core competence</w:t>
            </w:r>
          </w:p>
        </w:tc>
        <w:tc>
          <w:tcPr>
            <w:tcW w:w="224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Growth and development of</w:t>
            </w:r>
          </w:p>
        </w:tc>
        <w:tc>
          <w:tcPr>
            <w:tcW w:w="224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Build a world-class differentiated</w:t>
            </w:r>
          </w:p>
        </w:tc>
        <w:tc>
          <w:tcPr>
            <w:tcW w:w="224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Please refer to the risks included in this</w:t>
            </w:r>
          </w:p>
        </w:tc>
      </w:tr>
      <w:tr>
        <w:trPr>
          <w:trHeight w:val="145"/>
        </w:trPr>
        <w:tc>
          <w:tcPr>
            <w:tcW w:w="2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Identify the best disease targets</w:t>
            </w:r>
          </w:p>
        </w:tc>
        <w:tc>
          <w:tcPr>
            <w:tcW w:w="224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differentiated early-stage product</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pipeline</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029C93"/>
              </w:rPr>
              <w:t>Annual Report</w:t>
            </w:r>
            <w:r>
              <w:rPr>
                <w:rFonts w:ascii="Arial" w:cs="Arial" w:eastAsia="Arial" w:hAnsi="Arial"/>
                <w:sz w:val="12"/>
                <w:szCs w:val="12"/>
                <w:color w:val="000000"/>
              </w:rPr>
              <w:t>.</w:t>
            </w:r>
          </w:p>
        </w:tc>
      </w:tr>
      <w:tr>
        <w:trPr>
          <w:trHeight w:val="149"/>
        </w:trPr>
        <w:tc>
          <w:tcPr>
            <w:tcW w:w="2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Develop unique first-in-class or best-</w:t>
            </w:r>
          </w:p>
        </w:tc>
        <w:tc>
          <w:tcPr>
            <w:tcW w:w="224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candidates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DuoBody-PD-L1x4-1BB</w:t>
            </w:r>
          </w:p>
        </w:tc>
        <w:tc>
          <w:tcPr>
            <w:tcW w:w="2240" w:type="dxa"/>
            <w:vAlign w:val="bottom"/>
            <w:tcBorders>
              <w:right w:val="single" w:sz="8" w:color="auto"/>
            </w:tcBorders>
          </w:tcPr>
          <w:p>
            <w:pPr>
              <w:spacing w:after="0"/>
              <w:rPr>
                <w:sz w:val="12"/>
                <w:szCs w:val="12"/>
                <w:color w:val="auto"/>
              </w:rPr>
            </w:pPr>
          </w:p>
        </w:tc>
      </w:tr>
      <w:tr>
        <w:trPr>
          <w:trHeight w:val="154"/>
        </w:trPr>
        <w:tc>
          <w:tcPr>
            <w:tcW w:w="2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in-class antibodies</w:t>
            </w:r>
          </w:p>
        </w:tc>
        <w:tc>
          <w:tcPr>
            <w:tcW w:w="2240" w:type="dxa"/>
            <w:vAlign w:val="bottom"/>
            <w:tcBorders>
              <w:right w:val="single" w:sz="8" w:color="auto"/>
            </w:tcBorders>
            <w:gridSpan w:val="3"/>
          </w:tcPr>
          <w:p>
            <w:pPr>
              <w:ind w:left="60"/>
              <w:spacing w:after="0" w:line="154"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DuoBody-PD-L1x4-1BB</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&amp;</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Establish proof of concept data in</w:t>
            </w:r>
          </w:p>
        </w:tc>
        <w:tc>
          <w:tcPr>
            <w:tcW w:w="2240" w:type="dxa"/>
            <w:vAlign w:val="bottom"/>
            <w:tcBorders>
              <w:right w:val="single" w:sz="8" w:color="auto"/>
            </w:tcBorders>
          </w:tcPr>
          <w:p>
            <w:pPr>
              <w:spacing w:after="0"/>
              <w:rPr>
                <w:sz w:val="13"/>
                <w:szCs w:val="13"/>
                <w:color w:val="auto"/>
              </w:rPr>
            </w:pPr>
          </w:p>
        </w:tc>
      </w:tr>
      <w:tr>
        <w:trPr>
          <w:trHeight w:val="145"/>
        </w:trPr>
        <w:tc>
          <w:tcPr>
            <w:tcW w:w="2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Develop next-generation</w:t>
            </w:r>
          </w:p>
        </w:tc>
        <w:tc>
          <w:tcPr>
            <w:tcW w:w="2240" w:type="dxa"/>
            <w:vAlign w:val="bottom"/>
            <w:tcBorders>
              <w:right w:val="single" w:sz="8" w:color="auto"/>
            </w:tcBorders>
            <w:gridSpan w:val="3"/>
          </w:tcPr>
          <w:p>
            <w:pPr>
              <w:ind w:left="160"/>
              <w:spacing w:after="0" w:line="145" w:lineRule="exact"/>
              <w:rPr>
                <w:sz w:val="20"/>
                <w:szCs w:val="20"/>
                <w:color w:val="auto"/>
              </w:rPr>
            </w:pPr>
            <w:r>
              <w:rPr>
                <w:rFonts w:ascii="Arial" w:cs="Arial" w:eastAsia="Arial" w:hAnsi="Arial"/>
                <w:sz w:val="11"/>
                <w:szCs w:val="11"/>
                <w:color w:val="auto"/>
              </w:rPr>
              <w:t>DuoBody-CD40x4-1BB</w:t>
            </w:r>
            <w:r>
              <w:rPr>
                <w:rFonts w:ascii="Arial" w:cs="Arial" w:eastAsia="Arial" w:hAnsi="Arial"/>
                <w:sz w:val="16"/>
                <w:szCs w:val="16"/>
                <w:color w:val="auto"/>
                <w:vertAlign w:val="superscript"/>
              </w:rPr>
              <w:t>1</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solid tumor indication</w:t>
            </w:r>
          </w:p>
        </w:tc>
        <w:tc>
          <w:tcPr>
            <w:tcW w:w="2240" w:type="dxa"/>
            <w:vAlign w:val="bottom"/>
            <w:tcBorders>
              <w:right w:val="single" w:sz="8" w:color="auto"/>
            </w:tcBorders>
          </w:tcPr>
          <w:p>
            <w:pPr>
              <w:spacing w:after="0"/>
              <w:rPr>
                <w:sz w:val="12"/>
                <w:szCs w:val="12"/>
                <w:color w:val="auto"/>
              </w:rPr>
            </w:pPr>
          </w:p>
        </w:tc>
      </w:tr>
      <w:tr>
        <w:trPr>
          <w:trHeight w:val="160"/>
        </w:trPr>
        <w:tc>
          <w:tcPr>
            <w:tcW w:w="2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technologies</w:t>
            </w:r>
          </w:p>
        </w:tc>
        <w:tc>
          <w:tcPr>
            <w:tcW w:w="2240" w:type="dxa"/>
            <w:vAlign w:val="bottom"/>
            <w:tcBorders>
              <w:right w:val="single" w:sz="8" w:color="auto"/>
            </w:tcBorders>
            <w:gridSpan w:val="3"/>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Data from clinical expansion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DuoBody-CD40x4-1BB</w:t>
            </w:r>
          </w:p>
        </w:tc>
        <w:tc>
          <w:tcPr>
            <w:tcW w:w="2240" w:type="dxa"/>
            <w:vAlign w:val="bottom"/>
            <w:tcBorders>
              <w:right w:val="single" w:sz="8" w:color="auto"/>
            </w:tcBorders>
          </w:tcPr>
          <w:p>
            <w:pPr>
              <w:spacing w:after="0"/>
              <w:rPr>
                <w:sz w:val="13"/>
                <w:szCs w:val="13"/>
                <w:color w:val="auto"/>
              </w:rPr>
            </w:pPr>
          </w:p>
        </w:tc>
      </w:tr>
      <w:tr>
        <w:trPr>
          <w:trHeight w:val="154"/>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cohorts to progress to next steps</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Establish efficacy and safety data</w:t>
            </w:r>
          </w:p>
        </w:tc>
        <w:tc>
          <w:tcPr>
            <w:tcW w:w="2240" w:type="dxa"/>
            <w:vAlign w:val="bottom"/>
            <w:tcBorders>
              <w:right w:val="single" w:sz="8" w:color="auto"/>
            </w:tcBorders>
          </w:tcPr>
          <w:p>
            <w:pPr>
              <w:spacing w:after="0"/>
              <w:rPr>
                <w:sz w:val="13"/>
                <w:szCs w:val="13"/>
                <w:color w:val="auto"/>
              </w:rPr>
            </w:pPr>
          </w:p>
        </w:tc>
      </w:tr>
      <w:tr>
        <w:trPr>
          <w:trHeight w:val="140"/>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Expand and advance proprietary</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in solid tumor indication</w:t>
            </w:r>
          </w:p>
        </w:tc>
        <w:tc>
          <w:tcPr>
            <w:tcW w:w="2240" w:type="dxa"/>
            <w:vAlign w:val="bottom"/>
            <w:tcBorders>
              <w:right w:val="single" w:sz="8" w:color="auto"/>
            </w:tcBorders>
          </w:tcPr>
          <w:p>
            <w:pPr>
              <w:spacing w:after="0"/>
              <w:rPr>
                <w:sz w:val="12"/>
                <w:szCs w:val="12"/>
                <w:color w:val="auto"/>
              </w:rPr>
            </w:pPr>
          </w:p>
        </w:tc>
      </w:tr>
      <w:tr>
        <w:trPr>
          <w:trHeight w:val="187"/>
        </w:trPr>
        <w:tc>
          <w:tcPr>
            <w:tcW w:w="226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160"/>
              <w:spacing w:after="0"/>
              <w:rPr>
                <w:sz w:val="20"/>
                <w:szCs w:val="20"/>
                <w:color w:val="auto"/>
              </w:rPr>
            </w:pPr>
            <w:r>
              <w:rPr>
                <w:rFonts w:ascii="Arial" w:cs="Arial" w:eastAsia="Arial" w:hAnsi="Arial"/>
                <w:sz w:val="12"/>
                <w:szCs w:val="12"/>
                <w:color w:val="auto"/>
              </w:rPr>
              <w:t>clinical product portfolio</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Progress towards late-stage</w:t>
            </w:r>
          </w:p>
        </w:tc>
        <w:tc>
          <w:tcPr>
            <w:tcW w:w="2240" w:type="dxa"/>
            <w:vAlign w:val="bottom"/>
            <w:tcBorders>
              <w:right w:val="single" w:sz="8" w:color="auto"/>
            </w:tcBorders>
          </w:tcPr>
          <w:p>
            <w:pPr>
              <w:spacing w:after="0"/>
              <w:rPr>
                <w:sz w:val="16"/>
                <w:szCs w:val="16"/>
                <w:color w:val="auto"/>
              </w:rPr>
            </w:pPr>
          </w:p>
        </w:tc>
      </w:tr>
      <w:tr>
        <w:trPr>
          <w:trHeight w:val="154"/>
        </w:trPr>
        <w:tc>
          <w:tcPr>
            <w:tcW w:w="2260" w:type="dxa"/>
            <w:vAlign w:val="bottom"/>
            <w:tcBorders>
              <w:left w:val="single" w:sz="8" w:color="auto"/>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clinical development</w:t>
            </w:r>
          </w:p>
        </w:tc>
        <w:tc>
          <w:tcPr>
            <w:tcW w:w="2240" w:type="dxa"/>
            <w:vAlign w:val="bottom"/>
            <w:tcBorders>
              <w:right w:val="single" w:sz="8" w:color="auto"/>
            </w:tcBorders>
          </w:tcPr>
          <w:p>
            <w:pPr>
              <w:spacing w:after="0"/>
              <w:rPr>
                <w:sz w:val="13"/>
                <w:szCs w:val="13"/>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Expand and advance proprietary</w:t>
            </w:r>
          </w:p>
        </w:tc>
        <w:tc>
          <w:tcPr>
            <w:tcW w:w="2240" w:type="dxa"/>
            <w:vAlign w:val="bottom"/>
            <w:tcBorders>
              <w:right w:val="single" w:sz="8" w:color="auto"/>
            </w:tcBorders>
          </w:tcPr>
          <w:p>
            <w:pPr>
              <w:spacing w:after="0"/>
              <w:rPr>
                <w:sz w:val="11"/>
                <w:szCs w:val="11"/>
                <w:color w:val="auto"/>
              </w:rPr>
            </w:pPr>
          </w:p>
        </w:tc>
      </w:tr>
      <w:tr>
        <w:trPr>
          <w:trHeight w:val="149"/>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clinical product portfolio</w:t>
            </w:r>
          </w:p>
        </w:tc>
        <w:tc>
          <w:tcPr>
            <w:tcW w:w="2240" w:type="dxa"/>
            <w:vAlign w:val="bottom"/>
            <w:tcBorders>
              <w:bottom w:val="single" w:sz="8" w:color="auto"/>
              <w:right w:val="single" w:sz="8" w:color="auto"/>
            </w:tcBorders>
          </w:tcPr>
          <w:p>
            <w:pPr>
              <w:spacing w:after="0"/>
              <w:rPr>
                <w:sz w:val="12"/>
                <w:szCs w:val="12"/>
                <w:color w:val="auto"/>
              </w:rPr>
            </w:pPr>
          </w:p>
        </w:tc>
      </w:tr>
      <w:tr>
        <w:trPr>
          <w:trHeight w:val="637"/>
        </w:trPr>
        <w:tc>
          <w:tcPr>
            <w:tcW w:w="2260" w:type="dxa"/>
            <w:vAlign w:val="bottom"/>
          </w:tcPr>
          <w:p>
            <w:pPr>
              <w:spacing w:after="0"/>
              <w:rPr>
                <w:sz w:val="20"/>
                <w:szCs w:val="20"/>
                <w:color w:val="auto"/>
              </w:rPr>
            </w:pPr>
            <w:r>
              <w:rPr>
                <w:rFonts w:ascii="Arial" w:cs="Arial" w:eastAsia="Arial" w:hAnsi="Arial"/>
                <w:sz w:val="10"/>
                <w:szCs w:val="10"/>
                <w:color w:val="auto"/>
              </w:rPr>
              <w:t>Genmab A/S</w:t>
            </w:r>
          </w:p>
        </w:tc>
        <w:tc>
          <w:tcPr>
            <w:tcW w:w="2240" w:type="dxa"/>
            <w:vAlign w:val="bottom"/>
            <w:gridSpan w:val="3"/>
          </w:tcPr>
          <w:p>
            <w:pPr>
              <w:ind w:left="880"/>
              <w:spacing w:after="0"/>
              <w:rPr>
                <w:sz w:val="20"/>
                <w:szCs w:val="20"/>
                <w:color w:val="auto"/>
              </w:rPr>
            </w:pPr>
            <w:r>
              <w:rPr>
                <w:rFonts w:ascii="Arial" w:cs="Arial" w:eastAsia="Arial" w:hAnsi="Arial"/>
                <w:sz w:val="10"/>
                <w:szCs w:val="10"/>
                <w:color w:val="auto"/>
              </w:rPr>
              <w:t>Tel: +45 7020 2728</w:t>
            </w:r>
          </w:p>
        </w:tc>
        <w:tc>
          <w:tcPr>
            <w:tcW w:w="22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6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40" w:type="dxa"/>
            <w:vAlign w:val="bottom"/>
          </w:tcPr>
          <w:p>
            <w:pPr>
              <w:jc w:val="right"/>
              <w:spacing w:after="0" w:line="109" w:lineRule="exact"/>
              <w:rPr>
                <w:sz w:val="20"/>
                <w:szCs w:val="20"/>
                <w:color w:val="auto"/>
              </w:rPr>
            </w:pPr>
            <w:r>
              <w:rPr>
                <w:rFonts w:ascii="Arial" w:cs="Arial" w:eastAsia="Arial" w:hAnsi="Arial"/>
                <w:sz w:val="10"/>
                <w:szCs w:val="10"/>
                <w:color w:val="auto"/>
              </w:rPr>
              <w:t>Page 11/158</w:t>
            </w:r>
          </w:p>
        </w:tc>
      </w:tr>
      <w:tr>
        <w:trPr>
          <w:trHeight w:val="105"/>
        </w:trPr>
        <w:tc>
          <w:tcPr>
            <w:tcW w:w="226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240" w:type="dxa"/>
            <w:vAlign w:val="bottom"/>
            <w:gridSpan w:val="3"/>
          </w:tcPr>
          <w:p>
            <w:pPr>
              <w:ind w:left="880"/>
              <w:spacing w:after="0" w:line="105" w:lineRule="exact"/>
              <w:rPr>
                <w:sz w:val="20"/>
                <w:szCs w:val="20"/>
                <w:color w:val="auto"/>
              </w:rPr>
            </w:pPr>
            <w:r>
              <w:rPr>
                <w:rFonts w:ascii="Arial" w:cs="Arial" w:eastAsia="Arial" w:hAnsi="Arial"/>
                <w:sz w:val="10"/>
                <w:szCs w:val="10"/>
                <w:color w:val="0000FF"/>
              </w:rPr>
              <w:t>www.genmab.com</w:t>
            </w:r>
          </w:p>
        </w:tc>
        <w:tc>
          <w:tcPr>
            <w:tcW w:w="2240" w:type="dxa"/>
            <w:vAlign w:val="bottom"/>
          </w:tcPr>
          <w:p>
            <w:pPr>
              <w:spacing w:after="0"/>
              <w:rPr>
                <w:sz w:val="9"/>
                <w:szCs w:val="9"/>
                <w:color w:val="auto"/>
              </w:rPr>
            </w:pPr>
          </w:p>
        </w:tc>
        <w:tc>
          <w:tcPr>
            <w:tcW w:w="224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32"/>
        </w:trPr>
        <w:tc>
          <w:tcPr>
            <w:tcW w:w="2260" w:type="dxa"/>
            <w:vAlign w:val="bottom"/>
            <w:tcBorders>
              <w:top w:val="single" w:sz="8" w:color="auto"/>
              <w:left w:val="single" w:sz="8" w:color="auto"/>
              <w:right w:val="single" w:sz="8" w:color="auto"/>
            </w:tcBorders>
          </w:tcPr>
          <w:p>
            <w:pPr>
              <w:ind w:left="80"/>
              <w:spacing w:after="0" w:line="132" w:lineRule="exact"/>
              <w:rPr>
                <w:sz w:val="20"/>
                <w:szCs w:val="20"/>
                <w:color w:val="auto"/>
              </w:rPr>
            </w:pPr>
            <w:r>
              <w:rPr>
                <w:rFonts w:ascii="Arial" w:cs="Arial" w:eastAsia="Arial" w:hAnsi="Arial"/>
                <w:sz w:val="12"/>
                <w:szCs w:val="12"/>
                <w:color w:val="auto"/>
              </w:rPr>
              <w:t>Turn science into medicine</w:t>
            </w:r>
          </w:p>
        </w:tc>
        <w:tc>
          <w:tcPr>
            <w:tcW w:w="2240" w:type="dxa"/>
            <w:vAlign w:val="bottom"/>
            <w:tcBorders>
              <w:top w:val="single" w:sz="8" w:color="auto"/>
              <w:right w:val="single" w:sz="8" w:color="auto"/>
            </w:tcBorders>
            <w:gridSpan w:val="3"/>
          </w:tcPr>
          <w:p>
            <w:pPr>
              <w:ind w:left="60"/>
              <w:spacing w:after="0" w:line="132" w:lineRule="exact"/>
              <w:rPr>
                <w:sz w:val="20"/>
                <w:szCs w:val="20"/>
                <w:color w:val="auto"/>
              </w:rPr>
            </w:pPr>
            <w:r>
              <w:rPr>
                <w:rFonts w:ascii="Arial" w:cs="Arial" w:eastAsia="Arial" w:hAnsi="Arial"/>
                <w:sz w:val="12"/>
                <w:szCs w:val="12"/>
                <w:color w:val="auto"/>
              </w:rPr>
              <w:t>Broad and rapid development of late-</w:t>
            </w:r>
          </w:p>
        </w:tc>
        <w:tc>
          <w:tcPr>
            <w:tcW w:w="2240" w:type="dxa"/>
            <w:vAlign w:val="bottom"/>
            <w:tcBorders>
              <w:top w:val="single" w:sz="8" w:color="auto"/>
              <w:right w:val="single" w:sz="8" w:color="auto"/>
            </w:tcBorders>
          </w:tcPr>
          <w:p>
            <w:pPr>
              <w:ind w:left="60"/>
              <w:spacing w:after="0" w:line="132" w:lineRule="exact"/>
              <w:rPr>
                <w:sz w:val="20"/>
                <w:szCs w:val="20"/>
                <w:color w:val="auto"/>
              </w:rPr>
            </w:pPr>
            <w:r>
              <w:rPr>
                <w:rFonts w:ascii="Arial" w:cs="Arial" w:eastAsia="Arial" w:hAnsi="Arial"/>
                <w:sz w:val="12"/>
                <w:szCs w:val="12"/>
                <w:color w:val="auto"/>
              </w:rPr>
              <w:t>Bring our own medicines to patients</w:t>
            </w:r>
          </w:p>
        </w:tc>
        <w:tc>
          <w:tcPr>
            <w:tcW w:w="2220" w:type="dxa"/>
            <w:vAlign w:val="bottom"/>
            <w:tcBorders>
              <w:top w:val="single" w:sz="8" w:color="auto"/>
              <w:right w:val="single" w:sz="8" w:color="auto"/>
            </w:tcBorders>
          </w:tcPr>
          <w:p>
            <w:pPr>
              <w:ind w:left="60"/>
              <w:spacing w:after="0" w:line="132" w:lineRule="exact"/>
              <w:rPr>
                <w:sz w:val="20"/>
                <w:szCs w:val="20"/>
                <w:color w:val="auto"/>
              </w:rPr>
            </w:pPr>
            <w:r>
              <w:rPr>
                <w:rFonts w:ascii="Arial" w:cs="Arial" w:eastAsia="Arial" w:hAnsi="Arial"/>
                <w:sz w:val="12"/>
                <w:szCs w:val="12"/>
                <w:color w:val="auto"/>
              </w:rPr>
              <w:t>Please refer to the risks included in</w:t>
            </w:r>
          </w:p>
        </w:tc>
      </w:tr>
      <w:tr>
        <w:trPr>
          <w:trHeight w:val="140"/>
        </w:trPr>
        <w:tc>
          <w:tcPr>
            <w:tcW w:w="2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Create differentiated antibody</w:t>
            </w:r>
          </w:p>
        </w:tc>
        <w:tc>
          <w:tcPr>
            <w:tcW w:w="224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stage clinical pipeline and further build</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Epcoritamab</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color w:val="029C93"/>
              </w:rPr>
              <w:t>Annual Report</w:t>
            </w:r>
            <w:r>
              <w:rPr>
                <w:rFonts w:ascii="Arial" w:cs="Arial" w:eastAsia="Arial" w:hAnsi="Arial"/>
                <w:sz w:val="12"/>
                <w:szCs w:val="12"/>
                <w:color w:val="auto"/>
              </w:rPr>
              <w:t>.</w:t>
            </w:r>
          </w:p>
        </w:tc>
      </w:tr>
      <w:tr>
        <w:trPr>
          <w:trHeight w:val="154"/>
        </w:trPr>
        <w:tc>
          <w:tcPr>
            <w:tcW w:w="2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therapeutics with significant</w:t>
            </w:r>
          </w:p>
        </w:tc>
        <w:tc>
          <w:tcPr>
            <w:tcW w:w="224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U.S. country organization</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Launch in relapsed/refractory</w:t>
            </w:r>
          </w:p>
        </w:tc>
        <w:tc>
          <w:tcPr>
            <w:tcW w:w="2220" w:type="dxa"/>
            <w:vAlign w:val="bottom"/>
            <w:tcBorders>
              <w:right w:val="single" w:sz="8" w:color="auto"/>
            </w:tcBorders>
          </w:tcPr>
          <w:p>
            <w:pPr>
              <w:spacing w:after="0"/>
              <w:rPr>
                <w:sz w:val="13"/>
                <w:szCs w:val="13"/>
                <w:color w:val="auto"/>
              </w:rPr>
            </w:pPr>
          </w:p>
        </w:tc>
      </w:tr>
      <w:tr>
        <w:trPr>
          <w:trHeight w:val="173"/>
        </w:trPr>
        <w:tc>
          <w:tcPr>
            <w:tcW w:w="2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commercial potential</w:t>
            </w:r>
          </w:p>
        </w:tc>
        <w:tc>
          <w:tcPr>
            <w:tcW w:w="2240" w:type="dxa"/>
            <w:vAlign w:val="bottom"/>
            <w:tcBorders>
              <w:right w:val="single" w:sz="8" w:color="auto"/>
            </w:tcBorders>
            <w:gridSpan w:val="3"/>
          </w:tcPr>
          <w:p>
            <w:pPr>
              <w:ind w:left="60"/>
              <w:spacing w:after="0" w:line="173"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Epcoritamab</w:t>
            </w:r>
            <w:r>
              <w:rPr>
                <w:rFonts w:ascii="Arial" w:cs="Arial" w:eastAsia="Arial" w:hAnsi="Arial"/>
                <w:sz w:val="18"/>
                <w:szCs w:val="18"/>
                <w:color w:val="auto"/>
                <w:vertAlign w:val="superscript"/>
              </w:rPr>
              <w:t>2</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diffuse large B-cell lymphoma</w:t>
            </w:r>
          </w:p>
        </w:tc>
        <w:tc>
          <w:tcPr>
            <w:tcW w:w="2220" w:type="dxa"/>
            <w:vAlign w:val="bottom"/>
            <w:tcBorders>
              <w:right w:val="single" w:sz="8" w:color="auto"/>
            </w:tcBorders>
          </w:tcPr>
          <w:p>
            <w:pPr>
              <w:spacing w:after="0"/>
              <w:rPr>
                <w:sz w:val="15"/>
                <w:szCs w:val="15"/>
                <w:color w:val="auto"/>
              </w:rPr>
            </w:pPr>
          </w:p>
        </w:tc>
      </w:tr>
      <w:tr>
        <w:trPr>
          <w:trHeight w:val="158"/>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Expand clinical development</w:t>
            </w:r>
          </w:p>
        </w:tc>
        <w:tc>
          <w:tcPr>
            <w:tcW w:w="2240" w:type="dxa"/>
            <w:vAlign w:val="bottom"/>
            <w:tcBorders>
              <w:right w:val="single" w:sz="8" w:color="auto"/>
            </w:tcBorders>
          </w:tcPr>
          <w:p>
            <w:pPr>
              <w:ind w:left="260"/>
              <w:spacing w:after="0" w:line="157" w:lineRule="exact"/>
              <w:rPr>
                <w:sz w:val="20"/>
                <w:szCs w:val="20"/>
                <w:color w:val="auto"/>
              </w:rPr>
            </w:pPr>
            <w:r>
              <w:rPr>
                <w:rFonts w:ascii="Arial" w:cs="Arial" w:eastAsia="Arial" w:hAnsi="Arial"/>
                <w:sz w:val="12"/>
                <w:szCs w:val="12"/>
                <w:color w:val="auto"/>
              </w:rPr>
              <w:t>(DLBCL)</w:t>
            </w:r>
            <w:r>
              <w:rPr>
                <w:rFonts w:ascii="Arial" w:cs="Arial" w:eastAsia="Arial" w:hAnsi="Arial"/>
                <w:sz w:val="18"/>
                <w:szCs w:val="18"/>
                <w:color w:val="auto"/>
                <w:vertAlign w:val="superscript"/>
              </w:rPr>
              <w:t>4</w:t>
            </w:r>
          </w:p>
        </w:tc>
        <w:tc>
          <w:tcPr>
            <w:tcW w:w="2220" w:type="dxa"/>
            <w:vAlign w:val="bottom"/>
            <w:tcBorders>
              <w:right w:val="single" w:sz="8" w:color="auto"/>
            </w:tcBorders>
          </w:tcPr>
          <w:p>
            <w:pPr>
              <w:spacing w:after="0"/>
              <w:rPr>
                <w:sz w:val="13"/>
                <w:szCs w:val="13"/>
                <w:color w:val="auto"/>
              </w:rPr>
            </w:pPr>
          </w:p>
        </w:tc>
      </w:tr>
      <w:tr>
        <w:trPr>
          <w:trHeight w:val="150"/>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program with multiple Phase 3</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Submit a supplemental BLA</w:t>
            </w:r>
          </w:p>
        </w:tc>
        <w:tc>
          <w:tcPr>
            <w:tcW w:w="2220" w:type="dxa"/>
            <w:vAlign w:val="bottom"/>
            <w:tcBorders>
              <w:right w:val="single" w:sz="8" w:color="auto"/>
            </w:tcBorders>
          </w:tcPr>
          <w:p>
            <w:pPr>
              <w:spacing w:after="0"/>
              <w:rPr>
                <w:sz w:val="13"/>
                <w:szCs w:val="13"/>
                <w:color w:val="auto"/>
              </w:rPr>
            </w:pPr>
          </w:p>
        </w:tc>
      </w:tr>
      <w:tr>
        <w:trPr>
          <w:trHeight w:val="158"/>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trials initiated and submission of</w:t>
            </w:r>
          </w:p>
        </w:tc>
        <w:tc>
          <w:tcPr>
            <w:tcW w:w="2240" w:type="dxa"/>
            <w:vAlign w:val="bottom"/>
            <w:tcBorders>
              <w:right w:val="single" w:sz="8" w:color="auto"/>
            </w:tcBorders>
          </w:tcPr>
          <w:p>
            <w:pPr>
              <w:ind w:left="260"/>
              <w:spacing w:after="0" w:line="157" w:lineRule="exact"/>
              <w:rPr>
                <w:sz w:val="20"/>
                <w:szCs w:val="20"/>
                <w:color w:val="auto"/>
              </w:rPr>
            </w:pPr>
            <w:r>
              <w:rPr>
                <w:rFonts w:ascii="Arial" w:cs="Arial" w:eastAsia="Arial" w:hAnsi="Arial"/>
                <w:sz w:val="12"/>
                <w:szCs w:val="12"/>
                <w:color w:val="auto"/>
              </w:rPr>
              <w:t>(sBLA)</w:t>
            </w:r>
            <w:r>
              <w:rPr>
                <w:rFonts w:ascii="Arial" w:cs="Arial" w:eastAsia="Arial" w:hAnsi="Arial"/>
                <w:sz w:val="18"/>
                <w:szCs w:val="18"/>
                <w:color w:val="auto"/>
                <w:vertAlign w:val="superscript"/>
              </w:rPr>
              <w:t>5</w:t>
            </w:r>
          </w:p>
        </w:tc>
        <w:tc>
          <w:tcPr>
            <w:tcW w:w="2220" w:type="dxa"/>
            <w:vAlign w:val="bottom"/>
            <w:tcBorders>
              <w:right w:val="single" w:sz="8" w:color="auto"/>
            </w:tcBorders>
          </w:tcPr>
          <w:p>
            <w:pPr>
              <w:spacing w:after="0"/>
              <w:rPr>
                <w:sz w:val="13"/>
                <w:szCs w:val="13"/>
                <w:color w:val="auto"/>
              </w:rPr>
            </w:pPr>
          </w:p>
        </w:tc>
      </w:tr>
      <w:tr>
        <w:trPr>
          <w:trHeight w:val="146"/>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first BLA (subject to supportive</w:t>
            </w:r>
          </w:p>
        </w:tc>
        <w:tc>
          <w:tcPr>
            <w:tcW w:w="2240" w:type="dxa"/>
            <w:vAlign w:val="bottom"/>
            <w:tcBorders>
              <w:right w:val="single" w:sz="8" w:color="auto"/>
            </w:tcBorders>
          </w:tcPr>
          <w:p>
            <w:pPr>
              <w:ind w:left="160"/>
              <w:spacing w:after="0" w:line="147" w:lineRule="exact"/>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Broaden clinical development</w:t>
            </w:r>
          </w:p>
        </w:tc>
        <w:tc>
          <w:tcPr>
            <w:tcW w:w="2220" w:type="dxa"/>
            <w:vAlign w:val="bottom"/>
            <w:tcBorders>
              <w:right w:val="single" w:sz="8" w:color="auto"/>
            </w:tcBorders>
          </w:tcPr>
          <w:p>
            <w:pPr>
              <w:spacing w:after="0"/>
              <w:rPr>
                <w:sz w:val="12"/>
                <w:szCs w:val="12"/>
                <w:color w:val="auto"/>
              </w:rPr>
            </w:pPr>
          </w:p>
        </w:tc>
      </w:tr>
      <w:tr>
        <w:trPr>
          <w:trHeight w:val="158"/>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U.S. FDA feedback)</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program</w:t>
            </w:r>
          </w:p>
        </w:tc>
        <w:tc>
          <w:tcPr>
            <w:tcW w:w="2220" w:type="dxa"/>
            <w:vAlign w:val="bottom"/>
            <w:tcBorders>
              <w:right w:val="single" w:sz="8" w:color="auto"/>
            </w:tcBorders>
          </w:tcPr>
          <w:p>
            <w:pPr>
              <w:spacing w:after="0"/>
              <w:rPr>
                <w:sz w:val="13"/>
                <w:szCs w:val="13"/>
                <w:color w:val="auto"/>
              </w:rPr>
            </w:pPr>
          </w:p>
        </w:tc>
      </w:tr>
      <w:tr>
        <w:trPr>
          <w:trHeight w:val="149"/>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gridSpan w:val="3"/>
          </w:tcPr>
          <w:p>
            <w:pPr>
              <w:ind w:left="60"/>
              <w:spacing w:after="0" w:line="148"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Tivdak</w:t>
            </w:r>
            <w:r>
              <w:rPr>
                <w:rFonts w:ascii="Arial" w:cs="Arial" w:eastAsia="Arial" w:hAnsi="Arial"/>
                <w:sz w:val="17"/>
                <w:szCs w:val="17"/>
                <w:color w:val="auto"/>
                <w:vertAlign w:val="superscript"/>
              </w:rPr>
              <w:t>3</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Tivdak</w:t>
            </w:r>
          </w:p>
        </w:tc>
        <w:tc>
          <w:tcPr>
            <w:tcW w:w="2220" w:type="dxa"/>
            <w:vAlign w:val="bottom"/>
            <w:tcBorders>
              <w:right w:val="single" w:sz="8" w:color="auto"/>
            </w:tcBorders>
          </w:tcPr>
          <w:p>
            <w:pPr>
              <w:spacing w:after="0"/>
              <w:rPr>
                <w:sz w:val="12"/>
                <w:szCs w:val="12"/>
                <w:color w:val="auto"/>
              </w:rPr>
            </w:pPr>
          </w:p>
        </w:tc>
      </w:tr>
      <w:tr>
        <w:trPr>
          <w:trHeight w:val="155"/>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Establish Tivdak as a clear choice</w:t>
            </w:r>
          </w:p>
        </w:tc>
        <w:tc>
          <w:tcPr>
            <w:tcW w:w="224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Progress successful uptake in 2L+</w:t>
            </w:r>
          </w:p>
        </w:tc>
        <w:tc>
          <w:tcPr>
            <w:tcW w:w="2220" w:type="dxa"/>
            <w:vAlign w:val="bottom"/>
            <w:tcBorders>
              <w:right w:val="single" w:sz="8" w:color="auto"/>
            </w:tcBorders>
          </w:tcPr>
          <w:p>
            <w:pPr>
              <w:spacing w:after="0"/>
              <w:rPr>
                <w:sz w:val="13"/>
                <w:szCs w:val="13"/>
                <w:color w:val="auto"/>
              </w:rPr>
            </w:pPr>
          </w:p>
        </w:tc>
      </w:tr>
      <w:tr>
        <w:trPr>
          <w:trHeight w:val="154"/>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for second-line (2L) + recurrent or</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recurrent or metastatic cervical</w:t>
            </w:r>
          </w:p>
        </w:tc>
        <w:tc>
          <w:tcPr>
            <w:tcW w:w="2220" w:type="dxa"/>
            <w:vAlign w:val="bottom"/>
            <w:tcBorders>
              <w:right w:val="single" w:sz="8" w:color="auto"/>
            </w:tcBorders>
          </w:tcPr>
          <w:p>
            <w:pPr>
              <w:spacing w:after="0"/>
              <w:rPr>
                <w:sz w:val="13"/>
                <w:szCs w:val="13"/>
                <w:color w:val="auto"/>
              </w:rPr>
            </w:pPr>
          </w:p>
        </w:tc>
      </w:tr>
      <w:tr>
        <w:trPr>
          <w:trHeight w:val="153"/>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gridSpan w:val="3"/>
          </w:tcPr>
          <w:p>
            <w:pPr>
              <w:ind w:left="260"/>
              <w:spacing w:after="0"/>
              <w:rPr>
                <w:sz w:val="20"/>
                <w:szCs w:val="20"/>
                <w:color w:val="auto"/>
              </w:rPr>
            </w:pPr>
            <w:r>
              <w:rPr>
                <w:rFonts w:ascii="Arial" w:cs="Arial" w:eastAsia="Arial" w:hAnsi="Arial"/>
                <w:sz w:val="12"/>
                <w:szCs w:val="12"/>
                <w:color w:val="auto"/>
              </w:rPr>
              <w:t>metastatic cervical cancer patients</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cancer patients</w:t>
            </w:r>
          </w:p>
        </w:tc>
        <w:tc>
          <w:tcPr>
            <w:tcW w:w="2220" w:type="dxa"/>
            <w:vAlign w:val="bottom"/>
            <w:tcBorders>
              <w:right w:val="single" w:sz="8" w:color="auto"/>
            </w:tcBorders>
          </w:tcPr>
          <w:p>
            <w:pPr>
              <w:spacing w:after="0"/>
              <w:rPr>
                <w:sz w:val="13"/>
                <w:szCs w:val="13"/>
                <w:color w:val="auto"/>
              </w:rPr>
            </w:pPr>
          </w:p>
        </w:tc>
      </w:tr>
      <w:tr>
        <w:trPr>
          <w:trHeight w:val="137"/>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gridSpan w:val="3"/>
          </w:tcPr>
          <w:p>
            <w:pPr>
              <w:ind w:left="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Broaden clinical development</w:t>
            </w:r>
          </w:p>
        </w:tc>
        <w:tc>
          <w:tcPr>
            <w:tcW w:w="2240" w:type="dxa"/>
            <w:vAlign w:val="bottom"/>
            <w:tcBorders>
              <w:right w:val="single" w:sz="8" w:color="auto"/>
            </w:tcBorders>
          </w:tcPr>
          <w:p>
            <w:pPr>
              <w:ind w:left="160"/>
              <w:spacing w:after="0" w:line="137" w:lineRule="exact"/>
              <w:rPr>
                <w:sz w:val="20"/>
                <w:szCs w:val="20"/>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Progress clinical development</w:t>
            </w:r>
          </w:p>
        </w:tc>
        <w:tc>
          <w:tcPr>
            <w:tcW w:w="2220" w:type="dxa"/>
            <w:vAlign w:val="bottom"/>
            <w:tcBorders>
              <w:right w:val="single" w:sz="8" w:color="auto"/>
            </w:tcBorders>
          </w:tcPr>
          <w:p>
            <w:pPr>
              <w:spacing w:after="0"/>
              <w:rPr>
                <w:sz w:val="11"/>
                <w:szCs w:val="11"/>
                <w:color w:val="auto"/>
              </w:rPr>
            </w:pPr>
          </w:p>
        </w:tc>
      </w:tr>
      <w:tr>
        <w:trPr>
          <w:trHeight w:val="139"/>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gridSpan w:val="3"/>
          </w:tcPr>
          <w:p>
            <w:pPr>
              <w:ind w:left="160"/>
              <w:spacing w:after="0"/>
              <w:rPr>
                <w:sz w:val="20"/>
                <w:szCs w:val="20"/>
                <w:color w:val="auto"/>
              </w:rPr>
            </w:pPr>
            <w:r>
              <w:rPr>
                <w:rFonts w:ascii="Arial" w:cs="Arial" w:eastAsia="Arial" w:hAnsi="Arial"/>
                <w:sz w:val="12"/>
                <w:szCs w:val="12"/>
                <w:color w:val="auto"/>
              </w:rPr>
              <w:t>program including Phase 2</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2"/>
                <w:szCs w:val="12"/>
                <w:color w:val="auto"/>
              </w:rPr>
              <w:t>program</w:t>
            </w:r>
          </w:p>
        </w:tc>
        <w:tc>
          <w:tcPr>
            <w:tcW w:w="2220" w:type="dxa"/>
            <w:vAlign w:val="bottom"/>
            <w:tcBorders>
              <w:right w:val="single" w:sz="8" w:color="auto"/>
            </w:tcBorders>
          </w:tcPr>
          <w:p>
            <w:pPr>
              <w:spacing w:after="0"/>
              <w:rPr>
                <w:sz w:val="12"/>
                <w:szCs w:val="12"/>
                <w:color w:val="auto"/>
              </w:rPr>
            </w:pPr>
          </w:p>
        </w:tc>
      </w:tr>
      <w:tr>
        <w:trPr>
          <w:trHeight w:val="132"/>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gridSpan w:val="3"/>
          </w:tcPr>
          <w:p>
            <w:pPr>
              <w:ind w:left="160"/>
              <w:spacing w:after="0" w:line="133" w:lineRule="exact"/>
              <w:rPr>
                <w:sz w:val="20"/>
                <w:szCs w:val="20"/>
                <w:color w:val="auto"/>
              </w:rPr>
            </w:pPr>
            <w:r>
              <w:rPr>
                <w:rFonts w:ascii="Arial" w:cs="Arial" w:eastAsia="Arial" w:hAnsi="Arial"/>
                <w:sz w:val="12"/>
                <w:szCs w:val="12"/>
                <w:color w:val="auto"/>
              </w:rPr>
              <w:t>evaluation of combination therapy in</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gridSpan w:val="3"/>
          </w:tcPr>
          <w:p>
            <w:pPr>
              <w:ind w:left="160"/>
              <w:spacing w:after="0" w:line="136" w:lineRule="exact"/>
              <w:rPr>
                <w:sz w:val="20"/>
                <w:szCs w:val="20"/>
                <w:color w:val="auto"/>
              </w:rPr>
            </w:pPr>
            <w:r>
              <w:rPr>
                <w:rFonts w:ascii="Arial" w:cs="Arial" w:eastAsia="Arial" w:hAnsi="Arial"/>
                <w:sz w:val="12"/>
                <w:szCs w:val="12"/>
                <w:color w:val="auto"/>
              </w:rPr>
              <w:t>earlier line treatment for cervical</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r>
      <w:tr>
        <w:trPr>
          <w:trHeight w:val="149"/>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2"/>
                <w:szCs w:val="12"/>
                <w:color w:val="auto"/>
              </w:rPr>
              <w:t>cancer and other solid tumors</w:t>
            </w:r>
          </w:p>
        </w:tc>
        <w:tc>
          <w:tcPr>
            <w:tcW w:w="224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r>
      <w:tr>
        <w:trPr>
          <w:trHeight w:val="125"/>
        </w:trPr>
        <w:tc>
          <w:tcPr>
            <w:tcW w:w="2260" w:type="dxa"/>
            <w:vAlign w:val="bottom"/>
            <w:tcBorders>
              <w:left w:val="single" w:sz="8" w:color="auto"/>
              <w:bottom w:val="single" w:sz="8" w:color="auto"/>
              <w:right w:val="single" w:sz="8" w:color="auto"/>
            </w:tcBorders>
          </w:tcPr>
          <w:p>
            <w:pPr>
              <w:ind w:left="80"/>
              <w:spacing w:after="0" w:line="125" w:lineRule="exact"/>
              <w:rPr>
                <w:sz w:val="20"/>
                <w:szCs w:val="20"/>
                <w:color w:val="auto"/>
              </w:rPr>
            </w:pPr>
            <w:r>
              <w:rPr>
                <w:rFonts w:ascii="Arial" w:cs="Arial" w:eastAsia="Arial" w:hAnsi="Arial"/>
                <w:sz w:val="12"/>
                <w:szCs w:val="12"/>
                <w:b w:val="1"/>
                <w:bCs w:val="1"/>
                <w:color w:val="auto"/>
              </w:rPr>
              <w:t>CSR Strategy</w:t>
            </w:r>
          </w:p>
        </w:tc>
        <w:tc>
          <w:tcPr>
            <w:tcW w:w="2240" w:type="dxa"/>
            <w:vAlign w:val="bottom"/>
            <w:tcBorders>
              <w:bottom w:val="single" w:sz="8" w:color="auto"/>
              <w:right w:val="single" w:sz="8" w:color="auto"/>
            </w:tcBorders>
            <w:gridSpan w:val="3"/>
          </w:tcPr>
          <w:p>
            <w:pPr>
              <w:ind w:left="60"/>
              <w:spacing w:after="0" w:line="125" w:lineRule="exact"/>
              <w:rPr>
                <w:sz w:val="20"/>
                <w:szCs w:val="20"/>
                <w:color w:val="auto"/>
              </w:rPr>
            </w:pPr>
            <w:r>
              <w:rPr>
                <w:rFonts w:ascii="Arial" w:cs="Arial" w:eastAsia="Arial" w:hAnsi="Arial"/>
                <w:sz w:val="12"/>
                <w:szCs w:val="12"/>
                <w:b w:val="1"/>
                <w:bCs w:val="1"/>
                <w:color w:val="auto"/>
              </w:rPr>
              <w:t>Priorities in 2022</w:t>
            </w:r>
          </w:p>
        </w:tc>
        <w:tc>
          <w:tcPr>
            <w:tcW w:w="224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b w:val="1"/>
                <w:bCs w:val="1"/>
                <w:color w:val="auto"/>
              </w:rPr>
              <w:t>Priorities for 2023</w:t>
            </w:r>
          </w:p>
        </w:tc>
        <w:tc>
          <w:tcPr>
            <w:tcW w:w="222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b w:val="1"/>
                <w:bCs w:val="1"/>
                <w:color w:val="auto"/>
              </w:rPr>
              <w:t>Link to Risk</w:t>
            </w:r>
          </w:p>
        </w:tc>
      </w:tr>
      <w:tr>
        <w:trPr>
          <w:trHeight w:val="637"/>
        </w:trPr>
        <w:tc>
          <w:tcPr>
            <w:tcW w:w="2260" w:type="dxa"/>
            <w:vAlign w:val="bottom"/>
          </w:tcPr>
          <w:p>
            <w:pPr>
              <w:spacing w:after="0"/>
              <w:rPr>
                <w:sz w:val="20"/>
                <w:szCs w:val="20"/>
                <w:color w:val="auto"/>
              </w:rPr>
            </w:pPr>
            <w:r>
              <w:rPr>
                <w:rFonts w:ascii="Arial" w:cs="Arial" w:eastAsia="Arial" w:hAnsi="Arial"/>
                <w:sz w:val="10"/>
                <w:szCs w:val="10"/>
                <w:color w:val="auto"/>
              </w:rPr>
              <w:t>Genmab A/S</w:t>
            </w:r>
          </w:p>
        </w:tc>
        <w:tc>
          <w:tcPr>
            <w:tcW w:w="2240" w:type="dxa"/>
            <w:vAlign w:val="bottom"/>
            <w:gridSpan w:val="3"/>
          </w:tcPr>
          <w:p>
            <w:pPr>
              <w:ind w:left="880"/>
              <w:spacing w:after="0"/>
              <w:rPr>
                <w:sz w:val="20"/>
                <w:szCs w:val="20"/>
                <w:color w:val="auto"/>
              </w:rPr>
            </w:pPr>
            <w:r>
              <w:rPr>
                <w:rFonts w:ascii="Arial" w:cs="Arial" w:eastAsia="Arial" w:hAnsi="Arial"/>
                <w:sz w:val="10"/>
                <w:szCs w:val="10"/>
                <w:color w:val="auto"/>
              </w:rPr>
              <w:t>Tel: +45 7020 2728</w:t>
            </w:r>
          </w:p>
        </w:tc>
        <w:tc>
          <w:tcPr>
            <w:tcW w:w="22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6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jc w:val="right"/>
              <w:spacing w:after="0" w:line="109" w:lineRule="exact"/>
              <w:rPr>
                <w:sz w:val="20"/>
                <w:szCs w:val="20"/>
                <w:color w:val="auto"/>
              </w:rPr>
            </w:pPr>
            <w:r>
              <w:rPr>
                <w:rFonts w:ascii="Arial" w:cs="Arial" w:eastAsia="Arial" w:hAnsi="Arial"/>
                <w:sz w:val="10"/>
                <w:szCs w:val="10"/>
                <w:color w:val="auto"/>
              </w:rPr>
              <w:t>Page 12/158</w:t>
            </w:r>
          </w:p>
        </w:tc>
      </w:tr>
      <w:tr>
        <w:trPr>
          <w:trHeight w:val="105"/>
        </w:trPr>
        <w:tc>
          <w:tcPr>
            <w:tcW w:w="226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240" w:type="dxa"/>
            <w:vAlign w:val="bottom"/>
            <w:gridSpan w:val="3"/>
          </w:tcPr>
          <w:p>
            <w:pPr>
              <w:ind w:left="880"/>
              <w:spacing w:after="0" w:line="105" w:lineRule="exact"/>
              <w:rPr>
                <w:sz w:val="20"/>
                <w:szCs w:val="20"/>
                <w:color w:val="auto"/>
              </w:rPr>
            </w:pPr>
            <w:r>
              <w:rPr>
                <w:rFonts w:ascii="Arial" w:cs="Arial" w:eastAsia="Arial" w:hAnsi="Arial"/>
                <w:sz w:val="10"/>
                <w:szCs w:val="10"/>
                <w:color w:val="0000FF"/>
              </w:rPr>
              <w:t>www.genmab.com</w:t>
            </w:r>
          </w:p>
        </w:tc>
        <w:tc>
          <w:tcPr>
            <w:tcW w:w="2240" w:type="dxa"/>
            <w:vAlign w:val="bottom"/>
          </w:tcPr>
          <w:p>
            <w:pPr>
              <w:spacing w:after="0"/>
              <w:rPr>
                <w:sz w:val="9"/>
                <w:szCs w:val="9"/>
                <w:color w:val="auto"/>
              </w:rPr>
            </w:pPr>
          </w:p>
        </w:tc>
        <w:tc>
          <w:tcPr>
            <w:tcW w:w="222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32"/>
        </w:trPr>
        <w:tc>
          <w:tcPr>
            <w:tcW w:w="2260" w:type="dxa"/>
            <w:vAlign w:val="bottom"/>
            <w:tcBorders>
              <w:top w:val="single" w:sz="8" w:color="auto"/>
              <w:left w:val="single" w:sz="8" w:color="auto"/>
              <w:right w:val="single" w:sz="8" w:color="auto"/>
            </w:tcBorders>
          </w:tcPr>
          <w:p>
            <w:pPr>
              <w:ind w:left="80"/>
              <w:spacing w:after="0" w:line="133" w:lineRule="exact"/>
              <w:rPr>
                <w:sz w:val="20"/>
                <w:szCs w:val="20"/>
                <w:color w:val="auto"/>
              </w:rPr>
            </w:pPr>
            <w:r>
              <w:rPr>
                <w:rFonts w:ascii="Arial" w:cs="Arial" w:eastAsia="Arial" w:hAnsi="Arial"/>
                <w:sz w:val="12"/>
                <w:szCs w:val="12"/>
                <w:color w:val="auto"/>
              </w:rPr>
              <w:t>Commitment to our business-driven</w:t>
            </w:r>
          </w:p>
        </w:tc>
        <w:tc>
          <w:tcPr>
            <w:tcW w:w="2240" w:type="dxa"/>
            <w:vAlign w:val="bottom"/>
            <w:tcBorders>
              <w:top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Continue strong commitment to</w:t>
            </w:r>
          </w:p>
        </w:tc>
        <w:tc>
          <w:tcPr>
            <w:tcW w:w="2240" w:type="dxa"/>
            <w:vAlign w:val="bottom"/>
            <w:tcBorders>
              <w:top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Continue strong commitment to</w:t>
            </w:r>
          </w:p>
        </w:tc>
        <w:tc>
          <w:tcPr>
            <w:tcW w:w="2220" w:type="dxa"/>
            <w:vAlign w:val="bottom"/>
            <w:tcBorders>
              <w:top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Please refer to the risks included in</w:t>
            </w: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Corporate Social Responsibility (CSR)</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being a responsible and sustainable</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being a sustainable and responsible</w:t>
            </w:r>
          </w:p>
        </w:tc>
        <w:tc>
          <w:tcPr>
            <w:tcW w:w="222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Genmab’s 2022 Corporate</w:t>
            </w:r>
          </w:p>
        </w:tc>
      </w:tr>
      <w:tr>
        <w:trPr>
          <w:trHeight w:val="125"/>
        </w:trPr>
        <w:tc>
          <w:tcPr>
            <w:tcW w:w="2260" w:type="dxa"/>
            <w:vAlign w:val="bottom"/>
            <w:tcBorders>
              <w:left w:val="single" w:sz="8" w:color="auto"/>
              <w:right w:val="single" w:sz="8" w:color="auto"/>
            </w:tcBorders>
          </w:tcPr>
          <w:p>
            <w:pPr>
              <w:ind w:left="80"/>
              <w:spacing w:after="0" w:line="125" w:lineRule="exact"/>
              <w:rPr>
                <w:sz w:val="20"/>
                <w:szCs w:val="20"/>
                <w:color w:val="auto"/>
              </w:rPr>
            </w:pPr>
            <w:r>
              <w:rPr>
                <w:rFonts w:ascii="Arial" w:cs="Arial" w:eastAsia="Arial" w:hAnsi="Arial"/>
                <w:sz w:val="12"/>
                <w:szCs w:val="12"/>
                <w:color w:val="auto"/>
              </w:rPr>
              <w:t>strategy, which focuses on four pillars:</w:t>
            </w: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biotech</w:t>
            </w: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company</w:t>
            </w:r>
          </w:p>
        </w:tc>
        <w:tc>
          <w:tcPr>
            <w:tcW w:w="2220" w:type="dxa"/>
            <w:vAlign w:val="bottom"/>
            <w:tcBorders>
              <w:right w:val="single" w:sz="8" w:color="auto"/>
            </w:tcBorders>
          </w:tcPr>
          <w:p>
            <w:pPr>
              <w:ind w:left="60"/>
              <w:spacing w:after="0" w:line="125" w:lineRule="exact"/>
              <w:rPr>
                <w:sz w:val="20"/>
                <w:szCs w:val="20"/>
                <w:color w:val="auto"/>
              </w:rPr>
            </w:pPr>
            <w:r>
              <w:rPr>
                <w:rFonts w:ascii="Arial" w:cs="Arial" w:eastAsia="Arial" w:hAnsi="Arial"/>
                <w:sz w:val="12"/>
                <w:szCs w:val="12"/>
                <w:color w:val="auto"/>
              </w:rPr>
              <w:t>Responsibility report,</w:t>
            </w:r>
          </w:p>
        </w:tc>
      </w:tr>
      <w:tr>
        <w:trPr>
          <w:trHeight w:val="147"/>
        </w:trPr>
        <w:tc>
          <w:tcPr>
            <w:tcW w:w="2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Science-driven health innovations for</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Look for opportunities to further</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Further integrate ESG into our</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029C93"/>
              </w:rPr>
              <w:t>https://ir.genmab.com/static-</w:t>
            </w:r>
          </w:p>
        </w:tc>
      </w:tr>
      <w:tr>
        <w:trPr>
          <w:trHeight w:val="125"/>
        </w:trPr>
        <w:tc>
          <w:tcPr>
            <w:tcW w:w="2260" w:type="dxa"/>
            <w:vAlign w:val="bottom"/>
            <w:tcBorders>
              <w:left w:val="single" w:sz="8" w:color="auto"/>
              <w:right w:val="single" w:sz="8" w:color="auto"/>
            </w:tcBorders>
          </w:tcPr>
          <w:p>
            <w:pPr>
              <w:ind w:left="180"/>
              <w:spacing w:after="0" w:line="125" w:lineRule="exact"/>
              <w:rPr>
                <w:sz w:val="20"/>
                <w:szCs w:val="20"/>
                <w:color w:val="auto"/>
              </w:rPr>
            </w:pPr>
            <w:r>
              <w:rPr>
                <w:rFonts w:ascii="Arial" w:cs="Arial" w:eastAsia="Arial" w:hAnsi="Arial"/>
                <w:sz w:val="12"/>
                <w:szCs w:val="12"/>
                <w:color w:val="auto"/>
              </w:rPr>
              <w:t>patients</w:t>
            </w: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integrate ESG into our strategic</w:t>
            </w: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strategic planning, operations and</w:t>
            </w:r>
          </w:p>
        </w:tc>
        <w:tc>
          <w:tcPr>
            <w:tcW w:w="2220" w:type="dxa"/>
            <w:vAlign w:val="bottom"/>
            <w:tcBorders>
              <w:right w:val="single" w:sz="8" w:color="auto"/>
            </w:tcBorders>
          </w:tcPr>
          <w:p>
            <w:pPr>
              <w:ind w:left="60"/>
              <w:spacing w:after="0" w:line="125" w:lineRule="exact"/>
              <w:rPr>
                <w:sz w:val="20"/>
                <w:szCs w:val="20"/>
                <w:color w:val="auto"/>
              </w:rPr>
            </w:pPr>
            <w:r>
              <w:rPr>
                <w:rFonts w:ascii="Arial" w:cs="Arial" w:eastAsia="Arial" w:hAnsi="Arial"/>
                <w:sz w:val="12"/>
                <w:szCs w:val="12"/>
                <w:color w:val="029C93"/>
              </w:rPr>
              <w:t>files/72218610-90a6-4fd3-a76a-</w:t>
            </w: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Employee well-being and vitality</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planning and risk management</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risk management processes</w:t>
            </w:r>
          </w:p>
        </w:tc>
        <w:tc>
          <w:tcPr>
            <w:tcW w:w="222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029C93"/>
              </w:rPr>
              <w:t>d4a7c9c6ef01</w:t>
            </w:r>
          </w:p>
        </w:tc>
      </w:tr>
      <w:tr>
        <w:trPr>
          <w:trHeight w:val="141"/>
        </w:trPr>
        <w:tc>
          <w:tcPr>
            <w:tcW w:w="2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Ethics and transparency</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processes</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Further formalize total CO</w:t>
            </w:r>
            <w:r>
              <w:rPr>
                <w:rFonts w:ascii="Arial" w:cs="Arial" w:eastAsia="Arial" w:hAnsi="Arial"/>
                <w:sz w:val="9"/>
                <w:szCs w:val="9"/>
                <w:color w:val="auto"/>
              </w:rPr>
              <w:t>2</w:t>
            </w:r>
          </w:p>
        </w:tc>
        <w:tc>
          <w:tcPr>
            <w:tcW w:w="2220" w:type="dxa"/>
            <w:vAlign w:val="bottom"/>
            <w:tcBorders>
              <w:right w:val="single" w:sz="8" w:color="auto"/>
            </w:tcBorders>
          </w:tcPr>
          <w:p>
            <w:pPr>
              <w:spacing w:after="0"/>
              <w:rPr>
                <w:sz w:val="12"/>
                <w:szCs w:val="12"/>
                <w:color w:val="auto"/>
              </w:rPr>
            </w:pPr>
          </w:p>
        </w:tc>
      </w:tr>
      <w:tr>
        <w:trPr>
          <w:trHeight w:val="145"/>
        </w:trPr>
        <w:tc>
          <w:tcPr>
            <w:tcW w:w="2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Environmental and community</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Monitor ESG matters of relevance to</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emissions mapping</w:t>
            </w:r>
          </w:p>
        </w:tc>
        <w:tc>
          <w:tcPr>
            <w:tcW w:w="2220" w:type="dxa"/>
            <w:vAlign w:val="bottom"/>
            <w:tcBorders>
              <w:right w:val="single" w:sz="8" w:color="auto"/>
            </w:tcBorders>
          </w:tcPr>
          <w:p>
            <w:pPr>
              <w:spacing w:after="0"/>
              <w:rPr>
                <w:sz w:val="12"/>
                <w:szCs w:val="12"/>
                <w:color w:val="auto"/>
              </w:rPr>
            </w:pPr>
          </w:p>
        </w:tc>
      </w:tr>
      <w:tr>
        <w:trPr>
          <w:trHeight w:val="136"/>
        </w:trPr>
        <w:tc>
          <w:tcPr>
            <w:tcW w:w="2260" w:type="dxa"/>
            <w:vAlign w:val="bottom"/>
            <w:tcBorders>
              <w:left w:val="single" w:sz="8" w:color="auto"/>
              <w:right w:val="single" w:sz="8" w:color="auto"/>
            </w:tcBorders>
          </w:tcPr>
          <w:p>
            <w:pPr>
              <w:ind w:left="180"/>
              <w:spacing w:after="0" w:line="136" w:lineRule="exact"/>
              <w:rPr>
                <w:sz w:val="20"/>
                <w:szCs w:val="20"/>
                <w:color w:val="auto"/>
              </w:rPr>
            </w:pPr>
            <w:r>
              <w:rPr>
                <w:rFonts w:ascii="Arial" w:cs="Arial" w:eastAsia="Arial" w:hAnsi="Arial"/>
                <w:sz w:val="12"/>
                <w:szCs w:val="12"/>
                <w:color w:val="auto"/>
              </w:rPr>
              <w:t>sustainability</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our business operations</w:t>
            </w:r>
          </w:p>
        </w:tc>
        <w:tc>
          <w:tcPr>
            <w:tcW w:w="224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Further define and communicate</w:t>
            </w:r>
          </w:p>
        </w:tc>
        <w:tc>
          <w:tcPr>
            <w:tcW w:w="2220" w:type="dxa"/>
            <w:vAlign w:val="bottom"/>
            <w:tcBorders>
              <w:right w:val="single" w:sz="8" w:color="auto"/>
            </w:tcBorders>
          </w:tcPr>
          <w:p>
            <w:pPr>
              <w:spacing w:after="0"/>
              <w:rPr>
                <w:sz w:val="11"/>
                <w:szCs w:val="11"/>
                <w:color w:val="auto"/>
              </w:rPr>
            </w:pPr>
          </w:p>
        </w:tc>
      </w:tr>
      <w:tr>
        <w:trPr>
          <w:trHeight w:val="132"/>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Establish clear goals to measure our</w:t>
            </w:r>
          </w:p>
        </w:tc>
        <w:tc>
          <w:tcPr>
            <w:tcW w:w="2240" w:type="dxa"/>
            <w:vAlign w:val="bottom"/>
            <w:tcBorders>
              <w:right w:val="single" w:sz="8" w:color="auto"/>
            </w:tcBorders>
          </w:tcPr>
          <w:p>
            <w:pPr>
              <w:ind w:left="160"/>
              <w:spacing w:after="0" w:line="133" w:lineRule="exact"/>
              <w:rPr>
                <w:sz w:val="20"/>
                <w:szCs w:val="20"/>
                <w:color w:val="auto"/>
              </w:rPr>
            </w:pPr>
            <w:r>
              <w:rPr>
                <w:rFonts w:ascii="Arial" w:cs="Arial" w:eastAsia="Arial" w:hAnsi="Arial"/>
                <w:sz w:val="12"/>
                <w:szCs w:val="12"/>
                <w:color w:val="auto"/>
              </w:rPr>
              <w:t>Genmab’s commitment to</w:t>
            </w:r>
          </w:p>
        </w:tc>
        <w:tc>
          <w:tcPr>
            <w:tcW w:w="2220" w:type="dxa"/>
            <w:vAlign w:val="bottom"/>
            <w:tcBorders>
              <w:right w:val="single" w:sz="8" w:color="auto"/>
            </w:tcBorders>
          </w:tcPr>
          <w:p>
            <w:pPr>
              <w:spacing w:after="0"/>
              <w:rPr>
                <w:sz w:val="11"/>
                <w:szCs w:val="11"/>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performance</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successfully attract, motivate, retain</w:t>
            </w:r>
          </w:p>
        </w:tc>
        <w:tc>
          <w:tcPr>
            <w:tcW w:w="2220" w:type="dxa"/>
            <w:vAlign w:val="bottom"/>
            <w:tcBorders>
              <w:right w:val="single" w:sz="8" w:color="auto"/>
            </w:tcBorders>
          </w:tcPr>
          <w:p>
            <w:pPr>
              <w:spacing w:after="0"/>
              <w:rPr>
                <w:sz w:val="11"/>
                <w:szCs w:val="11"/>
                <w:color w:val="auto"/>
              </w:rPr>
            </w:pPr>
          </w:p>
        </w:tc>
      </w:tr>
      <w:tr>
        <w:trPr>
          <w:trHeight w:val="125"/>
        </w:trPr>
        <w:tc>
          <w:tcPr>
            <w:tcW w:w="226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Establish climate ambitions, targets,</w:t>
            </w:r>
          </w:p>
        </w:tc>
        <w:tc>
          <w:tcPr>
            <w:tcW w:w="2240" w:type="dxa"/>
            <w:vAlign w:val="bottom"/>
            <w:tcBorders>
              <w:right w:val="single" w:sz="8" w:color="auto"/>
            </w:tcBorders>
          </w:tcPr>
          <w:p>
            <w:pPr>
              <w:ind w:left="160"/>
              <w:spacing w:after="0" w:line="126" w:lineRule="exact"/>
              <w:rPr>
                <w:sz w:val="20"/>
                <w:szCs w:val="20"/>
                <w:color w:val="auto"/>
              </w:rPr>
            </w:pPr>
            <w:r>
              <w:rPr>
                <w:rFonts w:ascii="Arial" w:cs="Arial" w:eastAsia="Arial" w:hAnsi="Arial"/>
                <w:sz w:val="12"/>
                <w:szCs w:val="12"/>
                <w:color w:val="auto"/>
              </w:rPr>
              <w:t>and reward top talent</w:t>
            </w:r>
          </w:p>
        </w:tc>
        <w:tc>
          <w:tcPr>
            <w:tcW w:w="2220" w:type="dxa"/>
            <w:vAlign w:val="bottom"/>
            <w:tcBorders>
              <w:right w:val="single" w:sz="8" w:color="auto"/>
            </w:tcBorders>
          </w:tcPr>
          <w:p>
            <w:pPr>
              <w:spacing w:after="0"/>
              <w:rPr>
                <w:sz w:val="10"/>
                <w:szCs w:val="10"/>
                <w:color w:val="auto"/>
              </w:rPr>
            </w:pPr>
          </w:p>
        </w:tc>
      </w:tr>
      <w:tr>
        <w:trPr>
          <w:trHeight w:val="147"/>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and emissions reductions and</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Enhance Diversity, Equity and</w:t>
            </w:r>
          </w:p>
        </w:tc>
        <w:tc>
          <w:tcPr>
            <w:tcW w:w="2220" w:type="dxa"/>
            <w:vAlign w:val="bottom"/>
            <w:tcBorders>
              <w:right w:val="single" w:sz="8" w:color="auto"/>
            </w:tcBorders>
          </w:tcPr>
          <w:p>
            <w:pPr>
              <w:spacing w:after="0"/>
              <w:rPr>
                <w:sz w:val="12"/>
                <w:szCs w:val="12"/>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integrate climate-related financial</w:t>
            </w: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Inclusion (DE&amp;I) processes and</w:t>
            </w:r>
          </w:p>
        </w:tc>
        <w:tc>
          <w:tcPr>
            <w:tcW w:w="2220" w:type="dxa"/>
            <w:vAlign w:val="bottom"/>
            <w:tcBorders>
              <w:right w:val="single" w:sz="8" w:color="auto"/>
            </w:tcBorders>
          </w:tcPr>
          <w:p>
            <w:pPr>
              <w:spacing w:after="0"/>
              <w:rPr>
                <w:sz w:val="11"/>
                <w:szCs w:val="11"/>
                <w:color w:val="auto"/>
              </w:rPr>
            </w:pPr>
          </w:p>
        </w:tc>
      </w:tr>
      <w:tr>
        <w:trPr>
          <w:trHeight w:val="125"/>
        </w:trPr>
        <w:tc>
          <w:tcPr>
            <w:tcW w:w="226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risks into Genmab’s Enterprise Risk</w:t>
            </w:r>
          </w:p>
        </w:tc>
        <w:tc>
          <w:tcPr>
            <w:tcW w:w="2240" w:type="dxa"/>
            <w:vAlign w:val="bottom"/>
            <w:tcBorders>
              <w:right w:val="single" w:sz="8" w:color="auto"/>
            </w:tcBorders>
          </w:tcPr>
          <w:p>
            <w:pPr>
              <w:ind w:left="160"/>
              <w:spacing w:after="0" w:line="125" w:lineRule="exact"/>
              <w:rPr>
                <w:sz w:val="20"/>
                <w:szCs w:val="20"/>
                <w:color w:val="auto"/>
              </w:rPr>
            </w:pPr>
            <w:r>
              <w:rPr>
                <w:rFonts w:ascii="Arial" w:cs="Arial" w:eastAsia="Arial" w:hAnsi="Arial"/>
                <w:sz w:val="12"/>
                <w:szCs w:val="12"/>
                <w:color w:val="auto"/>
              </w:rPr>
              <w:t>efforts</w:t>
            </w:r>
          </w:p>
        </w:tc>
        <w:tc>
          <w:tcPr>
            <w:tcW w:w="2220" w:type="dxa"/>
            <w:vAlign w:val="bottom"/>
            <w:tcBorders>
              <w:right w:val="single" w:sz="8" w:color="auto"/>
            </w:tcBorders>
          </w:tcPr>
          <w:p>
            <w:pPr>
              <w:spacing w:after="0"/>
              <w:rPr>
                <w:sz w:val="10"/>
                <w:szCs w:val="10"/>
                <w:color w:val="auto"/>
              </w:rPr>
            </w:pPr>
          </w:p>
        </w:tc>
      </w:tr>
      <w:tr>
        <w:trPr>
          <w:trHeight w:val="147"/>
        </w:trPr>
        <w:tc>
          <w:tcPr>
            <w:tcW w:w="22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2"/>
                <w:szCs w:val="12"/>
                <w:color w:val="auto"/>
              </w:rPr>
              <w:t>Management (ERM) program</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Monitor regulatory landscape and</w:t>
            </w:r>
          </w:p>
        </w:tc>
        <w:tc>
          <w:tcPr>
            <w:tcW w:w="2220" w:type="dxa"/>
            <w:vAlign w:val="bottom"/>
            <w:tcBorders>
              <w:right w:val="single" w:sz="8" w:color="auto"/>
            </w:tcBorders>
          </w:tcPr>
          <w:p>
            <w:pPr>
              <w:spacing w:after="0"/>
              <w:rPr>
                <w:sz w:val="12"/>
                <w:szCs w:val="12"/>
                <w:color w:val="auto"/>
              </w:rPr>
            </w:pPr>
          </w:p>
        </w:tc>
      </w:tr>
      <w:tr>
        <w:trPr>
          <w:trHeight w:val="136"/>
        </w:trPr>
        <w:tc>
          <w:tcPr>
            <w:tcW w:w="226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prepare for new ESG-related</w:t>
            </w:r>
          </w:p>
        </w:tc>
        <w:tc>
          <w:tcPr>
            <w:tcW w:w="2220" w:type="dxa"/>
            <w:vAlign w:val="bottom"/>
            <w:tcBorders>
              <w:right w:val="single" w:sz="8" w:color="auto"/>
            </w:tcBorders>
          </w:tcPr>
          <w:p>
            <w:pPr>
              <w:spacing w:after="0"/>
              <w:rPr>
                <w:sz w:val="11"/>
                <w:szCs w:val="11"/>
                <w:color w:val="auto"/>
              </w:rPr>
            </w:pPr>
          </w:p>
        </w:tc>
      </w:tr>
      <w:tr>
        <w:trPr>
          <w:trHeight w:val="149"/>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reporting requirements</w:t>
            </w:r>
          </w:p>
        </w:tc>
        <w:tc>
          <w:tcPr>
            <w:tcW w:w="2220" w:type="dxa"/>
            <w:vAlign w:val="bottom"/>
            <w:tcBorders>
              <w:bottom w:val="single" w:sz="8" w:color="auto"/>
              <w:right w:val="single" w:sz="8" w:color="auto"/>
            </w:tcBorders>
          </w:tcPr>
          <w:p>
            <w:pPr>
              <w:spacing w:after="0"/>
              <w:rPr>
                <w:sz w:val="12"/>
                <w:szCs w:val="12"/>
                <w:color w:val="auto"/>
              </w:rPr>
            </w:pP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0"/>
          <w:szCs w:val="10"/>
          <w:color w:val="auto"/>
        </w:rPr>
        <w:t>1. Co-development with BioNTech; 2. Co-development with AbbVie; 3. Co-development with Seagen; 4. Subject to regulatory approvals; 5. Subject to supportive U.S. FDA feedback</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Who We Are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Core Values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our quest to turn science into medicine, we use these guideposts to transform the future of cancer treatment:</w:t>
      </w:r>
    </w:p>
    <w:p>
      <w:pPr>
        <w:spacing w:after="0" w:line="122" w:lineRule="exact"/>
        <w:rPr>
          <w:sz w:val="20"/>
          <w:szCs w:val="20"/>
          <w:color w:val="auto"/>
        </w:rPr>
      </w:pPr>
    </w:p>
    <w:p>
      <w:pPr>
        <w:ind w:left="480" w:hanging="222"/>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Passion for innovation</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Determination­— being the best at what we do</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Integrity — we do the right thing</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We work as one team and respect each other</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Genmab’s Growing Organization and Growing Presence</w:t>
      </w:r>
    </w:p>
    <w:p>
      <w:pPr>
        <w:spacing w:after="0" w:line="143" w:lineRule="exact"/>
        <w:rPr>
          <w:sz w:val="20"/>
          <w:szCs w:val="20"/>
          <w:color w:val="auto"/>
        </w:rPr>
      </w:pPr>
    </w:p>
    <w:p>
      <w:pPr>
        <w:ind w:left="480" w:hanging="222"/>
        <w:spacing w:after="0"/>
        <w:tabs>
          <w:tab w:leader="none" w:pos="48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color w:val="auto"/>
        </w:rPr>
        <w:t>Copenhagen, DK</w:t>
      </w:r>
    </w:p>
    <w:p>
      <w:pPr>
        <w:spacing w:after="0" w:line="17" w:lineRule="exact"/>
        <w:rPr>
          <w:sz w:val="20"/>
          <w:szCs w:val="20"/>
          <w:color w:val="auto"/>
        </w:rPr>
      </w:pPr>
    </w:p>
    <w:p>
      <w:pPr>
        <w:ind w:left="920" w:hanging="227"/>
        <w:spacing w:after="0"/>
        <w:tabs>
          <w:tab w:leader="none" w:pos="920" w:val="left"/>
        </w:tabs>
        <w:numPr>
          <w:ilvl w:val="0"/>
          <w:numId w:val="10"/>
        </w:numPr>
        <w:rPr>
          <w:rFonts w:ascii="Courier New" w:cs="Courier New" w:eastAsia="Courier New" w:hAnsi="Courier New"/>
          <w:sz w:val="12"/>
          <w:szCs w:val="12"/>
          <w:color w:val="auto"/>
        </w:rPr>
      </w:pPr>
      <w:r>
        <w:rPr>
          <w:rFonts w:ascii="Arial" w:cs="Arial" w:eastAsia="Arial" w:hAnsi="Arial"/>
          <w:sz w:val="12"/>
          <w:szCs w:val="12"/>
          <w:color w:val="auto"/>
        </w:rPr>
        <w:t>Headquarters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920" w:hanging="227"/>
        <w:spacing w:after="0"/>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Chemistry, Manufacturing and Controls (CMC) Operations</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Clinical Operations</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Corporate Functions</w:t>
      </w:r>
    </w:p>
    <w:p>
      <w:pPr>
        <w:ind w:left="480" w:hanging="222"/>
        <w:spacing w:after="0"/>
        <w:tabs>
          <w:tab w:leader="none" w:pos="480" w:val="left"/>
        </w:tabs>
        <w:numPr>
          <w:ilvl w:val="0"/>
          <w:numId w:val="11"/>
        </w:numPr>
        <w:rPr>
          <w:rFonts w:ascii="Times New Roman" w:cs="Times New Roman" w:eastAsia="Times New Roman" w:hAnsi="Times New Roman"/>
          <w:sz w:val="12"/>
          <w:szCs w:val="12"/>
          <w:color w:val="auto"/>
        </w:rPr>
      </w:pPr>
      <w:r>
        <w:rPr>
          <w:rFonts w:ascii="Arial" w:cs="Arial" w:eastAsia="Arial" w:hAnsi="Arial"/>
          <w:sz w:val="12"/>
          <w:szCs w:val="12"/>
          <w:color w:val="auto"/>
        </w:rPr>
        <w:t>Utrecht, NL</w:t>
      </w:r>
    </w:p>
    <w:p>
      <w:pPr>
        <w:spacing w:after="0" w:line="6" w:lineRule="exact"/>
        <w:rPr>
          <w:rFonts w:ascii="Times New Roman" w:cs="Times New Roman" w:eastAsia="Times New Roman" w:hAnsi="Times New Roman"/>
          <w:sz w:val="12"/>
          <w:szCs w:val="12"/>
          <w:color w:val="auto"/>
        </w:rPr>
      </w:pP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Research</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Translational Research</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Antibody Product Creation</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Corporate Functions</w:t>
      </w:r>
    </w:p>
    <w:p>
      <w:pPr>
        <w:ind w:left="480" w:hanging="222"/>
        <w:spacing w:after="0"/>
        <w:tabs>
          <w:tab w:leader="none" w:pos="480" w:val="left"/>
        </w:tabs>
        <w:numPr>
          <w:ilvl w:val="0"/>
          <w:numId w:val="11"/>
        </w:numPr>
        <w:rPr>
          <w:rFonts w:ascii="Times New Roman" w:cs="Times New Roman" w:eastAsia="Times New Roman" w:hAnsi="Times New Roman"/>
          <w:sz w:val="12"/>
          <w:szCs w:val="12"/>
          <w:color w:val="auto"/>
        </w:rPr>
      </w:pPr>
      <w:r>
        <w:rPr>
          <w:rFonts w:ascii="Arial" w:cs="Arial" w:eastAsia="Arial" w:hAnsi="Arial"/>
          <w:sz w:val="12"/>
          <w:szCs w:val="12"/>
          <w:color w:val="auto"/>
        </w:rPr>
        <w:t>Princeton, USA</w:t>
      </w:r>
    </w:p>
    <w:p>
      <w:pPr>
        <w:spacing w:after="0" w:line="6" w:lineRule="exact"/>
        <w:rPr>
          <w:rFonts w:ascii="Times New Roman" w:cs="Times New Roman" w:eastAsia="Times New Roman" w:hAnsi="Times New Roman"/>
          <w:sz w:val="12"/>
          <w:szCs w:val="12"/>
          <w:color w:val="auto"/>
        </w:rPr>
      </w:pP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Translational Research</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Development</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U.S. Market Operations</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Corporate Functions</w:t>
      </w:r>
    </w:p>
    <w:p>
      <w:pPr>
        <w:ind w:left="480" w:hanging="222"/>
        <w:spacing w:after="0"/>
        <w:tabs>
          <w:tab w:leader="none" w:pos="480" w:val="left"/>
        </w:tabs>
        <w:numPr>
          <w:ilvl w:val="0"/>
          <w:numId w:val="11"/>
        </w:numPr>
        <w:rPr>
          <w:rFonts w:ascii="Times New Roman" w:cs="Times New Roman" w:eastAsia="Times New Roman" w:hAnsi="Times New Roman"/>
          <w:sz w:val="12"/>
          <w:szCs w:val="12"/>
          <w:color w:val="auto"/>
        </w:rPr>
      </w:pPr>
      <w:r>
        <w:rPr>
          <w:rFonts w:ascii="Arial" w:cs="Arial" w:eastAsia="Arial" w:hAnsi="Arial"/>
          <w:sz w:val="12"/>
          <w:szCs w:val="12"/>
          <w:color w:val="auto"/>
        </w:rPr>
        <w:t>Tokyo, JP</w:t>
      </w:r>
    </w:p>
    <w:p>
      <w:pPr>
        <w:spacing w:after="0" w:line="6" w:lineRule="exact"/>
        <w:rPr>
          <w:rFonts w:ascii="Times New Roman" w:cs="Times New Roman" w:eastAsia="Times New Roman" w:hAnsi="Times New Roman"/>
          <w:sz w:val="12"/>
          <w:szCs w:val="12"/>
          <w:color w:val="auto"/>
        </w:rPr>
      </w:pP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Japan Clinical Operations</w:t>
      </w:r>
    </w:p>
    <w:p>
      <w:pPr>
        <w:ind w:left="920" w:hanging="227"/>
        <w:spacing w:after="0" w:line="219"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Japan Market Operations</w:t>
      </w:r>
    </w:p>
    <w:p>
      <w:pPr>
        <w:ind w:left="920" w:hanging="227"/>
        <w:spacing w:after="0" w:line="237" w:lineRule="auto"/>
        <w:tabs>
          <w:tab w:leader="none" w:pos="920" w:val="left"/>
        </w:tabs>
        <w:numPr>
          <w:ilvl w:val="1"/>
          <w:numId w:val="11"/>
        </w:numPr>
        <w:rPr>
          <w:rFonts w:ascii="Courier New" w:cs="Courier New" w:eastAsia="Courier New" w:hAnsi="Courier New"/>
          <w:sz w:val="12"/>
          <w:szCs w:val="12"/>
          <w:color w:val="auto"/>
        </w:rPr>
      </w:pPr>
      <w:r>
        <w:rPr>
          <w:rFonts w:ascii="Arial" w:cs="Arial" w:eastAsia="Arial" w:hAnsi="Arial"/>
          <w:sz w:val="12"/>
          <w:szCs w:val="12"/>
          <w:color w:val="auto"/>
        </w:rPr>
        <w:t>Corporate Functions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Key Accomplishments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Each of our achievements stands as evidence of our unyielding determination, including:</w:t>
      </w:r>
    </w:p>
    <w:p>
      <w:pPr>
        <w:spacing w:after="0" w:line="122" w:lineRule="exact"/>
        <w:rPr>
          <w:sz w:val="20"/>
          <w:szCs w:val="20"/>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Tivdak, Genmab’s first approved medicine, co-developed and co-promoted in the U.S. in partnership with Seagen</w:t>
      </w:r>
    </w:p>
    <w:p>
      <w:pPr>
        <w:spacing w:after="0" w:line="18" w:lineRule="exact"/>
        <w:rPr>
          <w:rFonts w:ascii="Times New Roman" w:cs="Times New Roman" w:eastAsia="Times New Roman" w:hAnsi="Times New Roman"/>
          <w:sz w:val="12"/>
          <w:szCs w:val="12"/>
          <w:color w:val="auto"/>
        </w:rPr>
      </w:pPr>
    </w:p>
    <w:p>
      <w:pPr>
        <w:ind w:left="480" w:right="179" w:hanging="222"/>
        <w:spacing w:after="0" w:line="236" w:lineRule="auto"/>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Five medicines that were created by Genmab, or that leverage Genmab’s DuoBody technology, are being developed and marketed by global pharmaceutical and biotechnology companies</w:t>
      </w: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Inventors of four proprietary antibody technologies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Growing proprietary clinical programs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Pioneers of a robust pre-clinical pipeline</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Forty investigational new drug applications (INDs) filed by Genmab and/or partners, based on Genmab’s innovations and technology, since 1999</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World-class team with deep antibody know-how, and R&amp;D and commercial expertise</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Partnerships with industry leaders and innovators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Solid financial foundation</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Building and expanding our capabilities with more than 1,600 team members across our international locations</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Business Model</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At Genmab, we have built a profitable and successful biotech that creates value for our stakeholders.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Strengths and Differentiators</w:t>
      </w:r>
    </w:p>
    <w:p>
      <w:pPr>
        <w:spacing w:after="0" w:line="10" w:lineRule="exact"/>
        <w:rPr>
          <w:sz w:val="20"/>
          <w:szCs w:val="20"/>
          <w:color w:val="auto"/>
        </w:rPr>
      </w:pPr>
    </w:p>
    <w:p>
      <w:pPr>
        <w:ind w:left="480" w:hanging="222"/>
        <w:spacing w:after="0"/>
        <w:tabs>
          <w:tab w:leader="none" w:pos="480"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World-class antibody biology knowledge and deep insight into disease targets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Discovery and development engine with proprietary technologies that allow us to build a world-class pipeline</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In-house expertise with a solid track record of building successful strategic partnerships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Robust pipeline of potential best-in-class and first-in-class therapies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hanging="222"/>
        <w:spacing w:after="0"/>
        <w:tabs>
          <w:tab w:leader="none" w:pos="480" w:val="left"/>
        </w:tabs>
        <w:numPr>
          <w:ilvl w:val="0"/>
          <w:numId w:val="14"/>
        </w:numPr>
        <w:rPr>
          <w:rFonts w:ascii="Times New Roman" w:cs="Times New Roman" w:eastAsia="Times New Roman" w:hAnsi="Times New Roman"/>
          <w:sz w:val="12"/>
          <w:szCs w:val="12"/>
          <w:color w:val="auto"/>
        </w:rPr>
      </w:pPr>
      <w:r>
        <w:rPr>
          <w:rFonts w:ascii="Arial" w:cs="Arial" w:eastAsia="Arial" w:hAnsi="Arial"/>
          <w:sz w:val="12"/>
          <w:szCs w:val="12"/>
          <w:color w:val="auto"/>
        </w:rPr>
        <w:t>Experienced, diverse leadership team</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Building a Fully Integrated Biotech Innovation Powerhouse</w:t>
      </w:r>
    </w:p>
    <w:p>
      <w:pPr>
        <w:spacing w:after="0" w:line="10" w:lineRule="exact"/>
        <w:rPr>
          <w:sz w:val="20"/>
          <w:szCs w:val="20"/>
          <w:color w:val="auto"/>
        </w:rPr>
      </w:pPr>
    </w:p>
    <w:p>
      <w:pPr>
        <w:ind w:left="480" w:hanging="222"/>
        <w:spacing w:after="0"/>
        <w:tabs>
          <w:tab w:leader="none" w:pos="480"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Team: flexible and adaptive infrastructure</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Translational research and data science: key to accelerating development and ensuring the right therapies get to the right patients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Collaboration: across innovation ecosystem of pharma, biotech and academia, drives our business forward</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Strong financials: growing recurring revenues and focused investments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Research: track record of success and investing for tomorrow</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Development: scaling up capabilities to expand from early- to late-stage development</w:t>
      </w:r>
    </w:p>
    <w:p>
      <w:pPr>
        <w:ind w:left="20"/>
        <w:spacing w:after="0" w:line="236" w:lineRule="auto"/>
        <w:rPr>
          <w:sz w:val="20"/>
          <w:szCs w:val="20"/>
          <w:color w:val="auto"/>
        </w:rPr>
      </w:pPr>
      <w:r>
        <w:rPr>
          <w:rFonts w:ascii="Arial" w:cs="Arial" w:eastAsia="Arial" w:hAnsi="Arial"/>
          <w:sz w:val="12"/>
          <w:szCs w:val="12"/>
          <w:color w:val="auto"/>
        </w:rPr>
        <w:t>Commercialization: building the next step in our evolution</w:t>
      </w:r>
    </w:p>
    <w:p>
      <w:pPr>
        <w:ind w:left="20"/>
        <w:spacing w:after="0"/>
        <w:rPr>
          <w:sz w:val="20"/>
          <w:szCs w:val="20"/>
          <w:color w:val="auto"/>
        </w:rPr>
      </w:pPr>
      <w:r>
        <w:rPr>
          <w:rFonts w:ascii="Arial" w:cs="Arial" w:eastAsia="Arial" w:hAnsi="Arial"/>
          <w:sz w:val="12"/>
          <w:szCs w:val="12"/>
          <w:color w:val="auto"/>
        </w:rPr>
        <w:t>Enabling functions: supporting growth and managing risk</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value we create for stakeholders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Patients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25 ongoing or announced clinical trials with Genmab owned (≥50%) products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People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448 new full-time jobs created in 2022</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Investors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12% increase in market capitalization in 2022</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Collaborations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Research agreements and collaborations in place across innovation ecosystem of pharma, biotech and academia</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Research and Development Capabilities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Inspired by Nature</w:t>
      </w:r>
    </w:p>
    <w:p>
      <w:pPr>
        <w:spacing w:after="0" w:line="143" w:lineRule="exact"/>
        <w:rPr>
          <w:sz w:val="20"/>
          <w:szCs w:val="20"/>
          <w:color w:val="auto"/>
        </w:rPr>
      </w:pPr>
    </w:p>
    <w:p>
      <w:pPr>
        <w:ind w:left="20" w:right="39"/>
        <w:spacing w:after="0" w:line="244" w:lineRule="auto"/>
        <w:rPr>
          <w:sz w:val="20"/>
          <w:szCs w:val="20"/>
          <w:color w:val="auto"/>
        </w:rPr>
      </w:pPr>
      <w:r>
        <w:rPr>
          <w:rFonts w:ascii="Arial" w:cs="Arial" w:eastAsia="Arial" w:hAnsi="Arial"/>
          <w:sz w:val="12"/>
          <w:szCs w:val="12"/>
          <w:color w:val="auto"/>
        </w:rPr>
        <w:t>At Genmab, we are inspired by nature and understand how antibodies work. We are deeply knowledgeable about antibody biology and our scientists harness this expertise to create and develop differentiated investigational antibody medicines. We utilize a sophisticated and highly automated process to efficiently generate, select, produce and evaluate human antibody-based products. Our teams have established a fully integrated R&amp;D enterprise and streamlined process to coordinate the activities of antibody product discovery, pre-clinical testing, manufacturing, clinical trial design and execution, and regulatory submissions across Genmab’s international operations. Through our expertise in antibody drug development, we pioneer technologies that allow us to create differentiated and potentially first-in-class or best-in-class investigational medicines with the potential to improve patients’ lives. Our antibody expertise has enabled us to create our cutting-edge technology platforms: DuoBody, HexaBody, DuoHexaBody</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and HexElect</w:t>
      </w:r>
      <w:r>
        <w:rPr>
          <w:rFonts w:ascii="Arial" w:cs="Arial" w:eastAsia="Arial" w:hAnsi="Arial"/>
          <w:sz w:val="18"/>
          <w:szCs w:val="18"/>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79"/>
        <w:spacing w:after="0" w:line="255" w:lineRule="auto"/>
        <w:rPr>
          <w:sz w:val="20"/>
          <w:szCs w:val="20"/>
          <w:color w:val="auto"/>
        </w:rPr>
      </w:pPr>
      <w:r>
        <w:rPr>
          <w:rFonts w:ascii="Arial" w:cs="Arial" w:eastAsia="Arial" w:hAnsi="Arial"/>
          <w:sz w:val="12"/>
          <w:szCs w:val="12"/>
          <w:color w:val="auto"/>
        </w:rPr>
        <w:t>To connect patients with the right medicine at the right dose, we are also transforming Genmab; building on our world-class research in antibodies to expand our capabilities beyond the lab. We have expanded our scientific focus to use data science and artificial intelligence to aid in the discovery of new targets and biomarkers and bolster our in-depth translational medicine laboratory capabilities.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Sustainable and State-of-the-Art Facilities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Netherlands</w:t>
      </w:r>
    </w:p>
    <w:p>
      <w:pPr>
        <w:spacing w:after="0" w:line="143" w:lineRule="exact"/>
        <w:rPr>
          <w:sz w:val="20"/>
          <w:szCs w:val="20"/>
          <w:color w:val="auto"/>
        </w:rPr>
      </w:pPr>
    </w:p>
    <w:p>
      <w:pPr>
        <w:ind w:left="20" w:right="99"/>
        <w:spacing w:after="0" w:line="245" w:lineRule="auto"/>
        <w:rPr>
          <w:sz w:val="20"/>
          <w:szCs w:val="20"/>
          <w:color w:val="auto"/>
        </w:rPr>
      </w:pPr>
      <w:r>
        <w:rPr>
          <w:rFonts w:ascii="Arial" w:cs="Arial" w:eastAsia="Arial" w:hAnsi="Arial"/>
          <w:sz w:val="12"/>
          <w:szCs w:val="12"/>
          <w:color w:val="auto"/>
        </w:rPr>
        <w:t>Genmab’s discovery and pre-clinical research is conducted at our R&amp;D Center in Utrecht, the Netherlands, one of the first Building Research Establishment Environmental Assessment Method (BREEAM) Excellent laboratory buildings in the Netherlands. The R&amp;D Center is located in close proximity to other life sciences companies and a world-class research university. It houses state-of-the-art laboratories including an advanced robotics lab, a modern auditorium, science café, and innovative brainstorming and meeting rooms. The space provides a bright, open and collaborative atmosphere to enable the Genmab team to continue to innovate and find new ways to help patients.</w:t>
      </w:r>
    </w:p>
    <w:p>
      <w:pPr>
        <w:spacing w:after="0" w:line="121"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To accommodate Genmab’s growth, we will occupy most of the new “Accelerator” multi-tenant building, connected directly to the Genmab R&amp;D Center. It is designed to achieve the same BREEAM Excellent high sustainability standard. Expansion into this building, which will contain both offices and laboratories, is expected in 2023.</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United States</w:t>
      </w:r>
    </w:p>
    <w:p>
      <w:pPr>
        <w:spacing w:after="0" w:line="143" w:lineRule="exact"/>
        <w:rPr>
          <w:sz w:val="20"/>
          <w:szCs w:val="20"/>
          <w:color w:val="auto"/>
        </w:rPr>
      </w:pPr>
    </w:p>
    <w:p>
      <w:pPr>
        <w:ind w:left="20" w:right="199"/>
        <w:spacing w:after="0" w:line="245" w:lineRule="auto"/>
        <w:rPr>
          <w:sz w:val="20"/>
          <w:szCs w:val="20"/>
          <w:color w:val="auto"/>
        </w:rPr>
      </w:pPr>
      <w:r>
        <w:rPr>
          <w:rFonts w:ascii="Arial" w:cs="Arial" w:eastAsia="Arial" w:hAnsi="Arial"/>
          <w:sz w:val="12"/>
          <w:szCs w:val="12"/>
          <w:color w:val="auto"/>
        </w:rPr>
        <w:t>Genmab opened its new U.S. facility in 2020. This space, modeled on the open and collaborative spirit of the R&amp;D Center in Utrecht, includes both offices and laboratories. The U.S. translational research laboratories allow Genmab to expand our translational pre-clinical and clinical drug development research expertise and are part of the strategic growth of the Company. As with the construction and design of our Utrecht facilities, our U.S. office and laboratories were designed and built with sustainability in mind and meet the requirements for Leadership in Energy and Environmental Design (LEED) Gold certification for sustainable design features. Additionally, 75% of the construction waste created when building out the facility was recycled, rather than being sent to a landfill.</w:t>
      </w:r>
    </w:p>
    <w:p>
      <w:pPr>
        <w:spacing w:after="0" w:line="121" w:lineRule="exact"/>
        <w:rPr>
          <w:sz w:val="20"/>
          <w:szCs w:val="20"/>
          <w:color w:val="auto"/>
        </w:rPr>
      </w:pPr>
    </w:p>
    <w:p>
      <w:pPr>
        <w:ind w:left="20" w:right="319"/>
        <w:spacing w:after="0" w:line="273" w:lineRule="auto"/>
        <w:rPr>
          <w:sz w:val="20"/>
          <w:szCs w:val="20"/>
          <w:color w:val="auto"/>
        </w:rPr>
      </w:pPr>
      <w:r>
        <w:rPr>
          <w:rFonts w:ascii="Arial" w:cs="Arial" w:eastAsia="Arial" w:hAnsi="Arial"/>
          <w:sz w:val="12"/>
          <w:szCs w:val="12"/>
          <w:color w:val="auto"/>
        </w:rPr>
        <w:t>As Genmab continues to grow our geographical footprint, we will endeavor to do so with minimal impact to the environment and with sustainability as a key area of focus.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Enhancing Commercialization Capabilities to Bring Our Innovations to Patients</w:t>
      </w:r>
    </w:p>
    <w:p>
      <w:pPr>
        <w:spacing w:after="0" w:line="287" w:lineRule="exact"/>
        <w:rPr>
          <w:sz w:val="20"/>
          <w:szCs w:val="20"/>
          <w:color w:val="auto"/>
        </w:rPr>
      </w:pPr>
    </w:p>
    <w:p>
      <w:pPr>
        <w:jc w:val="both"/>
        <w:ind w:left="20" w:right="419"/>
        <w:spacing w:after="0" w:line="255" w:lineRule="auto"/>
        <w:rPr>
          <w:sz w:val="20"/>
          <w:szCs w:val="20"/>
          <w:color w:val="auto"/>
        </w:rPr>
      </w:pPr>
      <w:r>
        <w:rPr>
          <w:rFonts w:ascii="Arial" w:cs="Arial" w:eastAsia="Arial" w:hAnsi="Arial"/>
          <w:sz w:val="12"/>
          <w:szCs w:val="12"/>
          <w:color w:val="auto"/>
        </w:rPr>
        <w:t>Our 2030 Vision is for Genmab’s KYSO antibody medicines to fundamentally transform the treatment of cancer and other serious diseases. We are becoming an integrated end-to-end biotech innovation powerhouse that discovers, develops, and delivers next-generation antibody-based medicines to patients. Through the addition of key talent and the purposeful and strategic growth of our capabilities, we have never been in a better position to achieve our Vision.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Key to our ability to bring our medicines to patients is commercialization. Over the past few years, we have made tremendous progress in building and establishing this important capability, first in the U.S. and Japan, through a disciplined and integrated approach.</w:t>
      </w:r>
    </w:p>
    <w:p>
      <w:pPr>
        <w:spacing w:after="0" w:line="103" w:lineRule="exact"/>
        <w:rPr>
          <w:sz w:val="20"/>
          <w:szCs w:val="20"/>
          <w:color w:val="auto"/>
        </w:rPr>
      </w:pPr>
    </w:p>
    <w:p>
      <w:pPr>
        <w:jc w:val="both"/>
        <w:ind w:left="480" w:right="219" w:hanging="222"/>
        <w:spacing w:after="0" w:line="243"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In the third quarter of 2021, together with our partner Seagen, we launched our first marketed medicine, Tivdak, in the U.S. Since its launch, Tivdak is on the way to becoming the clear second-line choice for women with recurrent or metastatic cervical cancer with more than 900 women estimated to have received treatment as of December 2022.</w:t>
      </w:r>
    </w:p>
    <w:p>
      <w:pPr>
        <w:ind w:left="480" w:right="559" w:hanging="222"/>
        <w:spacing w:after="0" w:line="236"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We continue to expand our capabilities as we prepare for the potential launch of epcoritamab in the U.S. and Japan, pending regulatory approvals, by deepening our talent base, focusing on impactful approaches and optimal access for all appropriate patients.</w:t>
      </w:r>
    </w:p>
    <w:p>
      <w:pPr>
        <w:ind w:left="480" w:right="279" w:hanging="222"/>
        <w:spacing w:after="0" w:line="236"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Our commercialization team is anchored in highly experienced leaders and teams across functions: medical affairs, marketing, market access, insights and analytics as well as field-based teams in the U.S. to ensure the best possible experience for care teams and their patients treated with our medicines.</w:t>
      </w:r>
    </w:p>
    <w:p>
      <w:pPr>
        <w:ind w:left="480" w:right="779" w:hanging="222"/>
        <w:spacing w:after="0" w:line="251"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We have built a global commercial team to help shape our development and go-to-market strategy in close partnership with R&amp;D. Building a deep understanding of the potential and evolution of markets/segments will help ensure a thoughtful approach to advancing our pipeline.</w:t>
      </w:r>
    </w:p>
    <w:p>
      <w:pPr>
        <w:spacing w:after="0" w:line="107"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At Genmab, commercialization is an integrated approach guided by our commitment to the patients we serve; everyone doing their part to ensure patients get the most from our next-generation differentiated antibody-based medicines.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Antibody Discovery and Development</w:t>
      </w:r>
    </w:p>
    <w:p>
      <w:pPr>
        <w:spacing w:after="0" w:line="151" w:lineRule="exact"/>
        <w:rPr>
          <w:sz w:val="20"/>
          <w:szCs w:val="20"/>
          <w:color w:val="auto"/>
        </w:rPr>
      </w:pPr>
    </w:p>
    <w:p>
      <w:pPr>
        <w:ind w:left="20" w:right="139"/>
        <w:spacing w:after="0" w:line="255" w:lineRule="auto"/>
        <w:rPr>
          <w:sz w:val="20"/>
          <w:szCs w:val="20"/>
          <w:color w:val="auto"/>
        </w:rPr>
      </w:pPr>
      <w:r>
        <w:rPr>
          <w:rFonts w:ascii="Arial" w:cs="Arial" w:eastAsia="Arial" w:hAnsi="Arial"/>
          <w:sz w:val="12"/>
          <w:szCs w:val="12"/>
          <w:color w:val="auto"/>
        </w:rPr>
        <w:t>We are experts in antibody discovery and development. Our appreciation for, and understanding of, the power of the human immune system gives us a unique perspective on how to respond to the constant challenges of oncology drug development. We entered a new chapter with the commercialization and launch of our first medicine, co-owned with Seagen, in 2021, and we are preparing for the potential launch of our second medicine in 2023 under our collaboration with AbbVie.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Products and Technologies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Pipeline</w:t>
      </w:r>
    </w:p>
    <w:p>
      <w:pPr>
        <w:spacing w:after="0" w:line="141" w:lineRule="exact"/>
        <w:rPr>
          <w:sz w:val="20"/>
          <w:szCs w:val="20"/>
          <w:color w:val="auto"/>
        </w:rPr>
      </w:pPr>
    </w:p>
    <w:p>
      <w:pPr>
        <w:ind w:left="20" w:right="59"/>
        <w:spacing w:after="0" w:line="241" w:lineRule="auto"/>
        <w:rPr>
          <w:sz w:val="20"/>
          <w:szCs w:val="20"/>
          <w:color w:val="auto"/>
        </w:rPr>
      </w:pPr>
      <w:r>
        <w:rPr>
          <w:rFonts w:ascii="Arial" w:cs="Arial" w:eastAsia="Arial" w:hAnsi="Arial"/>
          <w:sz w:val="12"/>
          <w:szCs w:val="12"/>
          <w:color w:val="auto"/>
        </w:rPr>
        <w:t>At the end of 2022, Genmab’s proprietary pipeline of investigational medicines, where we are responsible for at least 50% of development, consisted of nine antibodies in clinical development. These include Genmab’s first U.S. FDA approved medicine, Tivdak, which Genmab is co-developing with Seagen and co-promoting in the U.S. In addition to our own pipeline, there are multiple investigational medicines in development by global pharmaceutical and biotechnology companies, including five approved medicines powered by Genmab’s technology and innovations. Beyond the investigational medicines in clinical development, our pipeline also includes multiple pre-clinical programs. An overview of the development status of our approved medicine and of each of our investigational medicines is provided in the following sections. Detailed descriptions of dosing and efficacy and safety data from certain clinical trials have been disclosed in company announcements and media releases published via the Nasdaq Copenhagen A/S (Nasdaq Copenhagen) stock exchange and may also be found in Genmab’s filings with the U.S. Securities and Exchange Commission (SEC). Additional</w:t>
      </w: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 xml:space="preserve">information is available on Genmab’s website, </w:t>
      </w:r>
      <w:r>
        <w:rPr>
          <w:rFonts w:ascii="Arial" w:cs="Arial" w:eastAsia="Arial" w:hAnsi="Arial"/>
          <w:sz w:val="12"/>
          <w:szCs w:val="12"/>
          <w:color w:val="029C93"/>
        </w:rPr>
        <w:t>www.genmab.com.</w:t>
      </w:r>
      <w:r>
        <w:rPr>
          <w:rFonts w:ascii="Arial" w:cs="Arial" w:eastAsia="Arial" w:hAnsi="Arial"/>
          <w:sz w:val="12"/>
          <w:szCs w:val="12"/>
          <w:color w:val="auto"/>
        </w:rPr>
        <w:t xml:space="preserve"> The information accessible through our website is not part of and is not incorporated by reference herein.</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Genmab’s Proprietary Pipeline (≥50% Genmab ownership)*</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Approved Medicine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Tivdak (tisotumab vedotin-tftv)</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Clinical Stage Investigational Medicines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Epcoritamab</w:t>
      </w:r>
    </w:p>
    <w:p>
      <w:pPr>
        <w:ind w:left="20"/>
        <w:spacing w:after="0" w:line="236" w:lineRule="auto"/>
        <w:rPr>
          <w:sz w:val="20"/>
          <w:szCs w:val="20"/>
          <w:color w:val="auto"/>
        </w:rPr>
      </w:pPr>
      <w:r>
        <w:rPr>
          <w:rFonts w:ascii="Arial" w:cs="Arial" w:eastAsia="Arial" w:hAnsi="Arial"/>
          <w:sz w:val="12"/>
          <w:szCs w:val="12"/>
          <w:color w:val="auto"/>
        </w:rPr>
        <w:t>DuoBody-PD-L1x4-1BB (GEN1046/BNT311)</w:t>
      </w:r>
    </w:p>
    <w:p>
      <w:pPr>
        <w:ind w:left="20"/>
        <w:spacing w:after="0" w:line="236" w:lineRule="auto"/>
        <w:rPr>
          <w:sz w:val="20"/>
          <w:szCs w:val="20"/>
          <w:color w:val="auto"/>
        </w:rPr>
      </w:pPr>
      <w:r>
        <w:rPr>
          <w:rFonts w:ascii="Arial" w:cs="Arial" w:eastAsia="Arial" w:hAnsi="Arial"/>
          <w:sz w:val="12"/>
          <w:szCs w:val="12"/>
          <w:color w:val="auto"/>
        </w:rPr>
        <w:t>DuoBody-CD40x4-1BB (GEN1042/BNT312)</w:t>
      </w:r>
    </w:p>
    <w:p>
      <w:pPr>
        <w:ind w:left="20"/>
        <w:spacing w:after="0" w:line="237" w:lineRule="auto"/>
        <w:rPr>
          <w:sz w:val="20"/>
          <w:szCs w:val="20"/>
          <w:color w:val="auto"/>
        </w:rPr>
      </w:pPr>
      <w:r>
        <w:rPr>
          <w:rFonts w:ascii="Arial" w:cs="Arial" w:eastAsia="Arial" w:hAnsi="Arial"/>
          <w:sz w:val="12"/>
          <w:szCs w:val="12"/>
          <w:color w:val="auto"/>
        </w:rPr>
        <w:t>DuoHexaBody-CD37 (GEN3009)</w:t>
      </w:r>
    </w:p>
    <w:p>
      <w:pPr>
        <w:ind w:left="20"/>
        <w:spacing w:after="0" w:line="236" w:lineRule="auto"/>
        <w:rPr>
          <w:sz w:val="20"/>
          <w:szCs w:val="20"/>
          <w:color w:val="auto"/>
        </w:rPr>
      </w:pPr>
      <w:r>
        <w:rPr>
          <w:rFonts w:ascii="Arial" w:cs="Arial" w:eastAsia="Arial" w:hAnsi="Arial"/>
          <w:sz w:val="12"/>
          <w:szCs w:val="12"/>
          <w:color w:val="auto"/>
        </w:rPr>
        <w:t>HexaBody-CD38 (GEN3014)</w:t>
      </w:r>
    </w:p>
    <w:p>
      <w:pPr>
        <w:ind w:left="20"/>
        <w:spacing w:after="0" w:line="237" w:lineRule="auto"/>
        <w:rPr>
          <w:sz w:val="20"/>
          <w:szCs w:val="20"/>
          <w:color w:val="auto"/>
        </w:rPr>
      </w:pPr>
      <w:r>
        <w:rPr>
          <w:rFonts w:ascii="Arial" w:cs="Arial" w:eastAsia="Arial" w:hAnsi="Arial"/>
          <w:sz w:val="12"/>
          <w:szCs w:val="12"/>
          <w:color w:val="auto"/>
        </w:rPr>
        <w:t>DuoBody-CD3xB7H4 (GEN1047)</w:t>
      </w:r>
    </w:p>
    <w:p>
      <w:pPr>
        <w:ind w:left="20"/>
        <w:spacing w:after="0" w:line="236" w:lineRule="auto"/>
        <w:rPr>
          <w:sz w:val="20"/>
          <w:szCs w:val="20"/>
          <w:color w:val="auto"/>
        </w:rPr>
      </w:pPr>
      <w:r>
        <w:rPr>
          <w:rFonts w:ascii="Arial" w:cs="Arial" w:eastAsia="Arial" w:hAnsi="Arial"/>
          <w:sz w:val="12"/>
          <w:szCs w:val="12"/>
          <w:color w:val="auto"/>
        </w:rPr>
        <w:t>HexaBody-CD27 (GEN1053/BNT313)</w:t>
      </w:r>
    </w:p>
    <w:p>
      <w:pPr>
        <w:ind w:left="20"/>
        <w:spacing w:after="0"/>
        <w:rPr>
          <w:sz w:val="20"/>
          <w:szCs w:val="20"/>
          <w:color w:val="auto"/>
        </w:rPr>
      </w:pPr>
      <w:r>
        <w:rPr>
          <w:rFonts w:ascii="Arial" w:cs="Arial" w:eastAsia="Arial" w:hAnsi="Arial"/>
          <w:sz w:val="12"/>
          <w:szCs w:val="12"/>
          <w:color w:val="auto"/>
        </w:rPr>
        <w:t>GEN1056 (BNT322)</w:t>
      </w:r>
    </w:p>
    <w:p>
      <w:pPr>
        <w:spacing w:after="0" w:line="159" w:lineRule="exact"/>
        <w:rPr>
          <w:sz w:val="20"/>
          <w:szCs w:val="20"/>
          <w:color w:val="auto"/>
        </w:rPr>
      </w:pPr>
    </w:p>
    <w:p>
      <w:pPr>
        <w:ind w:left="20" w:right="359" w:firstLine="2"/>
        <w:spacing w:after="0" w:line="308" w:lineRule="auto"/>
        <w:tabs>
          <w:tab w:leader="none" w:pos="76" w:val="left"/>
        </w:tabs>
        <w:numPr>
          <w:ilvl w:val="0"/>
          <w:numId w:val="17"/>
        </w:numPr>
        <w:rPr>
          <w:rFonts w:ascii="Arial" w:cs="Arial" w:eastAsia="Arial" w:hAnsi="Arial"/>
          <w:sz w:val="8"/>
          <w:szCs w:val="8"/>
          <w:color w:val="auto"/>
        </w:rPr>
      </w:pPr>
      <w:r>
        <w:rPr>
          <w:rFonts w:ascii="Arial" w:cs="Arial" w:eastAsia="Arial" w:hAnsi="Arial"/>
          <w:sz w:val="8"/>
          <w:szCs w:val="8"/>
          <w:color w:val="auto"/>
        </w:rPr>
        <w:t>Tisotumab vedotin co-development with Seagen; epcoritamab co-development with AbbVie; DuoBody-PD-L1x4-1BB, DuoBody-CD40x4-1BB, HexaBody-CD27 and GEN1056 co-development with BioNTech; Genmab is developing HexaBody-CD38 in an exclusive worldwide license and option agreement with Janssen.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Programs Incorporating Genmab’s Innovations and Technology in Phase 2 Development or Later</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Approved Medicines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DARZALEX/DARZALEX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(daratumumab/daratumumab and hyaluronidase-fihj, Janssen)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Kesimpta (ofatumumab, Novartis)</w:t>
      </w:r>
    </w:p>
    <w:p>
      <w:pPr>
        <w:ind w:left="20"/>
        <w:spacing w:after="0" w:line="236" w:lineRule="auto"/>
        <w:rPr>
          <w:sz w:val="20"/>
          <w:szCs w:val="20"/>
          <w:color w:val="auto"/>
        </w:rPr>
      </w:pPr>
      <w:r>
        <w:rPr>
          <w:rFonts w:ascii="Arial" w:cs="Arial" w:eastAsia="Arial" w:hAnsi="Arial"/>
          <w:sz w:val="12"/>
          <w:szCs w:val="12"/>
          <w:color w:val="auto"/>
        </w:rPr>
        <w:t>TEPEZZA (teprotumumab-trbw, Horizon)</w:t>
      </w:r>
    </w:p>
    <w:p>
      <w:pPr>
        <w:ind w:left="20"/>
        <w:spacing w:after="0" w:line="236" w:lineRule="auto"/>
        <w:rPr>
          <w:sz w:val="20"/>
          <w:szCs w:val="20"/>
          <w:color w:val="auto"/>
        </w:rPr>
      </w:pPr>
      <w:r>
        <w:rPr>
          <w:rFonts w:ascii="Arial" w:cs="Arial" w:eastAsia="Arial" w:hAnsi="Arial"/>
          <w:sz w:val="12"/>
          <w:szCs w:val="12"/>
          <w:color w:val="auto"/>
        </w:rPr>
        <w:t>RYBREVANT (amivantamab, Janssen)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TECVAYLI (teclistamab, Janssen)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 Phase 2 Clinical Stage Investigational Medicines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Talquetamab (Janssen)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Inclacumab (Global Blood Therapeutics, now owned by Pfizer)</w:t>
      </w:r>
    </w:p>
    <w:p>
      <w:pPr>
        <w:ind w:left="20"/>
        <w:spacing w:after="0" w:line="236" w:lineRule="auto"/>
        <w:rPr>
          <w:sz w:val="20"/>
          <w:szCs w:val="20"/>
          <w:color w:val="auto"/>
        </w:rPr>
      </w:pPr>
      <w:r>
        <w:rPr>
          <w:rFonts w:ascii="Arial" w:cs="Arial" w:eastAsia="Arial" w:hAnsi="Arial"/>
          <w:sz w:val="12"/>
          <w:szCs w:val="12"/>
          <w:color w:val="auto"/>
        </w:rPr>
        <w:t>Mim8 (Novo Nordisk A/S (Novo Nordisk))</w:t>
      </w:r>
    </w:p>
    <w:p>
      <w:pPr>
        <w:ind w:left="20"/>
        <w:spacing w:after="0" w:line="236" w:lineRule="auto"/>
        <w:rPr>
          <w:sz w:val="20"/>
          <w:szCs w:val="20"/>
          <w:color w:val="auto"/>
        </w:rPr>
      </w:pPr>
      <w:r>
        <w:rPr>
          <w:rFonts w:ascii="Arial" w:cs="Arial" w:eastAsia="Arial" w:hAnsi="Arial"/>
          <w:sz w:val="12"/>
          <w:szCs w:val="12"/>
          <w:color w:val="auto"/>
        </w:rPr>
        <w:t>Camidanlumab tesirine (ADC Therapeutics)</w:t>
      </w:r>
    </w:p>
    <w:p>
      <w:pPr>
        <w:ind w:left="20"/>
        <w:spacing w:after="0" w:line="237" w:lineRule="auto"/>
        <w:rPr>
          <w:sz w:val="20"/>
          <w:szCs w:val="20"/>
          <w:color w:val="auto"/>
        </w:rPr>
      </w:pPr>
      <w:r>
        <w:rPr>
          <w:rFonts w:ascii="Arial" w:cs="Arial" w:eastAsia="Arial" w:hAnsi="Arial"/>
          <w:sz w:val="12"/>
          <w:szCs w:val="12"/>
          <w:color w:val="auto"/>
        </w:rPr>
        <w:t>PRV-015 (Provention Bio)</w:t>
      </w:r>
    </w:p>
    <w:p>
      <w:pPr>
        <w:ind w:left="20"/>
        <w:spacing w:after="0"/>
        <w:rPr>
          <w:sz w:val="20"/>
          <w:szCs w:val="20"/>
          <w:color w:val="auto"/>
        </w:rPr>
      </w:pPr>
      <w:r>
        <w:rPr>
          <w:rFonts w:ascii="Arial" w:cs="Arial" w:eastAsia="Arial" w:hAnsi="Arial"/>
          <w:sz w:val="12"/>
          <w:szCs w:val="12"/>
          <w:color w:val="auto"/>
        </w:rPr>
        <w:t>Lu AF82422 (Lundbeck)</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Additional investigational medicines are in early-stage clinical development.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Genmab’s Proprietary</w:t>
      </w:r>
      <w:r>
        <w:rPr>
          <w:rFonts w:ascii="Arial" w:cs="Arial" w:eastAsia="Arial" w:hAnsi="Arial"/>
          <w:sz w:val="21"/>
          <w:szCs w:val="21"/>
          <w:b w:val="1"/>
          <w:bCs w:val="1"/>
          <w:color w:val="auto"/>
          <w:vertAlign w:val="superscript"/>
        </w:rPr>
        <w:t>1</w:t>
      </w:r>
      <w:r>
        <w:rPr>
          <w:rFonts w:ascii="Arial" w:cs="Arial" w:eastAsia="Arial" w:hAnsi="Arial"/>
          <w:sz w:val="15"/>
          <w:szCs w:val="15"/>
          <w:b w:val="1"/>
          <w:bCs w:val="1"/>
          <w:color w:val="auto"/>
        </w:rPr>
        <w:t xml:space="preserve"> Products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Approved Medicine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1" w:name="page22"/>
    <w:bookmarkEnd w:id="2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800" w:type="dxa"/>
            <w:vAlign w:val="bottom"/>
            <w:tcBorders>
              <w:bottom w:val="single" w:sz="8" w:color="029C93"/>
            </w:tcBorders>
          </w:tcPr>
          <w:p>
            <w:pPr>
              <w:ind w:left="60"/>
              <w:spacing w:after="0"/>
              <w:rPr>
                <w:sz w:val="20"/>
                <w:szCs w:val="20"/>
                <w:color w:val="auto"/>
              </w:rPr>
            </w:pPr>
            <w:r>
              <w:rPr>
                <w:rFonts w:ascii="Arial" w:cs="Arial" w:eastAsia="Arial" w:hAnsi="Arial"/>
                <w:sz w:val="12"/>
                <w:szCs w:val="12"/>
                <w:b w:val="1"/>
                <w:bCs w:val="1"/>
                <w:color w:val="auto"/>
              </w:rPr>
              <w:t>Approved Product</w:t>
            </w:r>
          </w:p>
        </w:tc>
        <w:tc>
          <w:tcPr>
            <w:tcW w:w="2100" w:type="dxa"/>
            <w:vAlign w:val="bottom"/>
            <w:tcBorders>
              <w:bottom w:val="single" w:sz="8" w:color="029C93"/>
            </w:tcBorders>
          </w:tcPr>
          <w:p>
            <w:pPr>
              <w:ind w:left="500"/>
              <w:spacing w:after="0"/>
              <w:rPr>
                <w:sz w:val="20"/>
                <w:szCs w:val="20"/>
                <w:color w:val="auto"/>
              </w:rPr>
            </w:pPr>
            <w:r>
              <w:rPr>
                <w:rFonts w:ascii="Arial" w:cs="Arial" w:eastAsia="Arial" w:hAnsi="Arial"/>
                <w:sz w:val="12"/>
                <w:szCs w:val="12"/>
                <w:b w:val="1"/>
                <w:bCs w:val="1"/>
                <w:color w:val="auto"/>
              </w:rPr>
              <w:t>Target</w:t>
            </w:r>
          </w:p>
        </w:tc>
        <w:tc>
          <w:tcPr>
            <w:tcW w:w="2680" w:type="dxa"/>
            <w:vAlign w:val="bottom"/>
            <w:tcBorders>
              <w:bottom w:val="single" w:sz="8" w:color="029C93"/>
            </w:tcBorders>
          </w:tcPr>
          <w:p>
            <w:pPr>
              <w:ind w:left="640"/>
              <w:spacing w:after="0"/>
              <w:rPr>
                <w:sz w:val="20"/>
                <w:szCs w:val="20"/>
                <w:color w:val="auto"/>
              </w:rPr>
            </w:pPr>
            <w:r>
              <w:rPr>
                <w:rFonts w:ascii="Arial" w:cs="Arial" w:eastAsia="Arial" w:hAnsi="Arial"/>
                <w:sz w:val="12"/>
                <w:szCs w:val="12"/>
                <w:b w:val="1"/>
                <w:bCs w:val="1"/>
                <w:color w:val="auto"/>
              </w:rPr>
              <w:t>Developed By</w:t>
            </w:r>
          </w:p>
        </w:tc>
        <w:tc>
          <w:tcPr>
            <w:tcW w:w="2360" w:type="dxa"/>
            <w:vAlign w:val="bottom"/>
            <w:tcBorders>
              <w:bottom w:val="single" w:sz="8" w:color="029C93"/>
            </w:tcBorders>
          </w:tcPr>
          <w:p>
            <w:pPr>
              <w:ind w:left="200"/>
              <w:spacing w:after="0"/>
              <w:rPr>
                <w:sz w:val="20"/>
                <w:szCs w:val="20"/>
                <w:color w:val="auto"/>
              </w:rPr>
            </w:pPr>
            <w:r>
              <w:rPr>
                <w:rFonts w:ascii="Arial" w:cs="Arial" w:eastAsia="Arial" w:hAnsi="Arial"/>
                <w:sz w:val="12"/>
                <w:szCs w:val="12"/>
                <w:b w:val="1"/>
                <w:bCs w:val="1"/>
                <w:color w:val="auto"/>
              </w:rPr>
              <w:t>Disease Indication</w:t>
            </w:r>
          </w:p>
        </w:tc>
      </w:tr>
      <w:tr>
        <w:trPr>
          <w:trHeight w:val="131"/>
        </w:trPr>
        <w:tc>
          <w:tcPr>
            <w:tcW w:w="1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Tivdak</w:t>
            </w:r>
          </w:p>
        </w:tc>
        <w:tc>
          <w:tcPr>
            <w:tcW w:w="2100" w:type="dxa"/>
            <w:vAlign w:val="bottom"/>
          </w:tcPr>
          <w:p>
            <w:pPr>
              <w:ind w:left="500"/>
              <w:spacing w:after="0" w:line="132" w:lineRule="exact"/>
              <w:rPr>
                <w:sz w:val="20"/>
                <w:szCs w:val="20"/>
                <w:color w:val="auto"/>
              </w:rPr>
            </w:pPr>
            <w:r>
              <w:rPr>
                <w:rFonts w:ascii="Arial" w:cs="Arial" w:eastAsia="Arial" w:hAnsi="Arial"/>
                <w:sz w:val="12"/>
                <w:szCs w:val="12"/>
                <w:color w:val="auto"/>
              </w:rPr>
              <w:t>Tissue factor (TF)</w:t>
            </w:r>
          </w:p>
        </w:tc>
        <w:tc>
          <w:tcPr>
            <w:tcW w:w="2680" w:type="dxa"/>
            <w:vAlign w:val="bottom"/>
          </w:tcPr>
          <w:p>
            <w:pPr>
              <w:ind w:left="640"/>
              <w:spacing w:after="0" w:line="132" w:lineRule="exact"/>
              <w:rPr>
                <w:sz w:val="20"/>
                <w:szCs w:val="20"/>
                <w:color w:val="auto"/>
              </w:rPr>
            </w:pPr>
            <w:r>
              <w:rPr>
                <w:rFonts w:ascii="Arial" w:cs="Arial" w:eastAsia="Arial" w:hAnsi="Arial"/>
                <w:sz w:val="12"/>
                <w:szCs w:val="12"/>
                <w:color w:val="auto"/>
              </w:rPr>
              <w:t>Co-development Genmab/Seagen</w:t>
            </w:r>
          </w:p>
        </w:tc>
        <w:tc>
          <w:tcPr>
            <w:tcW w:w="2360" w:type="dxa"/>
            <w:vAlign w:val="bottom"/>
          </w:tcPr>
          <w:p>
            <w:pPr>
              <w:ind w:left="200"/>
              <w:spacing w:after="0" w:line="132" w:lineRule="exact"/>
              <w:rPr>
                <w:sz w:val="20"/>
                <w:szCs w:val="20"/>
                <w:color w:val="auto"/>
              </w:rPr>
            </w:pPr>
            <w:r>
              <w:rPr>
                <w:rFonts w:ascii="Arial" w:cs="Arial" w:eastAsia="Arial" w:hAnsi="Arial"/>
                <w:sz w:val="12"/>
                <w:szCs w:val="12"/>
                <w:color w:val="auto"/>
              </w:rPr>
              <w:t>Adult patients with recurrent or</w:t>
            </w:r>
          </w:p>
        </w:tc>
      </w:tr>
      <w:tr>
        <w:trPr>
          <w:trHeight w:val="131"/>
        </w:trPr>
        <w:tc>
          <w:tcPr>
            <w:tcW w:w="1800" w:type="dxa"/>
            <w:vAlign w:val="bottom"/>
          </w:tcPr>
          <w:p>
            <w:pPr>
              <w:ind w:left="60"/>
              <w:spacing w:after="0" w:line="131" w:lineRule="exact"/>
              <w:rPr>
                <w:sz w:val="20"/>
                <w:szCs w:val="20"/>
                <w:color w:val="auto"/>
              </w:rPr>
            </w:pPr>
            <w:r>
              <w:rPr>
                <w:rFonts w:ascii="Arial" w:cs="Arial" w:eastAsia="Arial" w:hAnsi="Arial"/>
                <w:sz w:val="12"/>
                <w:szCs w:val="12"/>
                <w:color w:val="auto"/>
              </w:rPr>
              <w:t>(tisotumab vedotin-tftv)</w:t>
            </w:r>
          </w:p>
        </w:tc>
        <w:tc>
          <w:tcPr>
            <w:tcW w:w="2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360" w:type="dxa"/>
            <w:vAlign w:val="bottom"/>
          </w:tcPr>
          <w:p>
            <w:pPr>
              <w:ind w:left="200"/>
              <w:spacing w:after="0" w:line="131" w:lineRule="exact"/>
              <w:rPr>
                <w:sz w:val="20"/>
                <w:szCs w:val="20"/>
                <w:color w:val="auto"/>
              </w:rPr>
            </w:pPr>
            <w:r>
              <w:rPr>
                <w:rFonts w:ascii="Arial" w:cs="Arial" w:eastAsia="Arial" w:hAnsi="Arial"/>
                <w:sz w:val="12"/>
                <w:szCs w:val="12"/>
                <w:color w:val="auto"/>
              </w:rPr>
              <w:t>metastatic cervical cancer with disease</w:t>
            </w:r>
          </w:p>
        </w:tc>
      </w:tr>
      <w:tr>
        <w:trPr>
          <w:trHeight w:val="169"/>
        </w:trPr>
        <w:tc>
          <w:tcPr>
            <w:tcW w:w="1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60" w:type="dxa"/>
            <w:vAlign w:val="bottom"/>
          </w:tcPr>
          <w:p>
            <w:pPr>
              <w:ind w:left="200"/>
              <w:spacing w:after="0" w:line="170" w:lineRule="exact"/>
              <w:rPr>
                <w:sz w:val="20"/>
                <w:szCs w:val="20"/>
                <w:color w:val="auto"/>
              </w:rPr>
            </w:pPr>
            <w:r>
              <w:rPr>
                <w:rFonts w:ascii="Arial" w:cs="Arial" w:eastAsia="Arial" w:hAnsi="Arial"/>
                <w:sz w:val="12"/>
                <w:szCs w:val="12"/>
                <w:color w:val="auto"/>
              </w:rPr>
              <w:t>progression on or after chemotherapy</w:t>
            </w:r>
            <w:r>
              <w:rPr>
                <w:rFonts w:ascii="Arial" w:cs="Arial" w:eastAsia="Arial" w:hAnsi="Arial"/>
                <w:sz w:val="18"/>
                <w:szCs w:val="18"/>
                <w:color w:val="auto"/>
                <w:vertAlign w:val="superscript"/>
              </w:rPr>
              <w:t>2</w:t>
            </w:r>
          </w:p>
        </w:tc>
      </w:tr>
    </w:tbl>
    <w:p>
      <w:pPr>
        <w:ind w:left="20"/>
        <w:spacing w:after="0" w:line="183"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0"/>
          <w:szCs w:val="10"/>
          <w:color w:val="auto"/>
        </w:rPr>
        <w:t>Approved and investigational medicines where Genmab has ≥50% ownership, in co-development with partners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-76200</wp:posOffset>
            </wp:positionV>
            <wp:extent cx="568071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ind w:left="20"/>
        <w:spacing w:after="0" w:line="224" w:lineRule="auto"/>
        <w:rPr>
          <w:sz w:val="20"/>
          <w:szCs w:val="20"/>
          <w:color w:val="auto"/>
        </w:rPr>
      </w:pPr>
      <w:r>
        <w:rPr>
          <w:rFonts w:ascii="Arial" w:cs="Arial" w:eastAsia="Arial" w:hAnsi="Arial"/>
          <w:sz w:val="14"/>
          <w:szCs w:val="14"/>
          <w:color w:val="auto"/>
          <w:vertAlign w:val="superscript"/>
        </w:rPr>
        <w:t>2</w:t>
      </w:r>
      <w:r>
        <w:rPr>
          <w:rFonts w:ascii="Arial" w:cs="Arial" w:eastAsia="Arial" w:hAnsi="Arial"/>
          <w:sz w:val="10"/>
          <w:szCs w:val="10"/>
          <w:color w:val="auto"/>
        </w:rPr>
        <w:t>Refer to local country prescribing information for precise indication and safety information.</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Pipeline, Including Further Development for Approved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93345</wp:posOffset>
            </wp:positionV>
            <wp:extent cx="3723640" cy="1916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23640"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right="299"/>
        <w:spacing w:after="0" w:line="194" w:lineRule="auto"/>
        <w:rPr>
          <w:sz w:val="20"/>
          <w:szCs w:val="20"/>
          <w:color w:val="auto"/>
        </w:rPr>
      </w:pPr>
      <w:r>
        <w:rPr>
          <w:rFonts w:ascii="Times New Roman" w:cs="Times New Roman" w:eastAsia="Times New Roman" w:hAnsi="Times New Roman"/>
          <w:sz w:val="14"/>
          <w:szCs w:val="14"/>
          <w:color w:val="auto"/>
          <w:vertAlign w:val="superscript"/>
        </w:rPr>
        <w:t>1</w:t>
      </w:r>
      <w:r>
        <w:rPr>
          <w:rFonts w:ascii="Arial" w:cs="Arial" w:eastAsia="Arial" w:hAnsi="Arial"/>
          <w:sz w:val="10"/>
          <w:szCs w:val="10"/>
          <w:color w:val="auto"/>
        </w:rPr>
        <w:t>In June 2022, AbbVie decided to discontinue co-development of DuoHexaBody-CD37. Upon expiry of the 180-day notice period on December 24, 2022, Genmab became solely responsible for the further development of DuoHexaBody-CD37 against low-single digit royalty payments to AbbVie, up to an agreed maximum total royalty amount, based on future potential sales of the product.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vertAlign w:val="superscript"/>
        </w:rPr>
        <w:t>2</w:t>
      </w:r>
      <w:r>
        <w:rPr>
          <w:rFonts w:ascii="Arial" w:cs="Arial" w:eastAsia="Arial" w:hAnsi="Arial"/>
          <w:sz w:val="10"/>
          <w:szCs w:val="10"/>
          <w:color w:val="auto"/>
        </w:rPr>
        <w:t>Genmab is developing HexaBody-CD38 in an exclusive worldwide license and option agreement with Janssen.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0"/>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2" w:name="page23"/>
    <w:bookmarkEnd w:id="2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Programs Incorporating Genmab’s Innovation and Technology</w:t>
      </w:r>
      <w:r>
        <w:rPr>
          <w:rFonts w:ascii="Arial" w:cs="Arial" w:eastAsia="Arial" w:hAnsi="Arial"/>
          <w:sz w:val="21"/>
          <w:szCs w:val="21"/>
          <w:b w:val="1"/>
          <w:bCs w:val="1"/>
          <w:color w:val="auto"/>
          <w:vertAlign w:val="superscript"/>
        </w:rPr>
        <w:t>1</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580" w:type="dxa"/>
            <w:vAlign w:val="bottom"/>
          </w:tcPr>
          <w:p>
            <w:pPr>
              <w:spacing w:after="0"/>
              <w:rPr>
                <w:sz w:val="20"/>
                <w:szCs w:val="20"/>
                <w:color w:val="auto"/>
              </w:rPr>
            </w:pPr>
            <w:r>
              <w:rPr>
                <w:rFonts w:ascii="Arial" w:cs="Arial" w:eastAsia="Arial" w:hAnsi="Arial"/>
                <w:sz w:val="12"/>
                <w:szCs w:val="12"/>
                <w:b w:val="1"/>
                <w:bCs w:val="1"/>
                <w:color w:val="auto"/>
              </w:rPr>
              <w:t>Approved Medicines</w:t>
            </w:r>
          </w:p>
        </w:tc>
        <w:tc>
          <w:tcPr>
            <w:tcW w:w="3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2580" w:type="dxa"/>
            <w:vAlign w:val="bottom"/>
            <w:tcBorders>
              <w:bottom w:val="single" w:sz="8" w:color="029C93"/>
            </w:tcBorders>
          </w:tcPr>
          <w:p>
            <w:pPr>
              <w:ind w:left="60"/>
              <w:spacing w:after="0"/>
              <w:rPr>
                <w:sz w:val="20"/>
                <w:szCs w:val="20"/>
                <w:color w:val="auto"/>
              </w:rPr>
            </w:pPr>
            <w:r>
              <w:rPr>
                <w:rFonts w:ascii="Arial" w:cs="Arial" w:eastAsia="Arial" w:hAnsi="Arial"/>
                <w:sz w:val="12"/>
                <w:szCs w:val="12"/>
                <w:b w:val="1"/>
                <w:bCs w:val="1"/>
                <w:color w:val="auto"/>
              </w:rPr>
              <w:t>Approved Product</w:t>
            </w:r>
          </w:p>
        </w:tc>
        <w:tc>
          <w:tcPr>
            <w:tcW w:w="3320" w:type="dxa"/>
            <w:vAlign w:val="bottom"/>
            <w:tcBorders>
              <w:bottom w:val="single" w:sz="8" w:color="029C93"/>
            </w:tcBorders>
          </w:tcPr>
          <w:p>
            <w:pPr>
              <w:ind w:left="460"/>
              <w:spacing w:after="0"/>
              <w:rPr>
                <w:sz w:val="20"/>
                <w:szCs w:val="20"/>
                <w:color w:val="auto"/>
              </w:rPr>
            </w:pPr>
            <w:r>
              <w:rPr>
                <w:rFonts w:ascii="Arial" w:cs="Arial" w:eastAsia="Arial" w:hAnsi="Arial"/>
                <w:sz w:val="12"/>
                <w:szCs w:val="12"/>
                <w:b w:val="1"/>
                <w:bCs w:val="1"/>
                <w:color w:val="auto"/>
              </w:rPr>
              <w:t>Discovered and/or Developed &amp; Marketed By</w:t>
            </w:r>
          </w:p>
        </w:tc>
        <w:tc>
          <w:tcPr>
            <w:tcW w:w="3040" w:type="dxa"/>
            <w:vAlign w:val="bottom"/>
            <w:tcBorders>
              <w:bottom w:val="single" w:sz="8" w:color="029C93"/>
            </w:tcBorders>
          </w:tcPr>
          <w:p>
            <w:pPr>
              <w:ind w:left="140"/>
              <w:spacing w:after="0"/>
              <w:rPr>
                <w:sz w:val="20"/>
                <w:szCs w:val="20"/>
                <w:color w:val="auto"/>
              </w:rPr>
            </w:pPr>
            <w:r>
              <w:rPr>
                <w:rFonts w:ascii="Arial" w:cs="Arial" w:eastAsia="Arial" w:hAnsi="Arial"/>
                <w:sz w:val="12"/>
                <w:szCs w:val="12"/>
                <w:b w:val="1"/>
                <w:bCs w:val="1"/>
                <w:color w:val="auto"/>
              </w:rPr>
              <w:t>Disease Indication(s)</w:t>
            </w:r>
          </w:p>
        </w:tc>
        <w:tc>
          <w:tcPr>
            <w:tcW w:w="0" w:type="dxa"/>
            <w:vAlign w:val="bottom"/>
          </w:tcPr>
          <w:p>
            <w:pPr>
              <w:spacing w:after="0"/>
              <w:rPr>
                <w:sz w:val="1"/>
                <w:szCs w:val="1"/>
                <w:color w:val="auto"/>
              </w:rPr>
            </w:pPr>
          </w:p>
        </w:tc>
      </w:tr>
      <w:tr>
        <w:trPr>
          <w:trHeight w:val="131"/>
        </w:trPr>
        <w:tc>
          <w:tcPr>
            <w:tcW w:w="25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DARZALEX</w:t>
            </w:r>
          </w:p>
        </w:tc>
        <w:tc>
          <w:tcPr>
            <w:tcW w:w="3320" w:type="dxa"/>
            <w:vAlign w:val="bottom"/>
          </w:tcPr>
          <w:p>
            <w:pPr>
              <w:ind w:left="460"/>
              <w:spacing w:after="0" w:line="132" w:lineRule="exact"/>
              <w:rPr>
                <w:sz w:val="20"/>
                <w:szCs w:val="20"/>
                <w:color w:val="auto"/>
              </w:rPr>
            </w:pPr>
            <w:r>
              <w:rPr>
                <w:rFonts w:ascii="Arial" w:cs="Arial" w:eastAsia="Arial" w:hAnsi="Arial"/>
                <w:sz w:val="12"/>
                <w:szCs w:val="12"/>
                <w:color w:val="auto"/>
              </w:rPr>
              <w:t>Janssen (Royalties to Genmab on net global sales)</w:t>
            </w:r>
          </w:p>
        </w:tc>
        <w:tc>
          <w:tcPr>
            <w:tcW w:w="3040" w:type="dxa"/>
            <w:vAlign w:val="bottom"/>
          </w:tcPr>
          <w:p>
            <w:pPr>
              <w:ind w:left="140"/>
              <w:spacing w:after="0" w:line="131" w:lineRule="exact"/>
              <w:rPr>
                <w:sz w:val="20"/>
                <w:szCs w:val="20"/>
                <w:color w:val="auto"/>
              </w:rPr>
            </w:pPr>
            <w:r>
              <w:rPr>
                <w:rFonts w:ascii="Arial" w:cs="Arial" w:eastAsia="Arial" w:hAnsi="Arial"/>
                <w:sz w:val="10"/>
                <w:szCs w:val="10"/>
                <w:color w:val="auto"/>
              </w:rPr>
              <w:t>Multiple myeloma</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36"/>
        </w:trPr>
        <w:tc>
          <w:tcPr>
            <w:tcW w:w="2580" w:type="dxa"/>
            <w:vAlign w:val="bottom"/>
          </w:tcPr>
          <w:p>
            <w:pPr>
              <w:ind w:left="60"/>
              <w:spacing w:after="0" w:line="136" w:lineRule="exact"/>
              <w:rPr>
                <w:sz w:val="20"/>
                <w:szCs w:val="20"/>
                <w:color w:val="auto"/>
              </w:rPr>
            </w:pPr>
            <w:r>
              <w:rPr>
                <w:rFonts w:ascii="Arial" w:cs="Arial" w:eastAsia="Arial" w:hAnsi="Arial"/>
                <w:sz w:val="12"/>
                <w:szCs w:val="12"/>
                <w:color w:val="auto"/>
              </w:rPr>
              <w:t>(daratumumab)/</w:t>
            </w:r>
            <w:r>
              <w:rPr>
                <w:rFonts w:ascii="Arial" w:cs="Arial" w:eastAsia="Arial" w:hAnsi="Arial"/>
                <w:sz w:val="12"/>
                <w:szCs w:val="12"/>
                <w:b w:val="1"/>
                <w:bCs w:val="1"/>
                <w:color w:val="auto"/>
              </w:rPr>
              <w:t>DARZALEX</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FASPRO</w:t>
            </w:r>
          </w:p>
        </w:tc>
        <w:tc>
          <w:tcPr>
            <w:tcW w:w="3320" w:type="dxa"/>
            <w:vAlign w:val="bottom"/>
          </w:tcPr>
          <w:p>
            <w:pPr>
              <w:spacing w:after="0"/>
              <w:rPr>
                <w:sz w:val="11"/>
                <w:szCs w:val="11"/>
                <w:color w:val="auto"/>
              </w:rPr>
            </w:pPr>
          </w:p>
        </w:tc>
        <w:tc>
          <w:tcPr>
            <w:tcW w:w="3040" w:type="dxa"/>
            <w:vAlign w:val="bottom"/>
            <w:vMerge w:val="restart"/>
          </w:tcPr>
          <w:p>
            <w:pPr>
              <w:ind w:left="140"/>
              <w:spacing w:after="0"/>
              <w:rPr>
                <w:sz w:val="20"/>
                <w:szCs w:val="20"/>
                <w:color w:val="auto"/>
              </w:rPr>
            </w:pPr>
            <w:r>
              <w:rPr>
                <w:rFonts w:ascii="Arial" w:cs="Arial" w:eastAsia="Arial" w:hAnsi="Arial"/>
                <w:sz w:val="12"/>
                <w:szCs w:val="12"/>
                <w:color w:val="auto"/>
              </w:rPr>
              <w:t>Light-chain (AL) Amyloidosis</w:t>
            </w:r>
          </w:p>
        </w:tc>
        <w:tc>
          <w:tcPr>
            <w:tcW w:w="0" w:type="dxa"/>
            <w:vAlign w:val="bottom"/>
          </w:tcPr>
          <w:p>
            <w:pPr>
              <w:spacing w:after="0"/>
              <w:rPr>
                <w:sz w:val="1"/>
                <w:szCs w:val="1"/>
                <w:color w:val="auto"/>
              </w:rPr>
            </w:pPr>
          </w:p>
        </w:tc>
      </w:tr>
      <w:tr>
        <w:trPr>
          <w:trHeight w:val="159"/>
        </w:trPr>
        <w:tc>
          <w:tcPr>
            <w:tcW w:w="2580" w:type="dxa"/>
            <w:vAlign w:val="bottom"/>
          </w:tcPr>
          <w:p>
            <w:pPr>
              <w:ind w:left="60"/>
              <w:spacing w:after="0"/>
              <w:rPr>
                <w:sz w:val="20"/>
                <w:szCs w:val="20"/>
                <w:color w:val="auto"/>
              </w:rPr>
            </w:pPr>
            <w:r>
              <w:rPr>
                <w:rFonts w:ascii="Arial" w:cs="Arial" w:eastAsia="Arial" w:hAnsi="Arial"/>
                <w:sz w:val="12"/>
                <w:szCs w:val="12"/>
                <w:color w:val="auto"/>
              </w:rPr>
              <w:t>(daratumumab and hyaluronidase-fihj)</w:t>
            </w:r>
          </w:p>
        </w:tc>
        <w:tc>
          <w:tcPr>
            <w:tcW w:w="332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580" w:type="dxa"/>
            <w:vAlign w:val="bottom"/>
            <w:tcBorders>
              <w:bottom w:val="single" w:sz="8" w:color="029C93"/>
            </w:tcBorders>
          </w:tcPr>
          <w:p>
            <w:pPr>
              <w:spacing w:after="0"/>
              <w:rPr>
                <w:sz w:val="3"/>
                <w:szCs w:val="3"/>
                <w:color w:val="auto"/>
              </w:rPr>
            </w:pPr>
          </w:p>
        </w:tc>
        <w:tc>
          <w:tcPr>
            <w:tcW w:w="3320" w:type="dxa"/>
            <w:vAlign w:val="bottom"/>
            <w:tcBorders>
              <w:bottom w:val="single" w:sz="8" w:color="029C93"/>
            </w:tcBorders>
          </w:tcPr>
          <w:p>
            <w:pPr>
              <w:spacing w:after="0"/>
              <w:rPr>
                <w:sz w:val="3"/>
                <w:szCs w:val="3"/>
                <w:color w:val="auto"/>
              </w:rPr>
            </w:pPr>
          </w:p>
        </w:tc>
        <w:tc>
          <w:tcPr>
            <w:tcW w:w="3040" w:type="dxa"/>
            <w:vAlign w:val="bottom"/>
            <w:tcBorders>
              <w:bottom w:val="single" w:sz="8" w:color="029C93"/>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Kesimpta</w:t>
            </w:r>
          </w:p>
        </w:tc>
        <w:tc>
          <w:tcPr>
            <w:tcW w:w="3320" w:type="dxa"/>
            <w:vAlign w:val="bottom"/>
          </w:tcPr>
          <w:p>
            <w:pPr>
              <w:ind w:left="460"/>
              <w:spacing w:after="0" w:line="131" w:lineRule="exact"/>
              <w:rPr>
                <w:sz w:val="20"/>
                <w:szCs w:val="20"/>
                <w:color w:val="auto"/>
              </w:rPr>
            </w:pPr>
            <w:r>
              <w:rPr>
                <w:rFonts w:ascii="Arial" w:cs="Arial" w:eastAsia="Arial" w:hAnsi="Arial"/>
                <w:sz w:val="12"/>
                <w:szCs w:val="12"/>
                <w:color w:val="auto"/>
              </w:rPr>
              <w:t>Novartis (Royalties to Genmab on net global sales)</w:t>
            </w:r>
          </w:p>
        </w:tc>
        <w:tc>
          <w:tcPr>
            <w:tcW w:w="3040" w:type="dxa"/>
            <w:vAlign w:val="bottom"/>
          </w:tcPr>
          <w:p>
            <w:pPr>
              <w:ind w:left="140"/>
              <w:spacing w:after="0" w:line="131" w:lineRule="exact"/>
              <w:rPr>
                <w:sz w:val="20"/>
                <w:szCs w:val="20"/>
                <w:color w:val="auto"/>
              </w:rPr>
            </w:pPr>
            <w:r>
              <w:rPr>
                <w:rFonts w:ascii="Arial" w:cs="Arial" w:eastAsia="Arial" w:hAnsi="Arial"/>
                <w:sz w:val="10"/>
                <w:szCs w:val="10"/>
                <w:color w:val="auto"/>
              </w:rPr>
              <w:t>RMS</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63"/>
        </w:trPr>
        <w:tc>
          <w:tcPr>
            <w:tcW w:w="2580" w:type="dxa"/>
            <w:vAlign w:val="bottom"/>
            <w:tcBorders>
              <w:bottom w:val="single" w:sz="8" w:color="029C93"/>
            </w:tcBorders>
          </w:tcPr>
          <w:p>
            <w:pPr>
              <w:ind w:left="60"/>
              <w:spacing w:after="0"/>
              <w:rPr>
                <w:sz w:val="20"/>
                <w:szCs w:val="20"/>
                <w:color w:val="auto"/>
              </w:rPr>
            </w:pPr>
            <w:r>
              <w:rPr>
                <w:rFonts w:ascii="Arial" w:cs="Arial" w:eastAsia="Arial" w:hAnsi="Arial"/>
                <w:sz w:val="12"/>
                <w:szCs w:val="12"/>
                <w:color w:val="auto"/>
              </w:rPr>
              <w:t>(ofatumumab)</w:t>
            </w:r>
          </w:p>
        </w:tc>
        <w:tc>
          <w:tcPr>
            <w:tcW w:w="3320" w:type="dxa"/>
            <w:vAlign w:val="bottom"/>
            <w:tcBorders>
              <w:bottom w:val="single" w:sz="8" w:color="029C93"/>
            </w:tcBorders>
          </w:tcPr>
          <w:p>
            <w:pPr>
              <w:spacing w:after="0"/>
              <w:rPr>
                <w:sz w:val="14"/>
                <w:szCs w:val="14"/>
                <w:color w:val="auto"/>
              </w:rPr>
            </w:pPr>
          </w:p>
        </w:tc>
        <w:tc>
          <w:tcPr>
            <w:tcW w:w="3040" w:type="dxa"/>
            <w:vAlign w:val="bottom"/>
            <w:tcBorders>
              <w:bottom w:val="single" w:sz="8" w:color="029C93"/>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TEPEZZA</w:t>
            </w:r>
          </w:p>
        </w:tc>
        <w:tc>
          <w:tcPr>
            <w:tcW w:w="3320" w:type="dxa"/>
            <w:vAlign w:val="bottom"/>
          </w:tcPr>
          <w:p>
            <w:pPr>
              <w:ind w:left="460"/>
              <w:spacing w:after="0" w:line="134" w:lineRule="exact"/>
              <w:rPr>
                <w:sz w:val="20"/>
                <w:szCs w:val="20"/>
                <w:color w:val="auto"/>
              </w:rPr>
            </w:pPr>
            <w:r>
              <w:rPr>
                <w:rFonts w:ascii="Arial" w:cs="Arial" w:eastAsia="Arial" w:hAnsi="Arial"/>
                <w:sz w:val="12"/>
                <w:szCs w:val="12"/>
                <w:color w:val="auto"/>
              </w:rPr>
              <w:t>Horizon (under sublicense from Roche, royalties to</w:t>
            </w:r>
          </w:p>
        </w:tc>
        <w:tc>
          <w:tcPr>
            <w:tcW w:w="3040" w:type="dxa"/>
            <w:vAlign w:val="bottom"/>
          </w:tcPr>
          <w:p>
            <w:pPr>
              <w:ind w:left="140"/>
              <w:spacing w:after="0" w:line="134" w:lineRule="exact"/>
              <w:rPr>
                <w:sz w:val="20"/>
                <w:szCs w:val="20"/>
                <w:color w:val="auto"/>
              </w:rPr>
            </w:pPr>
            <w:r>
              <w:rPr>
                <w:rFonts w:ascii="Arial" w:cs="Arial" w:eastAsia="Arial" w:hAnsi="Arial"/>
                <w:sz w:val="10"/>
                <w:szCs w:val="10"/>
                <w:color w:val="auto"/>
              </w:rPr>
              <w:t>TED</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63"/>
        </w:trPr>
        <w:tc>
          <w:tcPr>
            <w:tcW w:w="2580" w:type="dxa"/>
            <w:vAlign w:val="bottom"/>
            <w:tcBorders>
              <w:bottom w:val="single" w:sz="8" w:color="029C93"/>
            </w:tcBorders>
          </w:tcPr>
          <w:p>
            <w:pPr>
              <w:ind w:left="60"/>
              <w:spacing w:after="0"/>
              <w:rPr>
                <w:sz w:val="20"/>
                <w:szCs w:val="20"/>
                <w:color w:val="auto"/>
              </w:rPr>
            </w:pPr>
            <w:r>
              <w:rPr>
                <w:rFonts w:ascii="Arial" w:cs="Arial" w:eastAsia="Arial" w:hAnsi="Arial"/>
                <w:sz w:val="12"/>
                <w:szCs w:val="12"/>
                <w:color w:val="auto"/>
              </w:rPr>
              <w:t>(teprotumumab-trbw)</w:t>
            </w:r>
          </w:p>
        </w:tc>
        <w:tc>
          <w:tcPr>
            <w:tcW w:w="3320" w:type="dxa"/>
            <w:vAlign w:val="bottom"/>
            <w:tcBorders>
              <w:bottom w:val="single" w:sz="8" w:color="029C93"/>
            </w:tcBorders>
          </w:tcPr>
          <w:p>
            <w:pPr>
              <w:ind w:left="460"/>
              <w:spacing w:after="0"/>
              <w:rPr>
                <w:sz w:val="20"/>
                <w:szCs w:val="20"/>
                <w:color w:val="auto"/>
              </w:rPr>
            </w:pPr>
            <w:r>
              <w:rPr>
                <w:rFonts w:ascii="Arial" w:cs="Arial" w:eastAsia="Arial" w:hAnsi="Arial"/>
                <w:sz w:val="12"/>
                <w:szCs w:val="12"/>
                <w:color w:val="auto"/>
              </w:rPr>
              <w:t>Genmab on net global sales)</w:t>
            </w:r>
          </w:p>
        </w:tc>
        <w:tc>
          <w:tcPr>
            <w:tcW w:w="3040" w:type="dxa"/>
            <w:vAlign w:val="bottom"/>
            <w:tcBorders>
              <w:bottom w:val="single" w:sz="8" w:color="029C93"/>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RYBREVANT</w:t>
            </w:r>
          </w:p>
        </w:tc>
        <w:tc>
          <w:tcPr>
            <w:tcW w:w="3320" w:type="dxa"/>
            <w:vAlign w:val="bottom"/>
          </w:tcPr>
          <w:p>
            <w:pPr>
              <w:ind w:left="460"/>
              <w:spacing w:after="0" w:line="134" w:lineRule="exact"/>
              <w:rPr>
                <w:sz w:val="20"/>
                <w:szCs w:val="20"/>
                <w:color w:val="auto"/>
              </w:rPr>
            </w:pPr>
            <w:r>
              <w:rPr>
                <w:rFonts w:ascii="Arial" w:cs="Arial" w:eastAsia="Arial" w:hAnsi="Arial"/>
                <w:sz w:val="12"/>
                <w:szCs w:val="12"/>
                <w:color w:val="auto"/>
              </w:rPr>
              <w:t>Janssen (Royalties to Genmab on net global sales)</w:t>
            </w:r>
          </w:p>
        </w:tc>
        <w:tc>
          <w:tcPr>
            <w:tcW w:w="3040" w:type="dxa"/>
            <w:vAlign w:val="bottom"/>
          </w:tcPr>
          <w:p>
            <w:pPr>
              <w:ind w:left="140"/>
              <w:spacing w:after="0" w:line="134" w:lineRule="exact"/>
              <w:rPr>
                <w:sz w:val="20"/>
                <w:szCs w:val="20"/>
                <w:color w:val="auto"/>
              </w:rPr>
            </w:pPr>
            <w:r>
              <w:rPr>
                <w:rFonts w:ascii="Arial" w:cs="Arial" w:eastAsia="Arial" w:hAnsi="Arial"/>
                <w:sz w:val="10"/>
                <w:szCs w:val="10"/>
                <w:color w:val="auto"/>
              </w:rPr>
              <w:t>NSCLC</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63"/>
        </w:trPr>
        <w:tc>
          <w:tcPr>
            <w:tcW w:w="2580" w:type="dxa"/>
            <w:vAlign w:val="bottom"/>
            <w:tcBorders>
              <w:bottom w:val="single" w:sz="8" w:color="029C93"/>
            </w:tcBorders>
          </w:tcPr>
          <w:p>
            <w:pPr>
              <w:ind w:left="60"/>
              <w:spacing w:after="0"/>
              <w:rPr>
                <w:sz w:val="20"/>
                <w:szCs w:val="20"/>
                <w:color w:val="auto"/>
              </w:rPr>
            </w:pPr>
            <w:r>
              <w:rPr>
                <w:rFonts w:ascii="Arial" w:cs="Arial" w:eastAsia="Arial" w:hAnsi="Arial"/>
                <w:sz w:val="12"/>
                <w:szCs w:val="12"/>
                <w:color w:val="auto"/>
              </w:rPr>
              <w:t>(amivantamab/amivantamab-vmjw)</w:t>
            </w:r>
          </w:p>
        </w:tc>
        <w:tc>
          <w:tcPr>
            <w:tcW w:w="3320" w:type="dxa"/>
            <w:vAlign w:val="bottom"/>
            <w:tcBorders>
              <w:bottom w:val="single" w:sz="8" w:color="029C93"/>
            </w:tcBorders>
          </w:tcPr>
          <w:p>
            <w:pPr>
              <w:spacing w:after="0"/>
              <w:rPr>
                <w:sz w:val="14"/>
                <w:szCs w:val="14"/>
                <w:color w:val="auto"/>
              </w:rPr>
            </w:pPr>
          </w:p>
        </w:tc>
        <w:tc>
          <w:tcPr>
            <w:tcW w:w="3040" w:type="dxa"/>
            <w:vAlign w:val="bottom"/>
            <w:tcBorders>
              <w:bottom w:val="single" w:sz="8" w:color="029C93"/>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60"/>
              <w:spacing w:after="0" w:line="134" w:lineRule="exact"/>
              <w:rPr>
                <w:sz w:val="20"/>
                <w:szCs w:val="20"/>
                <w:color w:val="auto"/>
              </w:rPr>
            </w:pPr>
            <w:r>
              <w:rPr>
                <w:rFonts w:ascii="Arial" w:cs="Arial" w:eastAsia="Arial" w:hAnsi="Arial"/>
                <w:sz w:val="12"/>
                <w:szCs w:val="12"/>
                <w:color w:val="auto"/>
              </w:rPr>
              <w:t>T</w:t>
            </w:r>
            <w:r>
              <w:rPr>
                <w:rFonts w:ascii="Arial" w:cs="Arial" w:eastAsia="Arial" w:hAnsi="Arial"/>
                <w:sz w:val="12"/>
                <w:szCs w:val="12"/>
                <w:b w:val="1"/>
                <w:bCs w:val="1"/>
                <w:color w:val="auto"/>
              </w:rPr>
              <w:t>ECVAYLI</w:t>
            </w:r>
          </w:p>
        </w:tc>
        <w:tc>
          <w:tcPr>
            <w:tcW w:w="3320" w:type="dxa"/>
            <w:vAlign w:val="bottom"/>
          </w:tcPr>
          <w:p>
            <w:pPr>
              <w:ind w:left="460"/>
              <w:spacing w:after="0" w:line="134" w:lineRule="exact"/>
              <w:rPr>
                <w:sz w:val="20"/>
                <w:szCs w:val="20"/>
                <w:color w:val="auto"/>
              </w:rPr>
            </w:pPr>
            <w:r>
              <w:rPr>
                <w:rFonts w:ascii="Arial" w:cs="Arial" w:eastAsia="Arial" w:hAnsi="Arial"/>
                <w:sz w:val="12"/>
                <w:szCs w:val="12"/>
                <w:color w:val="auto"/>
              </w:rPr>
              <w:t>Janssen (Royalties to Genmab on net global sales)</w:t>
            </w:r>
          </w:p>
        </w:tc>
        <w:tc>
          <w:tcPr>
            <w:tcW w:w="3040" w:type="dxa"/>
            <w:vAlign w:val="bottom"/>
          </w:tcPr>
          <w:p>
            <w:pPr>
              <w:ind w:left="140"/>
              <w:spacing w:after="0" w:line="134" w:lineRule="exact"/>
              <w:rPr>
                <w:sz w:val="20"/>
                <w:szCs w:val="20"/>
                <w:color w:val="auto"/>
              </w:rPr>
            </w:pPr>
            <w:r>
              <w:rPr>
                <w:rFonts w:ascii="Arial" w:cs="Arial" w:eastAsia="Arial" w:hAnsi="Arial"/>
                <w:sz w:val="10"/>
                <w:szCs w:val="10"/>
                <w:color w:val="auto"/>
              </w:rPr>
              <w:t>Relapsed and refractory multiple myeloma</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59"/>
        </w:trPr>
        <w:tc>
          <w:tcPr>
            <w:tcW w:w="2580" w:type="dxa"/>
            <w:vAlign w:val="bottom"/>
          </w:tcPr>
          <w:p>
            <w:pPr>
              <w:ind w:left="60"/>
              <w:spacing w:after="0"/>
              <w:rPr>
                <w:sz w:val="20"/>
                <w:szCs w:val="20"/>
                <w:color w:val="auto"/>
              </w:rPr>
            </w:pPr>
            <w:r>
              <w:rPr>
                <w:rFonts w:ascii="Arial" w:cs="Arial" w:eastAsia="Arial" w:hAnsi="Arial"/>
                <w:sz w:val="12"/>
                <w:szCs w:val="12"/>
                <w:color w:val="auto"/>
              </w:rPr>
              <w:t>(teclistamab/teclistamab-cqyv)</w:t>
            </w:r>
          </w:p>
        </w:tc>
        <w:tc>
          <w:tcPr>
            <w:tcW w:w="33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 w:right="119"/>
        <w:spacing w:after="0" w:line="193" w:lineRule="auto"/>
        <w:rPr>
          <w:sz w:val="20"/>
          <w:szCs w:val="20"/>
          <w:color w:val="auto"/>
        </w:rPr>
      </w:pPr>
      <w:r>
        <w:rPr>
          <w:rFonts w:ascii="Times New Roman" w:cs="Times New Roman" w:eastAsia="Times New Roman" w:hAnsi="Times New Roman"/>
          <w:sz w:val="14"/>
          <w:szCs w:val="14"/>
          <w:color w:val="auto"/>
          <w:vertAlign w:val="superscript"/>
        </w:rPr>
        <w:t>1</w:t>
      </w:r>
      <w:r>
        <w:rPr>
          <w:rFonts w:ascii="Arial" w:cs="Arial" w:eastAsia="Arial" w:hAnsi="Arial"/>
          <w:sz w:val="10"/>
          <w:szCs w:val="10"/>
          <w:color w:val="auto"/>
        </w:rPr>
        <w:t>Approved and investigational medicines created by Genmab or created by collaboration partners leveraging Genmab’s DuoBody technology platform, under development, and where relevant, commercialized by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-135890</wp:posOffset>
            </wp:positionV>
            <wp:extent cx="568071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vertAlign w:val="superscript"/>
        </w:rPr>
        <w:t>2</w:t>
      </w:r>
      <w:r>
        <w:rPr>
          <w:rFonts w:ascii="Arial" w:cs="Arial" w:eastAsia="Arial" w:hAnsi="Arial"/>
          <w:sz w:val="10"/>
          <w:szCs w:val="10"/>
          <w:color w:val="auto"/>
        </w:rPr>
        <w:t>See local prescribing information for precise indication and safety information.</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3" w:name="page24"/>
    <w:bookmarkEnd w:id="2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Pipeline, Including Further Development for Approved Medicines, ≥Phase 2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93345</wp:posOffset>
            </wp:positionV>
            <wp:extent cx="3723640" cy="2486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3640"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0"/>
          <w:szCs w:val="10"/>
          <w:color w:val="auto"/>
        </w:rPr>
        <w:t>*UltiMab transgenic mouse technology licensed from Medarex, Inc. (Medarex), a wholly owned subsidiary of Bristol-Myers Squibb</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Genmab’s Proprietary Pipeline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Programs where Genmab has ≥50% ownership.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Tivdak (tisotumab vedotin-tftv)</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First and Only U.S. FDA Approved Antibody-drug Conjugate (ADC) for Recurrent or Metastatic Cervical Cancer</w:t>
      </w:r>
    </w:p>
    <w:p>
      <w:pPr>
        <w:spacing w:after="0" w:line="127" w:lineRule="exact"/>
        <w:rPr>
          <w:sz w:val="20"/>
          <w:szCs w:val="20"/>
          <w:color w:val="auto"/>
        </w:rPr>
      </w:pPr>
    </w:p>
    <w:p>
      <w:pPr>
        <w:ind w:left="480" w:hanging="222"/>
        <w:spacing w:after="0"/>
        <w:tabs>
          <w:tab w:leader="none" w:pos="480" w:val="left"/>
        </w:tabs>
        <w:numPr>
          <w:ilvl w:val="0"/>
          <w:numId w:val="1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 ADC directed to TF, a protein highly prevalent on solid tumors, including cervical cancer, which is associated with poor prognosis</w:t>
      </w:r>
    </w:p>
    <w:p>
      <w:pPr>
        <w:spacing w:after="0" w:line="18" w:lineRule="exact"/>
        <w:rPr>
          <w:rFonts w:ascii="Times New Roman" w:cs="Times New Roman" w:eastAsia="Times New Roman" w:hAnsi="Times New Roman"/>
          <w:sz w:val="12"/>
          <w:szCs w:val="12"/>
          <w:color w:val="029C93"/>
        </w:rPr>
      </w:pPr>
    </w:p>
    <w:p>
      <w:pPr>
        <w:ind w:left="480" w:right="439" w:hanging="222"/>
        <w:spacing w:after="0" w:line="262" w:lineRule="auto"/>
        <w:tabs>
          <w:tab w:leader="none" w:pos="480" w:val="left"/>
        </w:tabs>
        <w:numPr>
          <w:ilvl w:val="0"/>
          <w:numId w:val="1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Accelerated approval granted by the U.S. FDA for Tivdak, the first and only approved ADC for the treatment of adult patients with recurrent or metastatic cervical cancer with disease progression on or after chemotherapy</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4" w:name="page25"/>
    <w:bookmarkEnd w:id="2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right="339" w:hanging="222"/>
        <w:spacing w:after="0" w:line="246" w:lineRule="auto"/>
        <w:tabs>
          <w:tab w:leader="none" w:pos="480" w:val="left"/>
        </w:tabs>
        <w:numPr>
          <w:ilvl w:val="0"/>
          <w:numId w:val="1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U.S. FDA approval was based on data from the innovaTV 204 (NCT03438396) Phase 2 single-arm clinical study evaluating tisotumab vedotin as monotherapy in patients with previously treated recurrent or metastatic cervical cancer</w:t>
      </w:r>
    </w:p>
    <w:p>
      <w:pPr>
        <w:ind w:left="480" w:right="319" w:hanging="222"/>
        <w:spacing w:after="0" w:line="236" w:lineRule="auto"/>
        <w:tabs>
          <w:tab w:leader="none" w:pos="480" w:val="left"/>
        </w:tabs>
        <w:numPr>
          <w:ilvl w:val="0"/>
          <w:numId w:val="1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In addition to a Phase 3 study in recurrent or metastatic cervical cancer (innovaTV 301, NCT04697628), clinical studies in other solid tumors are ongoing</w:t>
      </w:r>
    </w:p>
    <w:p>
      <w:pPr>
        <w:ind w:left="480" w:hanging="222"/>
        <w:spacing w:after="0"/>
        <w:tabs>
          <w:tab w:leader="none" w:pos="480" w:val="left"/>
        </w:tabs>
        <w:numPr>
          <w:ilvl w:val="0"/>
          <w:numId w:val="1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globally and co-promoted in the U.S. in collaboration with Seagen</w:t>
      </w:r>
    </w:p>
    <w:p>
      <w:pPr>
        <w:spacing w:after="0" w:line="140" w:lineRule="exact"/>
        <w:rPr>
          <w:sz w:val="20"/>
          <w:szCs w:val="20"/>
          <w:color w:val="auto"/>
        </w:rPr>
      </w:pPr>
    </w:p>
    <w:p>
      <w:pPr>
        <w:ind w:left="20" w:right="39"/>
        <w:spacing w:after="0"/>
        <w:rPr>
          <w:sz w:val="20"/>
          <w:szCs w:val="20"/>
          <w:color w:val="auto"/>
        </w:rPr>
      </w:pPr>
      <w:r>
        <w:rPr>
          <w:rFonts w:ascii="Arial" w:cs="Arial" w:eastAsia="Arial" w:hAnsi="Arial"/>
          <w:sz w:val="12"/>
          <w:szCs w:val="12"/>
          <w:color w:val="auto"/>
        </w:rPr>
        <w:t xml:space="preserve">Tisotumab vedotin is an ADC composed of Genmab’s human monoclonal antibody directed to TF and Seagen’s ADC technology that utilizes a protease-cleavable linker that covalently attaches the microtubule-disrupting agent monomethyl auristatin E to the antibody. Genmab used technology licensed from Medarex to generate the TF antibody forming part of tisotumab vedotin. Tisotumab vedotin, marketed as Tivdak, is the first and only U.S. FDA approved ADC for the treatment of adult patients with recurrent or metastatic cervical cancer with disease progression on or after chemotherapy. Tisotumab vedotin is being co-developed by Genmab and Seagen. Under a joint commercialization agreement, Genmab is co-promoting Tivdak in the U.S. and will lead commercial operational activities in Japan. Seagen is leading commercial operational activities in the U.S. and will lead commercial operational activities in Europe and China. In these four markets there will be a 50:50 cost and profit split. In other markets, Seagen will commercialize Tivdak and Genmab will receive royalties based on a percentage of aggregate net sales ranging from the mid-teens to the mid-twenties. The companies have joint decision-making on the worldwide development and commercialization strategy for Tivdak. Please refer to </w:t>
      </w:r>
      <w:r>
        <w:rPr>
          <w:rFonts w:ascii="Arial" w:cs="Arial" w:eastAsia="Arial" w:hAnsi="Arial"/>
          <w:sz w:val="12"/>
          <w:szCs w:val="12"/>
          <w:color w:val="029C93"/>
        </w:rPr>
        <w:t xml:space="preserve">Note 5.6 </w:t>
      </w:r>
      <w:r>
        <w:rPr>
          <w:rFonts w:ascii="Arial" w:cs="Arial" w:eastAsia="Arial" w:hAnsi="Arial"/>
          <w:sz w:val="12"/>
          <w:szCs w:val="12"/>
          <w:color w:val="000000"/>
        </w:rPr>
        <w:t>of the financial statements for further details regarding the tisotumab vedotin collaboration with Seagen. The companies have a broad clinical development</w:t>
      </w:r>
      <w:r>
        <w:rPr>
          <w:rFonts w:ascii="Arial" w:cs="Arial" w:eastAsia="Arial" w:hAnsi="Arial"/>
          <w:sz w:val="12"/>
          <w:szCs w:val="12"/>
          <w:color w:val="029C93"/>
        </w:rPr>
        <w:t xml:space="preserve"> </w:t>
      </w:r>
      <w:r>
        <w:rPr>
          <w:rFonts w:ascii="Arial" w:cs="Arial" w:eastAsia="Arial" w:hAnsi="Arial"/>
          <w:sz w:val="12"/>
          <w:szCs w:val="12"/>
          <w:color w:val="000000"/>
        </w:rPr>
        <w:t>program for tisotumab vedotin, including a confirmatory Phase 3 study in recurrent or metastatic cervical cancer.</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U.S. Prescribing Information</w:t>
      </w:r>
      <w:r>
        <w:rPr>
          <w:rFonts w:ascii="Arial" w:cs="Arial" w:eastAsia="Arial" w:hAnsi="Arial"/>
          <w:sz w:val="12"/>
          <w:szCs w:val="12"/>
          <w:color w:val="auto"/>
        </w:rPr>
        <w:t xml:space="preserve"> for Tivdak for the labeled indication and safety information, including the boxed warning.</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KEY ONGOING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1043940</wp:posOffset>
            </wp:positionH>
            <wp:positionV relativeFrom="paragraph">
              <wp:posOffset>99060</wp:posOffset>
            </wp:positionV>
            <wp:extent cx="3631565" cy="650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3156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About Cervical Cancer</w:t>
      </w:r>
      <w:r>
        <w:rPr>
          <w:rFonts w:ascii="Arial" w:cs="Arial" w:eastAsia="Arial" w:hAnsi="Arial"/>
          <w:sz w:val="21"/>
          <w:szCs w:val="21"/>
          <w:b w:val="1"/>
          <w:bCs w:val="1"/>
          <w:color w:val="auto"/>
          <w:vertAlign w:val="superscript"/>
        </w:rPr>
        <w:t>1</w:t>
      </w:r>
    </w:p>
    <w:p>
      <w:pPr>
        <w:ind w:left="380" w:hanging="213"/>
        <w:spacing w:after="0"/>
        <w:tabs>
          <w:tab w:leader="none" w:pos="3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Cancer that originates in the cells lining the cervix</w:t>
      </w:r>
    </w:p>
    <w:p>
      <w:pPr>
        <w:spacing w:after="0" w:line="6" w:lineRule="exact"/>
        <w:rPr>
          <w:rFonts w:ascii="Times New Roman" w:cs="Times New Roman" w:eastAsia="Times New Roman" w:hAnsi="Times New Roman"/>
          <w:sz w:val="12"/>
          <w:szCs w:val="12"/>
          <w:color w:val="auto"/>
        </w:rPr>
      </w:pPr>
    </w:p>
    <w:p>
      <w:pPr>
        <w:ind w:left="380" w:hanging="213"/>
        <w:spacing w:after="0" w:line="189" w:lineRule="auto"/>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1"/>
          <w:szCs w:val="11"/>
          <w:color w:val="auto"/>
        </w:rPr>
        <w:t>Fourth most frequently diagnosed and fourth most deadly cancer in women worldwide</w:t>
      </w:r>
      <w:r>
        <w:rPr>
          <w:rFonts w:ascii="Arial" w:cs="Arial" w:eastAsia="Arial" w:hAnsi="Arial"/>
          <w:sz w:val="16"/>
          <w:szCs w:val="16"/>
          <w:color w:val="auto"/>
          <w:vertAlign w:val="superscript"/>
        </w:rPr>
        <w:t>2</w:t>
      </w:r>
    </w:p>
    <w:p>
      <w:pPr>
        <w:ind w:left="380" w:hanging="213"/>
        <w:spacing w:after="0" w:line="189" w:lineRule="auto"/>
        <w:tabs>
          <w:tab w:leader="none" w:pos="380" w:val="left"/>
        </w:tabs>
        <w:numPr>
          <w:ilvl w:val="0"/>
          <w:numId w:val="20"/>
        </w:numPr>
        <w:rPr>
          <w:rFonts w:ascii="Times New Roman" w:cs="Times New Roman" w:eastAsia="Times New Roman" w:hAnsi="Times New Roman"/>
          <w:sz w:val="11"/>
          <w:szCs w:val="11"/>
          <w:color w:val="auto"/>
        </w:rPr>
      </w:pPr>
      <w:r>
        <w:rPr>
          <w:rFonts w:ascii="Arial" w:cs="Arial" w:eastAsia="Arial" w:hAnsi="Arial"/>
          <w:sz w:val="11"/>
          <w:szCs w:val="11"/>
          <w:color w:val="auto"/>
        </w:rPr>
        <w:t>In developing regions, ranked second in incidence and mortality in women</w:t>
      </w:r>
      <w:r>
        <w:rPr>
          <w:rFonts w:ascii="Arial" w:cs="Arial" w:eastAsia="Arial" w:hAnsi="Arial"/>
          <w:sz w:val="16"/>
          <w:szCs w:val="16"/>
          <w:color w:val="auto"/>
          <w:vertAlign w:val="superscript"/>
        </w:rPr>
        <w:t>2</w:t>
      </w:r>
    </w:p>
    <w:p>
      <w:pPr>
        <w:ind w:left="400" w:hanging="214"/>
        <w:spacing w:after="0" w:line="189" w:lineRule="auto"/>
        <w:tabs>
          <w:tab w:leader="none" w:pos="400" w:val="left"/>
        </w:tabs>
        <w:numPr>
          <w:ilvl w:val="1"/>
          <w:numId w:val="20"/>
        </w:numPr>
        <w:rPr>
          <w:rFonts w:ascii="Times New Roman" w:cs="Times New Roman" w:eastAsia="Times New Roman" w:hAnsi="Times New Roman"/>
          <w:sz w:val="11"/>
          <w:szCs w:val="11"/>
          <w:color w:val="auto"/>
        </w:rPr>
      </w:pPr>
      <w:r>
        <w:rPr>
          <w:rFonts w:ascii="Arial" w:cs="Arial" w:eastAsia="Arial" w:hAnsi="Arial"/>
          <w:sz w:val="11"/>
          <w:szCs w:val="11"/>
          <w:color w:val="auto"/>
        </w:rPr>
        <w:t>In 2022, an estimated 14,100 new cases of invasive cervical cancer will be diagnosed, and 4,280 women will die from the disease in the U.S.</w:t>
      </w:r>
      <w:r>
        <w:rPr>
          <w:rFonts w:ascii="Arial" w:cs="Arial" w:eastAsia="Arial" w:hAnsi="Arial"/>
          <w:sz w:val="16"/>
          <w:szCs w:val="16"/>
          <w:color w:val="auto"/>
          <w:vertAlign w:val="superscript"/>
        </w:rPr>
        <w:t>3</w:t>
      </w:r>
    </w:p>
    <w:p>
      <w:pPr>
        <w:ind w:left="400" w:hanging="214"/>
        <w:spacing w:after="0" w:line="189" w:lineRule="auto"/>
        <w:tabs>
          <w:tab w:leader="none" w:pos="400" w:val="left"/>
        </w:tabs>
        <w:numPr>
          <w:ilvl w:val="1"/>
          <w:numId w:val="20"/>
        </w:numPr>
        <w:rPr>
          <w:rFonts w:ascii="Times New Roman" w:cs="Times New Roman" w:eastAsia="Times New Roman" w:hAnsi="Times New Roman"/>
          <w:sz w:val="11"/>
          <w:szCs w:val="11"/>
          <w:color w:val="auto"/>
        </w:rPr>
      </w:pPr>
      <w:r>
        <w:rPr>
          <w:rFonts w:ascii="Arial" w:cs="Arial" w:eastAsia="Arial" w:hAnsi="Arial"/>
          <w:sz w:val="11"/>
          <w:szCs w:val="11"/>
          <w:color w:val="auto"/>
        </w:rPr>
        <w:t>Up to 16% of women initially present with metastatic cervical cancer</w:t>
      </w:r>
      <w:r>
        <w:rPr>
          <w:rFonts w:ascii="Arial" w:cs="Arial" w:eastAsia="Arial" w:hAnsi="Arial"/>
          <w:sz w:val="16"/>
          <w:szCs w:val="16"/>
          <w:color w:val="auto"/>
          <w:vertAlign w:val="superscript"/>
        </w:rPr>
        <w:t>3</w:t>
      </w:r>
    </w:p>
    <w:p>
      <w:pPr>
        <w:ind w:left="400" w:right="359" w:hanging="214"/>
        <w:spacing w:after="0" w:line="256" w:lineRule="auto"/>
        <w:tabs>
          <w:tab w:leader="none" w:pos="400" w:val="left"/>
        </w:tabs>
        <w:numPr>
          <w:ilvl w:val="1"/>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Among women who present with earlier stage disease, 15%-61% will go on to develop metastatic cervical cancer, most commonly within the first two years following completion of therapy</w:t>
      </w:r>
      <w:r>
        <w:rPr>
          <w:rFonts w:ascii="Arial" w:cs="Arial" w:eastAsia="Arial" w:hAnsi="Arial"/>
          <w:sz w:val="18"/>
          <w:szCs w:val="18"/>
          <w:color w:val="auto"/>
          <w:vertAlign w:val="superscript"/>
        </w:rPr>
        <w:t>4</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00" w:hanging="214"/>
        <w:spacing w:after="0"/>
        <w:tabs>
          <w:tab w:leader="none" w:pos="400"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5-year survival rate for women in the U.S. and Japan with recurrent or metastatic cervical cancer is only 17.1% and 19.5%, respectively, highlighting an urgent</w:t>
      </w:r>
    </w:p>
    <w:p>
      <w:pPr>
        <w:ind w:left="400"/>
        <w:spacing w:after="0" w:line="187" w:lineRule="auto"/>
        <w:rPr>
          <w:sz w:val="20"/>
          <w:szCs w:val="20"/>
          <w:color w:val="auto"/>
        </w:rPr>
      </w:pPr>
      <w:r>
        <w:rPr>
          <w:rFonts w:ascii="Arial" w:cs="Arial" w:eastAsia="Arial" w:hAnsi="Arial"/>
          <w:sz w:val="10"/>
          <w:szCs w:val="10"/>
          <w:color w:val="auto"/>
        </w:rPr>
        <w:t>unmet need for effective treatment</w:t>
      </w:r>
      <w:r>
        <w:rPr>
          <w:rFonts w:ascii="Arial" w:cs="Arial" w:eastAsia="Arial" w:hAnsi="Arial"/>
          <w:sz w:val="15"/>
          <w:szCs w:val="15"/>
          <w:color w:val="auto"/>
          <w:vertAlign w:val="superscript"/>
        </w:rPr>
        <w:t>3</w:t>
      </w:r>
    </w:p>
    <w:p>
      <w:pPr>
        <w:ind w:left="80" w:hanging="58"/>
        <w:spacing w:after="0" w:line="189" w:lineRule="auto"/>
        <w:tabs>
          <w:tab w:leader="none" w:pos="80" w:val="left"/>
        </w:tabs>
        <w:numPr>
          <w:ilvl w:val="0"/>
          <w:numId w:val="22"/>
        </w:numPr>
        <w:rPr>
          <w:rFonts w:ascii="Arial" w:cs="Arial" w:eastAsia="Arial" w:hAnsi="Arial"/>
          <w:sz w:val="12"/>
          <w:szCs w:val="12"/>
          <w:color w:val="auto"/>
          <w:vertAlign w:val="superscript"/>
        </w:rPr>
      </w:pPr>
      <w:r>
        <w:rPr>
          <w:rFonts w:ascii="Arial" w:cs="Arial" w:eastAsia="Arial" w:hAnsi="Arial"/>
          <w:sz w:val="8"/>
          <w:szCs w:val="8"/>
          <w:color w:val="auto"/>
        </w:rPr>
        <w:t>General statistics include all stages of cervical cancer.</w:t>
      </w:r>
    </w:p>
    <w:p>
      <w:pPr>
        <w:spacing w:after="0" w:line="7" w:lineRule="exact"/>
        <w:rPr>
          <w:sz w:val="20"/>
          <w:szCs w:val="20"/>
          <w:color w:val="auto"/>
        </w:rPr>
      </w:pPr>
    </w:p>
    <w:p>
      <w:pPr>
        <w:ind w:left="20" w:right="339" w:firstLine="2"/>
        <w:spacing w:after="0" w:line="188" w:lineRule="auto"/>
        <w:tabs>
          <w:tab w:leader="none" w:pos="80" w:val="left"/>
        </w:tabs>
        <w:numPr>
          <w:ilvl w:val="0"/>
          <w:numId w:val="23"/>
        </w:numPr>
        <w:rPr>
          <w:rFonts w:ascii="Arial" w:cs="Arial" w:eastAsia="Arial" w:hAnsi="Arial"/>
          <w:sz w:val="15"/>
          <w:szCs w:val="15"/>
          <w:color w:val="auto"/>
          <w:vertAlign w:val="superscript"/>
        </w:rPr>
      </w:pPr>
      <w:r>
        <w:rPr>
          <w:rFonts w:ascii="Arial" w:cs="Arial" w:eastAsia="Arial" w:hAnsi="Arial"/>
          <w:sz w:val="10"/>
          <w:szCs w:val="10"/>
          <w:color w:val="auto"/>
        </w:rPr>
        <w:t>Bray F, Ferlay J, Soerjomataram I, Siegel RL, Torre LA, Jemal A. Global cancer statistics 2018: GLOBOCAN estimates of incidence and mortality worldwide for 36 cancers in 185 countries. CA: a cancer journal for clinicians. 2018;68(6):394-424.</w:t>
      </w:r>
    </w:p>
    <w:p>
      <w:pPr>
        <w:ind w:left="20"/>
        <w:spacing w:after="0" w:line="189" w:lineRule="auto"/>
        <w:rPr>
          <w:rFonts w:ascii="Arial" w:cs="Arial" w:eastAsia="Arial" w:hAnsi="Arial"/>
          <w:sz w:val="15"/>
          <w:szCs w:val="15"/>
          <w:color w:val="auto"/>
          <w:vertAlign w:val="superscript"/>
        </w:rPr>
      </w:pPr>
      <w:r>
        <w:rPr>
          <w:rFonts w:ascii="Arial" w:cs="Arial" w:eastAsia="Arial" w:hAnsi="Arial"/>
          <w:sz w:val="12"/>
          <w:szCs w:val="12"/>
          <w:color w:val="auto"/>
          <w:vertAlign w:val="superscript"/>
        </w:rPr>
        <w:t>3</w:t>
      </w:r>
      <w:r>
        <w:rPr>
          <w:rFonts w:ascii="Arial" w:cs="Arial" w:eastAsia="Arial" w:hAnsi="Arial"/>
          <w:sz w:val="8"/>
          <w:szCs w:val="8"/>
          <w:color w:val="auto"/>
        </w:rPr>
        <w:t xml:space="preserve"> Institute NC. SEER Cancer Stat Facts: Cervical Cancer. 2022. </w:t>
      </w:r>
      <w:r>
        <w:rPr>
          <w:rFonts w:ascii="Arial" w:cs="Arial" w:eastAsia="Arial" w:hAnsi="Arial"/>
          <w:sz w:val="8"/>
          <w:szCs w:val="8"/>
          <w:color w:val="029C93"/>
        </w:rPr>
        <w:t>https://seer.cancer.gov/statfacts/html/cervix.html</w:t>
      </w:r>
      <w:r>
        <w:rPr>
          <w:rFonts w:ascii="Arial" w:cs="Arial" w:eastAsia="Arial" w:hAnsi="Arial"/>
          <w:sz w:val="8"/>
          <w:szCs w:val="8"/>
          <w:color w:val="auto"/>
        </w:rPr>
        <w:t>. Accessed November 21, 2022.</w:t>
      </w:r>
    </w:p>
    <w:p>
      <w:pPr>
        <w:ind w:left="20"/>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4</w:t>
      </w:r>
      <w:r>
        <w:rPr>
          <w:rFonts w:ascii="Arial" w:cs="Arial" w:eastAsia="Arial" w:hAnsi="Arial"/>
          <w:sz w:val="10"/>
          <w:szCs w:val="10"/>
          <w:color w:val="auto"/>
        </w:rPr>
        <w:t xml:space="preserve"> Pfaendler KS, Tewari KS. Changing paradigms in the systemic treatment of advanced cervical cancer. Am J Obstet Gynecol. 2016;214(1):22-30.</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UPDATES FROM FIRST QUARTER TO THIRD QUARTER</w:t>
      </w:r>
    </w:p>
    <w:p>
      <w:pPr>
        <w:spacing w:after="0" w:line="10" w:lineRule="exact"/>
        <w:rPr>
          <w:sz w:val="20"/>
          <w:szCs w:val="20"/>
          <w:color w:val="auto"/>
        </w:rPr>
      </w:pPr>
    </w:p>
    <w:p>
      <w:pPr>
        <w:ind w:left="480" w:right="259" w:hanging="222"/>
        <w:spacing w:after="0" w:line="236" w:lineRule="auto"/>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June: Genmab and Seagen presented multiple tisotumab vedotin abstracts at the American Society of Clinical Oncology (ASCO) Annual Meeting, including interim data from the Phase 1b/2 innovaTV 205 (NCT03786081) study of tisotumab vedotin, which was presented during an oral session. The ongoing innovaTV 205 study is evaluating tisotumab vedotin as monotherapy and in combination with other agents in recurrent or metastatic cervical cancer.</w:t>
      </w:r>
    </w:p>
    <w:p>
      <w:pPr>
        <w:ind w:left="480" w:right="79" w:hanging="222"/>
        <w:spacing w:after="0" w:line="236" w:lineRule="auto"/>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March: Genmab and Seagen presented interim data from two cohorts of the Phase 1b/2 innovaTV 205 study of tisotumab vedotin as a virtual oral presentation at the Society of Gynecologic Oncology Annual Meeting on Women’s Cancer.</w:t>
      </w:r>
    </w:p>
    <w:p>
      <w:pPr>
        <w:ind w:left="480" w:right="79" w:hanging="222"/>
        <w:spacing w:after="0"/>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February: Genmab and Seagen presented preliminary data from the Phase 2 innovaTV 207 (NCT03485209) study of tisotumab vedotin as part of a plenary session at the American Society for Radiation Oncology (ASTRO) 2022 Multidisciplinary Head and Neck Cancers Symposium. The ongoing innovaTV 207 study is evaluating the activity, safety and tolerability of tisotumab vedotin in selected solid tumors with high TF expression. The data presented at ASTRO was from the squamous cell carcinoma of the head and neck (SCCHN) cohort of the study, which is evaluating tisotumab vedotin as monotherapy in patients with SCCHN who experienced disease progression on or after a first-line platinum-containing regimen and a checkpoint inhibitor.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Epcoritamab (DuoBody-CD3xCD20)</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Potential Best-in-Class Investigational Medicine</w:t>
      </w:r>
    </w:p>
    <w:p>
      <w:pPr>
        <w:spacing w:after="0" w:line="127" w:lineRule="exact"/>
        <w:rPr>
          <w:sz w:val="20"/>
          <w:szCs w:val="20"/>
          <w:color w:val="auto"/>
        </w:rPr>
      </w:pPr>
    </w:p>
    <w:p>
      <w:pPr>
        <w:ind w:left="480" w:hanging="222"/>
        <w:spacing w:after="0"/>
        <w:tabs>
          <w:tab w:leader="none" w:pos="480" w:val="left"/>
        </w:tabs>
        <w:numPr>
          <w:ilvl w:val="0"/>
          <w:numId w:val="2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Bispecific antibody-based investigational medicine created with Genmab’s DuoBody technology</w:t>
      </w:r>
    </w:p>
    <w:p>
      <w:pPr>
        <w:spacing w:after="0" w:line="18" w:lineRule="exact"/>
        <w:rPr>
          <w:rFonts w:ascii="Times New Roman" w:cs="Times New Roman" w:eastAsia="Times New Roman" w:hAnsi="Times New Roman"/>
          <w:sz w:val="12"/>
          <w:szCs w:val="12"/>
          <w:color w:val="029C93"/>
        </w:rPr>
      </w:pPr>
    </w:p>
    <w:p>
      <w:pPr>
        <w:ind w:left="480" w:right="159" w:hanging="222"/>
        <w:spacing w:after="0" w:line="236" w:lineRule="auto"/>
        <w:tabs>
          <w:tab w:leader="none" w:pos="480" w:val="left"/>
        </w:tabs>
        <w:numPr>
          <w:ilvl w:val="0"/>
          <w:numId w:val="2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Multiple ongoing clinical studies across different settings and histologies, including Phase 3 studies in DLBCL (EPCORE DLBCL-1, NCT04628494) and FL (EPCORE FL-1, NCT05409066) with more studies in planning</w:t>
      </w:r>
    </w:p>
    <w:p>
      <w:pPr>
        <w:jc w:val="both"/>
        <w:ind w:left="480" w:right="79" w:hanging="222"/>
        <w:spacing w:after="0" w:line="236" w:lineRule="auto"/>
        <w:tabs>
          <w:tab w:leader="none" w:pos="480" w:val="left"/>
        </w:tabs>
        <w:numPr>
          <w:ilvl w:val="0"/>
          <w:numId w:val="2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In the second half of 2022, Genmab submitted a BLA to the U.S. FDA and a Japan New Drug Application (JNDA) to the Ministry of Health, Labor and Welfare (MHLW) in Japan for SC epcoritamab for the treatment of patients with relapsed/refractory LBCL. AbbVie submitted an MAA to the EMA for SC epcoritamab for the treatment of patients with relapsed/refractory DLBCL. The BLA was subsequently accepted for Priority Review by the U.S.</w:t>
      </w:r>
    </w:p>
    <w:p>
      <w:pPr>
        <w:ind w:left="480"/>
        <w:spacing w:after="0" w:line="236" w:lineRule="auto"/>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FDA and the MAA was validated by the EMA. The U.S. FDA set a PDUFA date of May 21, 2023</w:t>
      </w:r>
    </w:p>
    <w:p>
      <w:pPr>
        <w:ind w:left="480" w:right="399" w:hanging="222"/>
        <w:spacing w:after="0" w:line="236" w:lineRule="auto"/>
        <w:tabs>
          <w:tab w:leader="none" w:pos="480" w:val="left"/>
        </w:tabs>
        <w:numPr>
          <w:ilvl w:val="0"/>
          <w:numId w:val="2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The regulatory submissions were supported by results from the LBCL cohort of the pivotal EPCORE NHL-1 (NCT03625037) trial evaluating the safety and preliminary efficacy of epcoritamab in patients with relapsed, progressive or refractory CD20+ mature B-NHL, including DLBCL</w:t>
      </w:r>
    </w:p>
    <w:p>
      <w:pPr>
        <w:ind w:left="480" w:hanging="222"/>
        <w:spacing w:after="0"/>
        <w:tabs>
          <w:tab w:leader="none" w:pos="480" w:val="left"/>
        </w:tabs>
        <w:numPr>
          <w:ilvl w:val="0"/>
          <w:numId w:val="2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in collaboration with AbbVie</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6" w:name="page27"/>
    <w:bookmarkEnd w:id="2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159"/>
        <w:spacing w:after="0" w:line="242" w:lineRule="auto"/>
        <w:rPr>
          <w:sz w:val="20"/>
          <w:szCs w:val="20"/>
          <w:color w:val="auto"/>
        </w:rPr>
      </w:pPr>
      <w:r>
        <w:rPr>
          <w:rFonts w:ascii="Arial" w:cs="Arial" w:eastAsia="Arial" w:hAnsi="Arial"/>
          <w:sz w:val="12"/>
          <w:szCs w:val="12"/>
          <w:color w:val="auto"/>
        </w:rPr>
        <w:t xml:space="preserve">Epcoritamab is a proprietary bispecific antibody created using Genmab’s DuoBody technology platform. Epcoritamab targets CD3, which is expressed on T-cells, and CD20, a clinically validated target on malignant B-cells. Genmab used technology licensed from Medarex to generate the CD20 antibody forming part of epcoritamab. In 2020, Genmab entered into a broad oncology collaboration agreement with AbbVie to jointly develop and commercialize epcoritamab. The companies will share commercial responsibilities in the U.S. and Japan, with AbbVie responsible for further global commercialization. Genmab will book sales in the U.S. and Japan and receive tiered royalties on remaining global sales outside of these territories.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epcoritamab collaboration with AbbVie. The companies have a broad clinical development program for epcoritamab, including two Phase 3 studies ongoing, and additional studies in planning.</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FOURTH QUARTER UPDATES</w:t>
      </w:r>
    </w:p>
    <w:p>
      <w:pPr>
        <w:spacing w:after="0" w:line="7" w:lineRule="exact"/>
        <w:rPr>
          <w:sz w:val="20"/>
          <w:szCs w:val="20"/>
          <w:color w:val="auto"/>
        </w:rPr>
      </w:pPr>
    </w:p>
    <w:p>
      <w:pPr>
        <w:ind w:left="480" w:hanging="222"/>
        <w:spacing w:after="0"/>
        <w:tabs>
          <w:tab w:leader="none" w:pos="480" w:val="left"/>
        </w:tabs>
        <w:numPr>
          <w:ilvl w:val="0"/>
          <w:numId w:val="26"/>
        </w:numPr>
        <w:rPr>
          <w:rFonts w:ascii="Times New Roman" w:cs="Times New Roman" w:eastAsia="Times New Roman" w:hAnsi="Times New Roman"/>
          <w:sz w:val="12"/>
          <w:szCs w:val="12"/>
          <w:color w:val="auto"/>
        </w:rPr>
      </w:pPr>
      <w:r>
        <w:rPr>
          <w:rFonts w:ascii="Arial" w:cs="Arial" w:eastAsia="Arial" w:hAnsi="Arial"/>
          <w:sz w:val="12"/>
          <w:szCs w:val="12"/>
          <w:color w:val="auto"/>
        </w:rPr>
        <w:t xml:space="preserve">December: Publication in the </w:t>
      </w:r>
      <w:r>
        <w:rPr>
          <w:rFonts w:ascii="Arial" w:cs="Arial" w:eastAsia="Arial" w:hAnsi="Arial"/>
          <w:sz w:val="12"/>
          <w:szCs w:val="12"/>
          <w:i w:val="1"/>
          <w:iCs w:val="1"/>
          <w:color w:val="auto"/>
        </w:rPr>
        <w:t>Journal of Clinical Oncology</w:t>
      </w:r>
      <w:r>
        <w:rPr>
          <w:rFonts w:ascii="Arial" w:cs="Arial" w:eastAsia="Arial" w:hAnsi="Arial"/>
          <w:sz w:val="12"/>
          <w:szCs w:val="12"/>
          <w:color w:val="auto"/>
        </w:rPr>
        <w:t>, “Epcoritamab, a Novel, Subcutaneous CD3xCD20 Bispecific T-Cell–Engaging Antibody, in Relapsed</w:t>
      </w:r>
    </w:p>
    <w:p>
      <w:pPr>
        <w:ind w:left="480"/>
        <w:spacing w:after="0" w:line="236" w:lineRule="auto"/>
        <w:rPr>
          <w:rFonts w:ascii="Times New Roman" w:cs="Times New Roman" w:eastAsia="Times New Roman" w:hAnsi="Times New Roman"/>
          <w:sz w:val="12"/>
          <w:szCs w:val="12"/>
          <w:color w:val="auto"/>
        </w:rPr>
      </w:pPr>
      <w:r>
        <w:rPr>
          <w:rFonts w:ascii="Arial" w:cs="Arial" w:eastAsia="Arial" w:hAnsi="Arial"/>
          <w:sz w:val="12"/>
          <w:szCs w:val="12"/>
          <w:color w:val="auto"/>
        </w:rPr>
        <w:t>or Refractory Large B-Cell Lymphoma: Dose Expansion in a Phase I/II Trial.”</w:t>
      </w:r>
    </w:p>
    <w:p>
      <w:pPr>
        <w:ind w:left="480" w:right="139" w:hanging="222"/>
        <w:spacing w:after="0" w:line="236" w:lineRule="auto"/>
        <w:tabs>
          <w:tab w:leader="none" w:pos="480" w:val="left"/>
        </w:tabs>
        <w:numPr>
          <w:ilvl w:val="0"/>
          <w:numId w:val="26"/>
        </w:numPr>
        <w:rPr>
          <w:rFonts w:ascii="Times New Roman" w:cs="Times New Roman" w:eastAsia="Times New Roman" w:hAnsi="Times New Roman"/>
          <w:sz w:val="12"/>
          <w:szCs w:val="12"/>
          <w:color w:val="auto"/>
        </w:rPr>
      </w:pPr>
      <w:r>
        <w:rPr>
          <w:rFonts w:ascii="Arial" w:cs="Arial" w:eastAsia="Arial" w:hAnsi="Arial"/>
          <w:sz w:val="12"/>
          <w:szCs w:val="12"/>
          <w:color w:val="auto"/>
        </w:rPr>
        <w:t>December: Genmab submitted to the MHLW a JNDA for SC epcoritamab for the treatment of patients with relapsed/refractory LBCL after two or more lines of systemic therapy.</w:t>
      </w:r>
    </w:p>
    <w:p>
      <w:pPr>
        <w:ind w:left="480" w:hanging="222"/>
        <w:spacing w:after="0" w:line="189" w:lineRule="auto"/>
        <w:tabs>
          <w:tab w:leader="none" w:pos="480" w:val="left"/>
        </w:tabs>
        <w:numPr>
          <w:ilvl w:val="0"/>
          <w:numId w:val="26"/>
        </w:numPr>
        <w:rPr>
          <w:rFonts w:ascii="Times New Roman" w:cs="Times New Roman" w:eastAsia="Times New Roman" w:hAnsi="Times New Roman"/>
          <w:sz w:val="11"/>
          <w:szCs w:val="11"/>
          <w:color w:val="auto"/>
        </w:rPr>
      </w:pPr>
      <w:r>
        <w:rPr>
          <w:rFonts w:ascii="Arial" w:cs="Arial" w:eastAsia="Arial" w:hAnsi="Arial"/>
          <w:sz w:val="11"/>
          <w:szCs w:val="11"/>
          <w:color w:val="auto"/>
        </w:rPr>
        <w:t>December: Multiple presentations at the 64</w:t>
      </w:r>
      <w:r>
        <w:rPr>
          <w:rFonts w:ascii="Arial" w:cs="Arial" w:eastAsia="Arial" w:hAnsi="Arial"/>
          <w:sz w:val="16"/>
          <w:szCs w:val="16"/>
          <w:color w:val="auto"/>
          <w:vertAlign w:val="superscript"/>
        </w:rPr>
        <w:t>th</w:t>
      </w:r>
      <w:r>
        <w:rPr>
          <w:rFonts w:ascii="Arial" w:cs="Arial" w:eastAsia="Arial" w:hAnsi="Arial"/>
          <w:sz w:val="11"/>
          <w:szCs w:val="11"/>
          <w:color w:val="auto"/>
        </w:rPr>
        <w:t xml:space="preserve"> American Society of Hematology (ASH) Annual Meeting, including four oral presentations.</w:t>
      </w:r>
    </w:p>
    <w:p>
      <w:pPr>
        <w:ind w:left="480" w:right="219" w:hanging="222"/>
        <w:spacing w:after="0" w:line="236" w:lineRule="auto"/>
        <w:tabs>
          <w:tab w:leader="none" w:pos="480" w:val="left"/>
        </w:tabs>
        <w:numPr>
          <w:ilvl w:val="0"/>
          <w:numId w:val="26"/>
        </w:numPr>
        <w:rPr>
          <w:rFonts w:ascii="Times New Roman" w:cs="Times New Roman" w:eastAsia="Times New Roman" w:hAnsi="Times New Roman"/>
          <w:sz w:val="12"/>
          <w:szCs w:val="12"/>
          <w:color w:val="auto"/>
        </w:rPr>
      </w:pPr>
      <w:r>
        <w:rPr>
          <w:rFonts w:ascii="Arial" w:cs="Arial" w:eastAsia="Arial" w:hAnsi="Arial"/>
          <w:sz w:val="12"/>
          <w:szCs w:val="12"/>
          <w:color w:val="auto"/>
        </w:rPr>
        <w:t>November: The U.S. FDA accepted the BLA for SC epcoritamab for Priority Review. The U.S. FDA set a PDUFA date of May 21, 2023. Based on Genmab’s agreement with AbbVie this event triggered a milestone payment of USD 80 million to Genmab.</w:t>
      </w:r>
    </w:p>
    <w:p>
      <w:pPr>
        <w:ind w:left="480" w:right="339" w:hanging="222"/>
        <w:spacing w:after="0" w:line="251" w:lineRule="auto"/>
        <w:tabs>
          <w:tab w:leader="none" w:pos="480" w:val="left"/>
        </w:tabs>
        <w:numPr>
          <w:ilvl w:val="0"/>
          <w:numId w:val="26"/>
        </w:numPr>
        <w:rPr>
          <w:rFonts w:ascii="Times New Roman" w:cs="Times New Roman" w:eastAsia="Times New Roman" w:hAnsi="Times New Roman"/>
          <w:sz w:val="12"/>
          <w:szCs w:val="12"/>
          <w:color w:val="auto"/>
        </w:rPr>
      </w:pPr>
      <w:r>
        <w:rPr>
          <w:rFonts w:ascii="Arial" w:cs="Arial" w:eastAsia="Arial" w:hAnsi="Arial"/>
          <w:sz w:val="12"/>
          <w:szCs w:val="12"/>
          <w:color w:val="auto"/>
        </w:rPr>
        <w:t>October: AbbVie submitted an MAA to the EMA for SC epcoritamab for the treatment of patients with relapsed/refractory DLBCL after two or more lines of systemic therapy. This was subsequently validated by the EMA, an event that triggered a milestone payment of USD 60 million to Genmab.</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UPDATES FROM FIRST QUARTER TO THIRD QUARTER</w:t>
      </w:r>
    </w:p>
    <w:p>
      <w:pPr>
        <w:spacing w:after="0" w:line="10" w:lineRule="exact"/>
        <w:rPr>
          <w:sz w:val="20"/>
          <w:szCs w:val="20"/>
          <w:color w:val="auto"/>
        </w:rPr>
      </w:pPr>
    </w:p>
    <w:p>
      <w:pPr>
        <w:ind w:left="480" w:right="59" w:hanging="222"/>
        <w:spacing w:after="0" w:line="236" w:lineRule="auto"/>
        <w:tabs>
          <w:tab w:leader="none" w:pos="48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September: Genmab submitted a BLA to the U.S. FDA for SC epcoritamab for the treatment of patients with relapsed/refractory LBCL after two or more lines of systemic therapy.</w:t>
      </w:r>
    </w:p>
    <w:p>
      <w:pPr>
        <w:ind w:left="480" w:right="319" w:hanging="222"/>
        <w:spacing w:after="0" w:line="236" w:lineRule="auto"/>
        <w:tabs>
          <w:tab w:leader="none" w:pos="48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June: Genmab and AbbVie presented multiple epcoritamab abstracts at both the ASCO Annual Meeting and the 27th Annual Meeting of the European Hematology Association (EHA). Data from the first cohort of the EPCORE NHL-1 trial of epcoritamab in relapsed/refractory LBCL was presented as a late-breaking oral presentation during the Presidential Symposium at EHA.</w:t>
      </w:r>
    </w:p>
    <w:p>
      <w:pPr>
        <w:ind w:left="480" w:hanging="222"/>
        <w:spacing w:after="0"/>
        <w:tabs>
          <w:tab w:leader="none" w:pos="48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April: Genmab and AbbVie announced topline results from the first cohort of the Phase 1/2 EPCORE NHL-1 trial of epcoritamab in relapsed/refractory LBCL.</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March: The U.S. FDA granted orphan-drug designation to epcoritamab for the treatment of 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KEY ONGOING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99060</wp:posOffset>
            </wp:positionV>
            <wp:extent cx="3723640" cy="1709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23640" cy="170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About Diffuse Large B-cell Lymphoma</w:t>
      </w:r>
    </w:p>
    <w:p>
      <w:pPr>
        <w:spacing w:after="0" w:line="82" w:lineRule="exact"/>
        <w:rPr>
          <w:sz w:val="20"/>
          <w:szCs w:val="20"/>
          <w:color w:val="auto"/>
        </w:rPr>
      </w:pPr>
    </w:p>
    <w:p>
      <w:pPr>
        <w:ind w:left="400" w:hanging="214"/>
        <w:spacing w:after="0"/>
        <w:tabs>
          <w:tab w:leader="none" w:pos="400" w:val="left"/>
        </w:tabs>
        <w:numPr>
          <w:ilvl w:val="0"/>
          <w:numId w:val="28"/>
        </w:numPr>
        <w:rPr>
          <w:rFonts w:ascii="Times New Roman" w:cs="Times New Roman" w:eastAsia="Times New Roman" w:hAnsi="Times New Roman"/>
          <w:sz w:val="12"/>
          <w:szCs w:val="12"/>
          <w:color w:val="auto"/>
        </w:rPr>
      </w:pPr>
      <w:r>
        <w:rPr>
          <w:rFonts w:ascii="Arial" w:cs="Arial" w:eastAsia="Arial" w:hAnsi="Arial"/>
          <w:sz w:val="12"/>
          <w:szCs w:val="12"/>
          <w:color w:val="auto"/>
        </w:rPr>
        <w:t>DLBCL is an aggressive type of NHL that develops from B cells</w:t>
      </w:r>
      <w:r>
        <w:rPr>
          <w:rFonts w:ascii="Arial" w:cs="Arial" w:eastAsia="Arial" w:hAnsi="Arial"/>
          <w:sz w:val="18"/>
          <w:szCs w:val="18"/>
          <w:color w:val="auto"/>
          <w:vertAlign w:val="superscript"/>
        </w:rPr>
        <w:t>1</w:t>
      </w:r>
    </w:p>
    <w:p>
      <w:pPr>
        <w:ind w:left="400" w:hanging="214"/>
        <w:spacing w:after="0" w:line="189" w:lineRule="auto"/>
        <w:tabs>
          <w:tab w:leader="none" w:pos="400" w:val="left"/>
        </w:tabs>
        <w:numPr>
          <w:ilvl w:val="0"/>
          <w:numId w:val="28"/>
        </w:numPr>
        <w:rPr>
          <w:rFonts w:ascii="Times New Roman" w:cs="Times New Roman" w:eastAsia="Times New Roman" w:hAnsi="Times New Roman"/>
          <w:sz w:val="11"/>
          <w:szCs w:val="11"/>
          <w:color w:val="auto"/>
        </w:rPr>
      </w:pPr>
      <w:r>
        <w:rPr>
          <w:rFonts w:ascii="Arial" w:cs="Arial" w:eastAsia="Arial" w:hAnsi="Arial"/>
          <w:sz w:val="11"/>
          <w:szCs w:val="11"/>
          <w:color w:val="auto"/>
        </w:rPr>
        <w:t>DLBCL is the most common type of NHL in the U.S. and worldwide</w:t>
      </w:r>
      <w:r>
        <w:rPr>
          <w:rFonts w:ascii="Arial" w:cs="Arial" w:eastAsia="Arial" w:hAnsi="Arial"/>
          <w:sz w:val="16"/>
          <w:szCs w:val="16"/>
          <w:color w:val="auto"/>
          <w:vertAlign w:val="superscript"/>
        </w:rPr>
        <w:t>1</w:t>
      </w:r>
    </w:p>
    <w:p>
      <w:pPr>
        <w:ind w:left="400" w:hanging="214"/>
        <w:spacing w:after="0" w:line="189" w:lineRule="auto"/>
        <w:tabs>
          <w:tab w:leader="none" w:pos="400" w:val="left"/>
        </w:tabs>
        <w:numPr>
          <w:ilvl w:val="0"/>
          <w:numId w:val="28"/>
        </w:numPr>
        <w:rPr>
          <w:rFonts w:ascii="Times New Roman" w:cs="Times New Roman" w:eastAsia="Times New Roman" w:hAnsi="Times New Roman"/>
          <w:sz w:val="11"/>
          <w:szCs w:val="11"/>
          <w:color w:val="auto"/>
        </w:rPr>
      </w:pPr>
      <w:r>
        <w:rPr>
          <w:rFonts w:ascii="Arial" w:cs="Arial" w:eastAsia="Arial" w:hAnsi="Arial"/>
          <w:sz w:val="11"/>
          <w:szCs w:val="11"/>
          <w:color w:val="auto"/>
        </w:rPr>
        <w:t>64.6% 5-year survival rate</w:t>
      </w:r>
      <w:r>
        <w:rPr>
          <w:rFonts w:ascii="Arial" w:cs="Arial" w:eastAsia="Arial" w:hAnsi="Arial"/>
          <w:sz w:val="16"/>
          <w:szCs w:val="16"/>
          <w:color w:val="auto"/>
          <w:vertAlign w:val="superscript"/>
        </w:rPr>
        <w:t>2</w:t>
      </w:r>
    </w:p>
    <w:p>
      <w:pPr>
        <w:ind w:left="400" w:hanging="214"/>
        <w:spacing w:after="0" w:line="189" w:lineRule="auto"/>
        <w:tabs>
          <w:tab w:leader="none" w:pos="400" w:val="left"/>
        </w:tabs>
        <w:numPr>
          <w:ilvl w:val="0"/>
          <w:numId w:val="28"/>
        </w:numPr>
        <w:rPr>
          <w:rFonts w:ascii="Times New Roman" w:cs="Times New Roman" w:eastAsia="Times New Roman" w:hAnsi="Times New Roman"/>
          <w:sz w:val="11"/>
          <w:szCs w:val="11"/>
          <w:color w:val="auto"/>
        </w:rPr>
      </w:pPr>
      <w:r>
        <w:rPr>
          <w:rFonts w:ascii="Arial" w:cs="Arial" w:eastAsia="Arial" w:hAnsi="Arial"/>
          <w:sz w:val="11"/>
          <w:szCs w:val="11"/>
          <w:color w:val="auto"/>
        </w:rPr>
        <w:t>Prognosis for relapsed or refractory DLBCL patients is poor, especially for those with high-risk factors</w:t>
      </w:r>
      <w:r>
        <w:rPr>
          <w:rFonts w:ascii="Arial" w:cs="Arial" w:eastAsia="Arial" w:hAnsi="Arial"/>
          <w:sz w:val="16"/>
          <w:szCs w:val="16"/>
          <w:color w:val="auto"/>
          <w:vertAlign w:val="superscript"/>
        </w:rPr>
        <w:t>3</w:t>
      </w:r>
    </w:p>
    <w:p>
      <w:pPr>
        <w:ind w:left="400" w:hanging="214"/>
        <w:spacing w:after="0"/>
        <w:tabs>
          <w:tab w:leader="none" w:pos="400" w:val="left"/>
        </w:tabs>
        <w:numPr>
          <w:ilvl w:val="0"/>
          <w:numId w:val="28"/>
        </w:numPr>
        <w:rPr>
          <w:rFonts w:ascii="Times New Roman" w:cs="Times New Roman" w:eastAsia="Times New Roman" w:hAnsi="Times New Roman"/>
          <w:sz w:val="12"/>
          <w:szCs w:val="12"/>
          <w:color w:val="auto"/>
        </w:rPr>
      </w:pPr>
      <w:r>
        <w:rPr>
          <w:rFonts w:ascii="Arial" w:cs="Arial" w:eastAsia="Arial" w:hAnsi="Arial"/>
          <w:sz w:val="12"/>
          <w:szCs w:val="12"/>
          <w:color w:val="auto"/>
        </w:rPr>
        <w:t>For most patients with refractory DLBCL there are no curative treatment options</w:t>
      </w:r>
      <w:r>
        <w:rPr>
          <w:rFonts w:ascii="Arial" w:cs="Arial" w:eastAsia="Arial" w:hAnsi="Arial"/>
          <w:sz w:val="18"/>
          <w:szCs w:val="18"/>
          <w:color w:val="auto"/>
          <w:vertAlign w:val="superscript"/>
        </w:rPr>
        <w:t>3</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0"/>
          <w:szCs w:val="10"/>
          <w:color w:val="auto"/>
        </w:rPr>
        <w:t xml:space="preserve">Lymphoma Research Foundation. Diffuse Large B-Cell Lymphoma. </w:t>
      </w:r>
      <w:r>
        <w:rPr>
          <w:rFonts w:ascii="Arial" w:cs="Arial" w:eastAsia="Arial" w:hAnsi="Arial"/>
          <w:sz w:val="10"/>
          <w:szCs w:val="10"/>
          <w:color w:val="029C93"/>
        </w:rPr>
        <w:t>https://lymphoma.org/understanding-lymphoma/aboutlymphoma/nhl/dlbcl/</w:t>
      </w:r>
      <w:r>
        <w:rPr>
          <w:rFonts w:ascii="Arial" w:cs="Arial" w:eastAsia="Arial" w:hAnsi="Arial"/>
          <w:sz w:val="10"/>
          <w:szCs w:val="10"/>
          <w:color w:val="auto"/>
        </w:rPr>
        <w:t xml:space="preserve"> Accessed December 2, 2022.</w:t>
      </w:r>
    </w:p>
    <w:p>
      <w:pPr>
        <w:ind w:left="20"/>
        <w:spacing w:after="0" w:line="189" w:lineRule="auto"/>
        <w:rPr>
          <w:sz w:val="20"/>
          <w:szCs w:val="20"/>
          <w:color w:val="auto"/>
        </w:rPr>
      </w:pPr>
      <w:r>
        <w:rPr>
          <w:rFonts w:ascii="Arial" w:cs="Arial" w:eastAsia="Arial" w:hAnsi="Arial"/>
          <w:sz w:val="12"/>
          <w:szCs w:val="12"/>
          <w:color w:val="auto"/>
          <w:vertAlign w:val="superscript"/>
        </w:rPr>
        <w:t>2</w:t>
      </w:r>
      <w:r>
        <w:rPr>
          <w:rFonts w:ascii="Arial" w:cs="Arial" w:eastAsia="Arial" w:hAnsi="Arial"/>
          <w:sz w:val="8"/>
          <w:szCs w:val="8"/>
          <w:color w:val="auto"/>
        </w:rPr>
        <w:t xml:space="preserve">National Institutes of Health. SEER Cancer Stat Facts: DLBCL. </w:t>
      </w:r>
      <w:r>
        <w:rPr>
          <w:rFonts w:ascii="Arial" w:cs="Arial" w:eastAsia="Arial" w:hAnsi="Arial"/>
          <w:sz w:val="8"/>
          <w:szCs w:val="8"/>
          <w:color w:val="029C93"/>
        </w:rPr>
        <w:t>https://seer.cancer.gov/statfacts/html/dlbcl.html.</w:t>
      </w:r>
      <w:r>
        <w:rPr>
          <w:rFonts w:ascii="Arial" w:cs="Arial" w:eastAsia="Arial" w:hAnsi="Arial"/>
          <w:sz w:val="8"/>
          <w:szCs w:val="8"/>
          <w:color w:val="auto"/>
        </w:rPr>
        <w:t xml:space="preserve"> Accessed November 21, 2022.</w:t>
      </w:r>
    </w:p>
    <w:p>
      <w:pPr>
        <w:ind w:left="20" w:right="979"/>
        <w:spacing w:after="0" w:line="209" w:lineRule="auto"/>
        <w:rPr>
          <w:sz w:val="20"/>
          <w:szCs w:val="20"/>
          <w:color w:val="auto"/>
        </w:rPr>
      </w:pPr>
      <w:r>
        <w:rPr>
          <w:rFonts w:ascii="Arial" w:cs="Arial" w:eastAsia="Arial" w:hAnsi="Arial"/>
          <w:sz w:val="14"/>
          <w:szCs w:val="14"/>
          <w:color w:val="auto"/>
          <w:vertAlign w:val="superscript"/>
        </w:rPr>
        <w:t>3</w:t>
      </w:r>
      <w:r>
        <w:rPr>
          <w:rFonts w:ascii="Arial" w:cs="Arial" w:eastAsia="Arial" w:hAnsi="Arial"/>
          <w:sz w:val="10"/>
          <w:szCs w:val="10"/>
          <w:color w:val="auto"/>
        </w:rPr>
        <w:t xml:space="preserve">Crump, Michael, et al. “Outcomes in Refractory Diffuse Large B-Cell Lymphoma: Results from the International SCHOLAR-1 Study.” Blood, American Society of Hematology, 19 Oct. 2017, </w:t>
      </w:r>
      <w:r>
        <w:rPr>
          <w:rFonts w:ascii="Arial" w:cs="Arial" w:eastAsia="Arial" w:hAnsi="Arial"/>
          <w:sz w:val="10"/>
          <w:szCs w:val="10"/>
          <w:color w:val="029C93"/>
        </w:rPr>
        <w:t>www.ncbi.nlm.nih.gov/pmc/articles/PMC5649550/</w:t>
      </w:r>
      <w:r>
        <w:rPr>
          <w:rFonts w:ascii="Arial" w:cs="Arial" w:eastAsia="Arial" w:hAnsi="Arial"/>
          <w:sz w:val="10"/>
          <w:szCs w:val="10"/>
          <w:color w:val="000000"/>
        </w:rPr>
        <w:t>.</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DuoBody-PD-L1x4-1BB (GEN1046/BNT311)</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Bispecific Next-Generation Immunotherapy</w:t>
      </w:r>
    </w:p>
    <w:p>
      <w:pPr>
        <w:spacing w:after="0" w:line="127" w:lineRule="exact"/>
        <w:rPr>
          <w:sz w:val="20"/>
          <w:szCs w:val="20"/>
          <w:color w:val="auto"/>
        </w:rPr>
      </w:pPr>
    </w:p>
    <w:p>
      <w:pPr>
        <w:ind w:left="480" w:hanging="222"/>
        <w:spacing w:after="0"/>
        <w:tabs>
          <w:tab w:leader="none" w:pos="480" w:val="left"/>
        </w:tabs>
        <w:numPr>
          <w:ilvl w:val="0"/>
          <w:numId w:val="2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Bispecific antibody-based investigational medicine created with Genmab’s DuoBody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2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Clinical studies in solid tumors ongoing, including a Phase 2 study in NSCLC (NCT05117242)</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2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in collaboration with BioNTech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0"/>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59"/>
        <w:spacing w:after="0" w:line="245" w:lineRule="auto"/>
        <w:rPr>
          <w:sz w:val="20"/>
          <w:szCs w:val="20"/>
          <w:color w:val="auto"/>
        </w:rPr>
      </w:pPr>
      <w:r>
        <w:rPr>
          <w:rFonts w:ascii="Arial" w:cs="Arial" w:eastAsia="Arial" w:hAnsi="Arial"/>
          <w:sz w:val="12"/>
          <w:szCs w:val="12"/>
          <w:color w:val="auto"/>
        </w:rPr>
        <w:t>DuoBody-PD-L1x4-1BB is a proprietary bispecific antibody, jointly owned by Genmab and BioNTech, created using Genmab’s DuoBody technology platform. It is being co-developed by Genmab and BioNTech under an agreement in which the companies share all costs and future potential profits for DuoBody-PD-L1x4-1BB on a 50:50 basis. DuoBody-PD-L1x4-1BB is designed to induce an antitumor immune response by simultaneous and complementary PD-L1 blockade and conditional 4-1BB stimulation using an inert DuoBody format. Three clinical studies in solid tumors are ongoing including a Phase 2 study of DuoBody-PD-L1x4-1BB as monotherapy or in combination with pembrolizumab in patients with recurrent metastatic NSCLC.</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DuoBody-CD40x4-1BB (GEN1042/BNT312)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Potential First-in-Class Bispecific Agonistic Antibody</w:t>
      </w:r>
    </w:p>
    <w:p>
      <w:pPr>
        <w:spacing w:after="0" w:line="127" w:lineRule="exact"/>
        <w:rPr>
          <w:sz w:val="20"/>
          <w:szCs w:val="20"/>
          <w:color w:val="auto"/>
        </w:rPr>
      </w:pPr>
    </w:p>
    <w:p>
      <w:pPr>
        <w:ind w:left="480" w:hanging="222"/>
        <w:spacing w:after="0"/>
        <w:tabs>
          <w:tab w:leader="none" w:pos="480" w:val="left"/>
        </w:tabs>
        <w:numPr>
          <w:ilvl w:val="0"/>
          <w:numId w:val="3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Bispecific antibody-based investigational medicine created with Genmab’s DuoBody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1/2 clinical study (NCT04083599) in solid tumors ongoing</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in collaboration with BioNTech</w:t>
      </w:r>
    </w:p>
    <w:p>
      <w:pPr>
        <w:spacing w:after="0" w:line="140" w:lineRule="exact"/>
        <w:rPr>
          <w:sz w:val="20"/>
          <w:szCs w:val="20"/>
          <w:color w:val="auto"/>
        </w:rPr>
      </w:pPr>
    </w:p>
    <w:p>
      <w:pPr>
        <w:jc w:val="both"/>
        <w:ind w:left="20" w:right="119"/>
        <w:spacing w:after="0" w:line="248" w:lineRule="auto"/>
        <w:rPr>
          <w:sz w:val="20"/>
          <w:szCs w:val="20"/>
          <w:color w:val="auto"/>
        </w:rPr>
      </w:pPr>
      <w:r>
        <w:rPr>
          <w:rFonts w:ascii="Arial" w:cs="Arial" w:eastAsia="Arial" w:hAnsi="Arial"/>
          <w:sz w:val="12"/>
          <w:szCs w:val="12"/>
          <w:color w:val="auto"/>
        </w:rPr>
        <w:t>DuoBody-CD40x4-1BB is a proprietary bispecific antibody, jointly owned by Genmab and BioNTech, created using Genmab’s DuoBody technology platform. It is being co-developed by Genmab and BioNTech under an agreement in which the companies share all costs and future potential profits for DuoBody-CD40x4-1BB on a 50:50 basis. CD40 and 4-1BB were selected as targets to enhance both dendritic cells and antigen-dependent T-cell activation, using an inert DuoBody format. A Phase 1/2 clinical study of DuoBody-CD40x4-1BB in solid tumors is ongoing.</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FOURTH QUARTER UPDATE</w:t>
      </w:r>
    </w:p>
    <w:p>
      <w:pPr>
        <w:spacing w:after="0" w:line="10" w:lineRule="exact"/>
        <w:rPr>
          <w:sz w:val="20"/>
          <w:szCs w:val="20"/>
          <w:color w:val="auto"/>
        </w:rPr>
      </w:pPr>
    </w:p>
    <w:p>
      <w:pPr>
        <w:ind w:left="480" w:right="219" w:hanging="222"/>
        <w:spacing w:after="0" w:line="251"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December: Combination safety data and early encouraging anti-tumor activity in SCCHN patients treated with chemotherapy, pembrolizumab and DuoBody-CD40x4-1BB was presented at the European Society for Medical Oncology Immuno-Oncology Annual Congress.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DuoHexaBody-CD37 (GEN3009)</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First DuoHexaBody Program in Clinical Development</w:t>
      </w:r>
    </w:p>
    <w:p>
      <w:pPr>
        <w:spacing w:after="0" w:line="127" w:lineRule="exact"/>
        <w:rPr>
          <w:sz w:val="20"/>
          <w:szCs w:val="20"/>
          <w:color w:val="auto"/>
        </w:rPr>
      </w:pPr>
    </w:p>
    <w:p>
      <w:pPr>
        <w:ind w:left="480" w:hanging="222"/>
        <w:spacing w:after="0"/>
        <w:tabs>
          <w:tab w:leader="none" w:pos="480" w:val="left"/>
        </w:tabs>
        <w:numPr>
          <w:ilvl w:val="0"/>
          <w:numId w:val="3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Antibody-based investigational medicine created with Genmab’s DuoHexaBody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1/2 clinical study (NCT04358458) in hematologic malignancies ongoing</w:t>
      </w:r>
    </w:p>
    <w:p>
      <w:pPr>
        <w:spacing w:after="0" w:line="130"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DuoHexaBody-CD37 is a bispecific antibody that targets two non-overlapping CD37 epitopes, created using Genmab’s DuoHexaBody technology platform. The DuoHexaBody technology platform combines the dual targeting of our DuoBody technology platform with the enhanced potency of our HexaBody technology platform, creating bispecific antibodies with target-mediated enhanced hexamerization. A Phase 1/2 clinical study in hematologic malignancies, including the potential for combination with epcoritamab, is ongoing.</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 FROM FIRST QUARTER TO THIRD QUARTER</w:t>
      </w:r>
    </w:p>
    <w:p>
      <w:pPr>
        <w:spacing w:after="0" w:line="10" w:lineRule="exact"/>
        <w:rPr>
          <w:sz w:val="20"/>
          <w:szCs w:val="20"/>
          <w:color w:val="auto"/>
        </w:rPr>
      </w:pPr>
    </w:p>
    <w:p>
      <w:pPr>
        <w:ind w:left="480" w:right="359" w:hanging="222"/>
        <w:spacing w:after="0" w:line="251" w:lineRule="auto"/>
        <w:tabs>
          <w:tab w:leader="none" w:pos="480" w:val="left"/>
        </w:tabs>
        <w:numPr>
          <w:ilvl w:val="0"/>
          <w:numId w:val="33"/>
        </w:numPr>
        <w:rPr>
          <w:rFonts w:ascii="Times New Roman" w:cs="Times New Roman" w:eastAsia="Times New Roman" w:hAnsi="Times New Roman"/>
          <w:sz w:val="12"/>
          <w:szCs w:val="12"/>
          <w:color w:val="auto"/>
        </w:rPr>
      </w:pPr>
      <w:r>
        <w:rPr>
          <w:rFonts w:ascii="Arial" w:cs="Arial" w:eastAsia="Arial" w:hAnsi="Arial"/>
          <w:sz w:val="12"/>
          <w:szCs w:val="12"/>
          <w:color w:val="auto"/>
        </w:rPr>
        <w:t>June: AbbVie decided to discontinue co-development of DuoHexaBody-CD37. Upon expiry of the 180-day notice period on December 24, 2022, Genmab became solely responsible for the further</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29" w:name="page30"/>
    <w:bookmarkEnd w:id="2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right="339"/>
        <w:spacing w:after="0" w:line="273" w:lineRule="auto"/>
        <w:rPr>
          <w:sz w:val="20"/>
          <w:szCs w:val="20"/>
          <w:color w:val="auto"/>
        </w:rPr>
      </w:pPr>
      <w:r>
        <w:rPr>
          <w:rFonts w:ascii="Arial" w:cs="Arial" w:eastAsia="Arial" w:hAnsi="Arial"/>
          <w:sz w:val="12"/>
          <w:szCs w:val="12"/>
          <w:color w:val="auto"/>
        </w:rPr>
        <w:t>development of DuoHexaBody-CD37 against low-single digit royalty payments to AbbVie, up to an agreed maximum total royalty amount, based on future potential sales of the product.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HexaBody-CD38 (GEN3014)</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HexaBody-based Investigational Medicine with Potential in Hematological Malignancies</w:t>
      </w:r>
    </w:p>
    <w:p>
      <w:pPr>
        <w:spacing w:after="0" w:line="127" w:lineRule="exact"/>
        <w:rPr>
          <w:sz w:val="20"/>
          <w:szCs w:val="20"/>
          <w:color w:val="auto"/>
        </w:rPr>
      </w:pPr>
    </w:p>
    <w:p>
      <w:pPr>
        <w:ind w:left="480" w:hanging="222"/>
        <w:spacing w:after="0"/>
        <w:tabs>
          <w:tab w:leader="none" w:pos="480" w:val="left"/>
        </w:tabs>
        <w:numPr>
          <w:ilvl w:val="0"/>
          <w:numId w:val="3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Antibody-based investigational medicine created with Genmab’s HexaBody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1/2 clinical study (NCT04824794) in hematological malignancies ongoing</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Developed in an exclusive worldwide license and option agreement with Janssen</w:t>
      </w:r>
    </w:p>
    <w:p>
      <w:pPr>
        <w:spacing w:after="0" w:line="130" w:lineRule="exact"/>
        <w:rPr>
          <w:sz w:val="20"/>
          <w:szCs w:val="20"/>
          <w:color w:val="auto"/>
        </w:rPr>
      </w:pPr>
    </w:p>
    <w:p>
      <w:pPr>
        <w:ind w:left="20" w:right="79"/>
        <w:spacing w:after="0" w:line="245" w:lineRule="auto"/>
        <w:rPr>
          <w:sz w:val="20"/>
          <w:szCs w:val="20"/>
          <w:color w:val="auto"/>
        </w:rPr>
      </w:pPr>
      <w:r>
        <w:rPr>
          <w:rFonts w:ascii="Arial" w:cs="Arial" w:eastAsia="Arial" w:hAnsi="Arial"/>
          <w:sz w:val="12"/>
          <w:szCs w:val="12"/>
          <w:color w:val="auto"/>
        </w:rPr>
        <w:t>HexaBody-CD38 is a human CD38 monoclonal antibody-based investigational medicine created using Genmab’s HexaBody technology platform. In pre-clinical models of hematological malignancies, HexaBody-CD38 demonstrated highly potent complement-dependent cytotoxicity and showed potent anti-tumor activity. In June 2019, Genmab entered into an exclusive worldwide license and option agreement with Janssen to develop and commercialize HexaBody-CD38. A Phase 1/2 clinical study in hematologic malignancies is ongoing and includes an arm comparing HexaBody-CD38 to daratumumab in anti-CD38 monoclonal antibody-naïve relapsed or refractory multiple myeloma patients.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FOURTH QUARTER UPDATE</w:t>
      </w:r>
    </w:p>
    <w:p>
      <w:pPr>
        <w:spacing w:after="0" w:line="1" w:lineRule="exact"/>
        <w:rPr>
          <w:sz w:val="20"/>
          <w:szCs w:val="20"/>
          <w:color w:val="auto"/>
        </w:rPr>
      </w:pPr>
    </w:p>
    <w:p>
      <w:pPr>
        <w:ind w:left="480" w:hanging="222"/>
        <w:spacing w:after="0"/>
        <w:tabs>
          <w:tab w:leader="none" w:pos="480" w:val="left"/>
        </w:tabs>
        <w:numPr>
          <w:ilvl w:val="0"/>
          <w:numId w:val="35"/>
        </w:numPr>
        <w:rPr>
          <w:rFonts w:ascii="Times New Roman" w:cs="Times New Roman" w:eastAsia="Times New Roman" w:hAnsi="Times New Roman"/>
          <w:sz w:val="12"/>
          <w:szCs w:val="12"/>
          <w:color w:val="auto"/>
        </w:rPr>
      </w:pPr>
      <w:r>
        <w:rPr>
          <w:rFonts w:ascii="Arial" w:cs="Arial" w:eastAsia="Arial" w:hAnsi="Arial"/>
          <w:sz w:val="12"/>
          <w:szCs w:val="12"/>
          <w:color w:val="auto"/>
        </w:rPr>
        <w:t>December: Poster presentation of preliminary dose-escalation results presented at the 64</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ASH Annual Meeting.</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DuoBody-CD3xB7H4 (GEN1047)</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Bispecific with Potential in Solid Tumors</w:t>
      </w:r>
    </w:p>
    <w:p>
      <w:pPr>
        <w:spacing w:after="0" w:line="127" w:lineRule="exact"/>
        <w:rPr>
          <w:sz w:val="20"/>
          <w:szCs w:val="20"/>
          <w:color w:val="auto"/>
        </w:rPr>
      </w:pPr>
    </w:p>
    <w:p>
      <w:pPr>
        <w:ind w:left="480" w:hanging="222"/>
        <w:spacing w:after="0"/>
        <w:tabs>
          <w:tab w:leader="none" w:pos="480" w:val="left"/>
        </w:tabs>
        <w:numPr>
          <w:ilvl w:val="0"/>
          <w:numId w:val="36"/>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Bispecific antibody-based investigational medicine created with Genmab’s DuoBody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6"/>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1/2 clinical study (NCT05180474) in malignant solid tumors ongoing</w:t>
      </w:r>
    </w:p>
    <w:p>
      <w:pPr>
        <w:spacing w:after="0" w:line="130" w:lineRule="exact"/>
        <w:rPr>
          <w:sz w:val="20"/>
          <w:szCs w:val="20"/>
          <w:color w:val="auto"/>
        </w:rPr>
      </w:pPr>
    </w:p>
    <w:p>
      <w:pPr>
        <w:ind w:left="20" w:right="239"/>
        <w:spacing w:after="0" w:line="248" w:lineRule="auto"/>
        <w:rPr>
          <w:sz w:val="20"/>
          <w:szCs w:val="20"/>
          <w:color w:val="auto"/>
        </w:rPr>
      </w:pPr>
      <w:r>
        <w:rPr>
          <w:rFonts w:ascii="Arial" w:cs="Arial" w:eastAsia="Arial" w:hAnsi="Arial"/>
          <w:sz w:val="12"/>
          <w:szCs w:val="12"/>
          <w:color w:val="auto"/>
        </w:rPr>
        <w:t>DuoBody-CD3xB7H4 is a bispecific antibody-based investigational medicine created using Genmab’s DuoBody technology platform. B7H4 is an immune checkpoint protein expressed on malignant cells in various solid cancers including breast, ovarian and lung cancer. In pre-clinical studies, DuoBody-CD3xB7H4 induced T-cell mediated cytotoxicity of B7H4-positive tumor cells. DuoBody-CD3xB7H4 is being developed for the potential treatment of solid cancer indications known to express B7H4. A Phase 1/2 clinical study of DuoBody-CD3xB7H4 in malignant solid tumors is ongoing.</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 FROM FIRST QUARTER TO THIRD QUARTER</w:t>
      </w:r>
    </w:p>
    <w:p>
      <w:pPr>
        <w:spacing w:after="0" w:line="10" w:lineRule="exact"/>
        <w:rPr>
          <w:sz w:val="20"/>
          <w:szCs w:val="20"/>
          <w:color w:val="auto"/>
        </w:rPr>
      </w:pPr>
    </w:p>
    <w:p>
      <w:pPr>
        <w:ind w:left="480" w:hanging="222"/>
        <w:spacing w:after="0"/>
        <w:tabs>
          <w:tab w:leader="none" w:pos="480" w:val="left"/>
        </w:tabs>
        <w:numPr>
          <w:ilvl w:val="0"/>
          <w:numId w:val="37"/>
        </w:numPr>
        <w:rPr>
          <w:rFonts w:ascii="Times New Roman" w:cs="Times New Roman" w:eastAsia="Times New Roman" w:hAnsi="Times New Roman"/>
          <w:sz w:val="12"/>
          <w:szCs w:val="12"/>
          <w:color w:val="auto"/>
        </w:rPr>
      </w:pPr>
      <w:r>
        <w:rPr>
          <w:rFonts w:ascii="Arial" w:cs="Arial" w:eastAsia="Arial" w:hAnsi="Arial"/>
          <w:sz w:val="12"/>
          <w:szCs w:val="12"/>
          <w:color w:val="auto"/>
        </w:rPr>
        <w:t>January: The first patient was dosed in the first-in-human Phase 1/2 study of DuoBody-CD3xB7H4 in patients with malignant solid tumors.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0" w:name="page31"/>
    <w:bookmarkEnd w:id="3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HexaBody-CD27 (GEN1053/BNT313)</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HexaBody-based Investigational Medicine with Potential in Solid Tumors</w:t>
      </w:r>
    </w:p>
    <w:p>
      <w:pPr>
        <w:spacing w:after="0" w:line="127" w:lineRule="exact"/>
        <w:rPr>
          <w:sz w:val="20"/>
          <w:szCs w:val="20"/>
          <w:color w:val="auto"/>
        </w:rPr>
      </w:pPr>
    </w:p>
    <w:p>
      <w:pPr>
        <w:ind w:left="480" w:hanging="222"/>
        <w:spacing w:after="0"/>
        <w:tabs>
          <w:tab w:leader="none" w:pos="480" w:val="left"/>
        </w:tabs>
        <w:numPr>
          <w:ilvl w:val="0"/>
          <w:numId w:val="3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Antibody-based investigational medicine created with Genmab’s HexaBody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1/2 clinical study (NCT05435339) in solid tumors ongoing</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3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in collaboration with BioNTech</w:t>
      </w:r>
    </w:p>
    <w:p>
      <w:pPr>
        <w:spacing w:after="0" w:line="130" w:lineRule="exact"/>
        <w:rPr>
          <w:sz w:val="20"/>
          <w:szCs w:val="20"/>
          <w:color w:val="auto"/>
        </w:rPr>
      </w:pPr>
    </w:p>
    <w:p>
      <w:pPr>
        <w:jc w:val="both"/>
        <w:ind w:left="20" w:right="99"/>
        <w:spacing w:after="0" w:line="255" w:lineRule="auto"/>
        <w:rPr>
          <w:sz w:val="20"/>
          <w:szCs w:val="20"/>
          <w:color w:val="auto"/>
        </w:rPr>
      </w:pPr>
      <w:r>
        <w:rPr>
          <w:rFonts w:ascii="Arial" w:cs="Arial" w:eastAsia="Arial" w:hAnsi="Arial"/>
          <w:sz w:val="12"/>
          <w:szCs w:val="12"/>
          <w:color w:val="auto"/>
        </w:rPr>
        <w:t>HexaBody-CD27 is a CD27 antibody that utilizes Genmab’s HexaBody technology, specifically engineered to form an antibody hexamer (a formation of six antibodies) upon binding its target on the cell membrane of T cells. It is being co-developed by Genmab and BioNTech under an agreement in which the companies share all costs and future potential profits for HexaBody-CD27 on a 50:50 basis. A Phase 1/2 clinical study of HexaBody-CD27 in solid tumors is ongoing.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FOURTH QUARTER UPDATES</w:t>
      </w:r>
    </w:p>
    <w:p>
      <w:pPr>
        <w:spacing w:after="0" w:line="10" w:lineRule="exact"/>
        <w:rPr>
          <w:sz w:val="20"/>
          <w:szCs w:val="20"/>
          <w:color w:val="auto"/>
        </w:rPr>
      </w:pPr>
    </w:p>
    <w:p>
      <w:pPr>
        <w:ind w:left="480" w:hanging="222"/>
        <w:spacing w:after="0"/>
        <w:tabs>
          <w:tab w:leader="none" w:pos="480" w:val="left"/>
        </w:tabs>
        <w:numPr>
          <w:ilvl w:val="0"/>
          <w:numId w:val="39"/>
        </w:numPr>
        <w:rPr>
          <w:rFonts w:ascii="Times New Roman" w:cs="Times New Roman" w:eastAsia="Times New Roman" w:hAnsi="Times New Roman"/>
          <w:sz w:val="12"/>
          <w:szCs w:val="12"/>
          <w:color w:val="auto"/>
        </w:rPr>
      </w:pPr>
      <w:r>
        <w:rPr>
          <w:rFonts w:ascii="Arial" w:cs="Arial" w:eastAsia="Arial" w:hAnsi="Arial"/>
          <w:sz w:val="12"/>
          <w:szCs w:val="12"/>
          <w:color w:val="auto"/>
        </w:rPr>
        <w:t>November: The first patient was dosed in the first-in-human Phase 1/2 study of HexaBody-CD27 in patients with malignant solid tumors.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39"/>
        </w:numPr>
        <w:rPr>
          <w:rFonts w:ascii="Times New Roman" w:cs="Times New Roman" w:eastAsia="Times New Roman" w:hAnsi="Times New Roman"/>
          <w:sz w:val="12"/>
          <w:szCs w:val="12"/>
          <w:color w:val="auto"/>
        </w:rPr>
      </w:pPr>
      <w:r>
        <w:rPr>
          <w:rFonts w:ascii="Arial" w:cs="Arial" w:eastAsia="Arial" w:hAnsi="Arial"/>
          <w:sz w:val="12"/>
          <w:szCs w:val="12"/>
          <w:color w:val="auto"/>
        </w:rPr>
        <w:t>November: First pre-clinical disclosure during the Society for Immunotherapy of Cancer 37</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Annual Meeting.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 FROM FIRST QUARTER TO THIRD QUARTER</w:t>
      </w:r>
    </w:p>
    <w:p>
      <w:pPr>
        <w:ind w:left="480" w:hanging="222"/>
        <w:spacing w:after="0" w:line="231" w:lineRule="auto"/>
        <w:tabs>
          <w:tab w:leader="none" w:pos="4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2"/>
          <w:szCs w:val="12"/>
          <w:color w:val="auto"/>
        </w:rPr>
        <w:t>May: IND application and first Clinical Trial Application (CTA) submitted for HexaBody-CD27.</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GEN1056 (BNT322)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First-in-Human Study Recruiting</w:t>
      </w:r>
    </w:p>
    <w:p>
      <w:pPr>
        <w:spacing w:after="0" w:line="127" w:lineRule="exact"/>
        <w:rPr>
          <w:sz w:val="20"/>
          <w:szCs w:val="20"/>
          <w:color w:val="auto"/>
        </w:rPr>
      </w:pPr>
    </w:p>
    <w:p>
      <w:pPr>
        <w:ind w:left="480" w:hanging="222"/>
        <w:spacing w:after="0"/>
        <w:tabs>
          <w:tab w:leader="none" w:pos="480" w:val="left"/>
        </w:tabs>
        <w:numPr>
          <w:ilvl w:val="0"/>
          <w:numId w:val="41"/>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Phase 1 clinical study (NCT05586321) in solid tumors ongoing</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1"/>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Co-developed in collaboration with BioNTech</w:t>
      </w:r>
    </w:p>
    <w:p>
      <w:pPr>
        <w:spacing w:after="0" w:line="130"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GEN1056 is an antibody product being co-developed by Genmab and BioNTech for the treatment of solid tumors and for use in combination with other products. A first-in-human Phase 1 clinical study of GEN1056 in patients with advanced solid tumors is ongoing.</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FOURTH QUARTER UPDATE</w:t>
      </w:r>
    </w:p>
    <w:p>
      <w:pPr>
        <w:spacing w:after="0" w:line="10" w:lineRule="exact"/>
        <w:rPr>
          <w:sz w:val="20"/>
          <w:szCs w:val="20"/>
          <w:color w:val="auto"/>
        </w:rPr>
      </w:pPr>
    </w:p>
    <w:p>
      <w:pPr>
        <w:ind w:left="480" w:hanging="222"/>
        <w:spacing w:after="0"/>
        <w:tabs>
          <w:tab w:leader="none" w:pos="480" w:val="left"/>
        </w:tabs>
        <w:numPr>
          <w:ilvl w:val="0"/>
          <w:numId w:val="42"/>
        </w:numPr>
        <w:rPr>
          <w:rFonts w:ascii="Times New Roman" w:cs="Times New Roman" w:eastAsia="Times New Roman" w:hAnsi="Times New Roman"/>
          <w:sz w:val="12"/>
          <w:szCs w:val="12"/>
          <w:color w:val="auto"/>
        </w:rPr>
      </w:pPr>
      <w:r>
        <w:rPr>
          <w:rFonts w:ascii="Arial" w:cs="Arial" w:eastAsia="Arial" w:hAnsi="Arial"/>
          <w:sz w:val="12"/>
          <w:szCs w:val="12"/>
          <w:color w:val="auto"/>
        </w:rPr>
        <w:t>November: The first patient was dosed in the first-in-human Phase 1 study of GEN1056.</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 FROM FIRST QUARTER TO THIRD QUARTER</w:t>
      </w:r>
    </w:p>
    <w:p>
      <w:pPr>
        <w:spacing w:after="0" w:line="10" w:lineRule="exact"/>
        <w:rPr>
          <w:sz w:val="20"/>
          <w:szCs w:val="20"/>
          <w:color w:val="auto"/>
        </w:rPr>
      </w:pPr>
    </w:p>
    <w:p>
      <w:pPr>
        <w:ind w:left="480" w:hanging="222"/>
        <w:spacing w:after="0"/>
        <w:tabs>
          <w:tab w:leader="none" w:pos="480" w:val="left"/>
        </w:tabs>
        <w:numPr>
          <w:ilvl w:val="0"/>
          <w:numId w:val="43"/>
        </w:numPr>
        <w:rPr>
          <w:rFonts w:ascii="Times New Roman" w:cs="Times New Roman" w:eastAsia="Times New Roman" w:hAnsi="Times New Roman"/>
          <w:sz w:val="12"/>
          <w:szCs w:val="12"/>
          <w:color w:val="auto"/>
        </w:rPr>
      </w:pPr>
      <w:r>
        <w:rPr>
          <w:rFonts w:ascii="Arial" w:cs="Arial" w:eastAsia="Arial" w:hAnsi="Arial"/>
          <w:sz w:val="12"/>
          <w:szCs w:val="12"/>
          <w:color w:val="auto"/>
        </w:rPr>
        <w:t>July: The first CTA was submitted for GEN1056.</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Pre-clinical Programs</w:t>
      </w:r>
    </w:p>
    <w:p>
      <w:pPr>
        <w:spacing w:after="0" w:line="151" w:lineRule="exact"/>
        <w:rPr>
          <w:sz w:val="20"/>
          <w:szCs w:val="20"/>
          <w:color w:val="auto"/>
        </w:rPr>
      </w:pPr>
    </w:p>
    <w:p>
      <w:pPr>
        <w:ind w:left="480" w:hanging="222"/>
        <w:spacing w:after="0"/>
        <w:tabs>
          <w:tab w:leader="none" w:pos="480" w:val="left"/>
        </w:tabs>
        <w:numPr>
          <w:ilvl w:val="0"/>
          <w:numId w:val="4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Broad pre-clinical pipeline that includes both partnered products and in-house programs based on our proprietary technologies and/or antibodies</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Multiple new INDs expected to be submitted over the coming years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1" w:name="page32"/>
    <w:bookmarkEnd w:id="3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hanging="222"/>
        <w:spacing w:after="0"/>
        <w:tabs>
          <w:tab w:leader="none" w:pos="480" w:val="left"/>
        </w:tabs>
        <w:numPr>
          <w:ilvl w:val="0"/>
          <w:numId w:val="4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Genmab has entered multiple strategic collaborations to support the expansion of our innovative pipeline</w:t>
      </w:r>
    </w:p>
    <w:p>
      <w:pPr>
        <w:spacing w:after="0" w:line="142"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Our pre-clinical pipeline includes immune effector function enhanced antibodies developed with our HexaBody technology platform and bispecific antibodies created with our DuoBody technology platform. We are also collaborating with our partners to generate additional new antibody-based product concepts. A number of the pre-clinical programs are conducted in cooperation with our collaboration partners.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UPDATE FROM FIRST QUARTER TO THIRD QUARTER</w:t>
      </w:r>
    </w:p>
    <w:p>
      <w:pPr>
        <w:spacing w:after="0" w:line="10" w:lineRule="exact"/>
        <w:rPr>
          <w:sz w:val="20"/>
          <w:szCs w:val="20"/>
          <w:color w:val="auto"/>
        </w:rPr>
      </w:pPr>
    </w:p>
    <w:p>
      <w:pPr>
        <w:ind w:left="480" w:right="39" w:hanging="222"/>
        <w:spacing w:after="0" w:line="244" w:lineRule="auto"/>
        <w:tabs>
          <w:tab w:leader="none" w:pos="480" w:val="left"/>
        </w:tabs>
        <w:numPr>
          <w:ilvl w:val="0"/>
          <w:numId w:val="46"/>
        </w:numPr>
        <w:rPr>
          <w:rFonts w:ascii="Times New Roman" w:cs="Times New Roman" w:eastAsia="Times New Roman" w:hAnsi="Times New Roman"/>
          <w:sz w:val="12"/>
          <w:szCs w:val="12"/>
          <w:color w:val="auto"/>
        </w:rPr>
      </w:pPr>
      <w:r>
        <w:rPr>
          <w:rFonts w:ascii="Arial" w:cs="Arial" w:eastAsia="Arial" w:hAnsi="Arial"/>
          <w:sz w:val="12"/>
          <w:szCs w:val="12"/>
          <w:color w:val="auto"/>
        </w:rPr>
        <w:t>August: Genmab and BioNTech expanded the companies’ global strategic collaboration to develop and commercialize novel immunotherapies for the treatment of cancer patients. Under the expansion, the companies will jointly develop and commercialize, subject to regulatory approval, other formats including monospecific antibodies leveraging Genmab’s proprietary HexaBody technology platform.</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Approved Medicines Incorporating Genmab’s Innovations and Technology</w:t>
      </w:r>
    </w:p>
    <w:p>
      <w:pPr>
        <w:spacing w:after="0" w:line="151" w:lineRule="exact"/>
        <w:rPr>
          <w:sz w:val="20"/>
          <w:szCs w:val="20"/>
          <w:color w:val="auto"/>
        </w:rPr>
      </w:pPr>
    </w:p>
    <w:p>
      <w:pPr>
        <w:ind w:left="20" w:right="379"/>
        <w:spacing w:after="0" w:line="255" w:lineRule="auto"/>
        <w:rPr>
          <w:sz w:val="20"/>
          <w:szCs w:val="20"/>
          <w:color w:val="auto"/>
        </w:rPr>
      </w:pPr>
      <w:r>
        <w:rPr>
          <w:rFonts w:ascii="Arial" w:cs="Arial" w:eastAsia="Arial" w:hAnsi="Arial"/>
          <w:sz w:val="12"/>
          <w:szCs w:val="12"/>
          <w:color w:val="auto"/>
        </w:rPr>
        <w:t>In addition to Genmab’s own pipeline of investigational medicines, our innovations and proprietary technology platforms are applied in the pipelines of global pharmaceutical and biotechnology companies. These companies are running clinical development programs with antibodies created by Genmab or created using Genmab’s DuoBody bispecific antibody technology platform. The programs run from Phase 1 development to approved medicines.</w:t>
      </w:r>
    </w:p>
    <w:p>
      <w:pPr>
        <w:spacing w:after="0" w:line="104" w:lineRule="exact"/>
        <w:rPr>
          <w:sz w:val="20"/>
          <w:szCs w:val="20"/>
          <w:color w:val="auto"/>
        </w:rPr>
      </w:pPr>
    </w:p>
    <w:p>
      <w:pPr>
        <w:ind w:left="20" w:right="559"/>
        <w:spacing w:after="0" w:line="273" w:lineRule="auto"/>
        <w:rPr>
          <w:sz w:val="20"/>
          <w:szCs w:val="20"/>
          <w:color w:val="auto"/>
        </w:rPr>
      </w:pPr>
      <w:r>
        <w:rPr>
          <w:rFonts w:ascii="Arial" w:cs="Arial" w:eastAsia="Arial" w:hAnsi="Arial"/>
          <w:sz w:val="12"/>
          <w:szCs w:val="12"/>
          <w:color w:val="auto"/>
        </w:rPr>
        <w:t>The information in this section includes those medicines that have been approved by regulatory agencies in certain territories. Under the agreements for these medicines Genmab is entitled to certain potential milestones and royalties.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DARZALEX (daratumumab)</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Redefining the Treatment of Multiple Myeloma</w:t>
      </w:r>
    </w:p>
    <w:p>
      <w:pPr>
        <w:spacing w:after="0" w:line="127" w:lineRule="exact"/>
        <w:rPr>
          <w:sz w:val="20"/>
          <w:szCs w:val="20"/>
          <w:color w:val="auto"/>
        </w:rPr>
      </w:pPr>
    </w:p>
    <w:p>
      <w:pPr>
        <w:ind w:left="480" w:hanging="222"/>
        <w:spacing w:after="0"/>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First-in-class human CD38 monoclonal antibody</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Developed and commercialized by Janssen under an exclusive worldwide license from Genmab</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Intravenous (IV) formulation approved in combination with other therapies and as monotherapy for certain multiple myeloma indications</w:t>
      </w:r>
    </w:p>
    <w:p>
      <w:pPr>
        <w:spacing w:after="0" w:line="6" w:lineRule="exact"/>
        <w:rPr>
          <w:rFonts w:ascii="Times New Roman" w:cs="Times New Roman" w:eastAsia="Times New Roman" w:hAnsi="Times New Roman"/>
          <w:sz w:val="12"/>
          <w:szCs w:val="12"/>
          <w:color w:val="029C93"/>
        </w:rPr>
      </w:pPr>
    </w:p>
    <w:p>
      <w:pPr>
        <w:ind w:left="480" w:right="99" w:hanging="222"/>
        <w:spacing w:after="0" w:line="236" w:lineRule="auto"/>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 xml:space="preserve">First and only SC CD38-directed antibody approved for the treatment of certain multiple myeloma indications, known as DARZALEX </w:t>
      </w:r>
      <w:r>
        <w:rPr>
          <w:rFonts w:ascii="Arial" w:cs="Arial" w:eastAsia="Arial" w:hAnsi="Arial"/>
          <w:sz w:val="12"/>
          <w:szCs w:val="12"/>
          <w:b w:val="1"/>
          <w:bCs w:val="1"/>
          <w:i w:val="1"/>
          <w:iCs w:val="1"/>
          <w:color w:val="029C93"/>
        </w:rPr>
        <w:t>FASPRO</w:t>
      </w:r>
      <w:r>
        <w:rPr>
          <w:rFonts w:ascii="Arial" w:cs="Arial" w:eastAsia="Arial" w:hAnsi="Arial"/>
          <w:sz w:val="12"/>
          <w:szCs w:val="12"/>
          <w:b w:val="1"/>
          <w:bCs w:val="1"/>
          <w:color w:val="029C93"/>
        </w:rPr>
        <w:t xml:space="preserve"> in the U.S., and as DARZALEX SC in Europe</w:t>
      </w:r>
    </w:p>
    <w:p>
      <w:pPr>
        <w:ind w:left="480" w:hanging="222"/>
        <w:spacing w:after="0"/>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SC daratumumab is the first and only approved therapy for AL amyloidosis in the U.S., Europe and Japan</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7"/>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2022 net sales of DARZALEX by Janssen were USD 7,977 million</w:t>
      </w:r>
    </w:p>
    <w:p>
      <w:pPr>
        <w:spacing w:after="0" w:line="140"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Daratumumab is a human monoclonal antibody that binds with high affinity to the CD38 molecule, which is highly expressed on the surface of multiple myeloma cells and is also expressed by AL amyloidosis plasma</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29/158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99"/>
        <w:spacing w:after="0" w:line="242" w:lineRule="auto"/>
        <w:rPr>
          <w:sz w:val="20"/>
          <w:szCs w:val="20"/>
          <w:color w:val="auto"/>
        </w:rPr>
      </w:pPr>
      <w:r>
        <w:rPr>
          <w:rFonts w:ascii="Arial" w:cs="Arial" w:eastAsia="Arial" w:hAnsi="Arial"/>
          <w:sz w:val="12"/>
          <w:szCs w:val="12"/>
          <w:color w:val="auto"/>
        </w:rPr>
        <w:t xml:space="preserve">cells. Genmab used technology licensed from Medarex to generate the CD38 antibody. Daratumumab is being developed by Janssen under an exclusive worldwide license from Genmab to develop, manufacture and commercialize daratumumab. Under the terms of the agreement, Genmab is entitled to double digit royalties between 12% and 20% with Janssen reducing such royalty payments for Genmab’s share of Janssen’s royalty payments made to Halozyme.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daratumumab collaboration with Janssen. Daratumumab (marketed as DARZALEX for IV administration and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and as DARZALEX SC in Europe for SC administration) is approved in a large number of territories for the treatment of adult patients with certain multiple myeloma indications and is the only approved therapy in the U.S., Europe and Japan for the treatment of adult patients with AL amyloidosis.</w:t>
      </w:r>
    </w:p>
    <w:p>
      <w:pPr>
        <w:spacing w:after="0" w:line="123" w:lineRule="exact"/>
        <w:rPr>
          <w:sz w:val="20"/>
          <w:szCs w:val="20"/>
          <w:color w:val="auto"/>
        </w:rPr>
      </w:pPr>
    </w:p>
    <w:p>
      <w:pPr>
        <w:ind w:left="20" w:right="479"/>
        <w:spacing w:after="0" w:line="352" w:lineRule="auto"/>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European Summary of Product Characteristics</w:t>
      </w:r>
      <w:r>
        <w:rPr>
          <w:rFonts w:ascii="Arial" w:cs="Arial" w:eastAsia="Arial" w:hAnsi="Arial"/>
          <w:sz w:val="12"/>
          <w:szCs w:val="12"/>
          <w:color w:val="auto"/>
        </w:rPr>
        <w:t xml:space="preserve"> for DARZALEX and DARZALEX SC and the U.S. Prescribing Information for </w:t>
      </w:r>
      <w:r>
        <w:rPr>
          <w:rFonts w:ascii="Arial" w:cs="Arial" w:eastAsia="Arial" w:hAnsi="Arial"/>
          <w:sz w:val="12"/>
          <w:szCs w:val="12"/>
          <w:color w:val="029C93"/>
        </w:rPr>
        <w:t>DARZALEX</w:t>
      </w:r>
      <w:r>
        <w:rPr>
          <w:rFonts w:ascii="Arial" w:cs="Arial" w:eastAsia="Arial" w:hAnsi="Arial"/>
          <w:sz w:val="12"/>
          <w:szCs w:val="12"/>
          <w:color w:val="auto"/>
        </w:rPr>
        <w:t xml:space="preserve"> and </w:t>
      </w:r>
      <w:r>
        <w:rPr>
          <w:rFonts w:ascii="Arial" w:cs="Arial" w:eastAsia="Arial" w:hAnsi="Arial"/>
          <w:sz w:val="12"/>
          <w:szCs w:val="12"/>
          <w:color w:val="029C93"/>
        </w:rPr>
        <w:t xml:space="preserve">DARZALEX </w:t>
      </w:r>
      <w:r>
        <w:rPr>
          <w:rFonts w:ascii="Arial" w:cs="Arial" w:eastAsia="Arial" w:hAnsi="Arial"/>
          <w:sz w:val="12"/>
          <w:szCs w:val="12"/>
          <w:i w:val="1"/>
          <w:iCs w:val="1"/>
          <w:color w:val="029C93"/>
        </w:rPr>
        <w:t>FASPRO</w:t>
      </w:r>
      <w:r>
        <w:rPr>
          <w:rFonts w:ascii="Arial" w:cs="Arial" w:eastAsia="Arial" w:hAnsi="Arial"/>
          <w:sz w:val="12"/>
          <w:szCs w:val="12"/>
          <w:color w:val="029C93"/>
        </w:rPr>
        <w:t xml:space="preserve"> </w:t>
      </w:r>
      <w:r>
        <w:rPr>
          <w:rFonts w:ascii="Arial" w:cs="Arial" w:eastAsia="Arial" w:hAnsi="Arial"/>
          <w:sz w:val="12"/>
          <w:szCs w:val="12"/>
          <w:color w:val="000000"/>
        </w:rPr>
        <w:t>for the labeled indication and safety information.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Kesimpta (ofatumumab)</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Approved in the Treatment of RMS</w:t>
      </w:r>
    </w:p>
    <w:p>
      <w:pPr>
        <w:spacing w:after="0" w:line="127" w:lineRule="exact"/>
        <w:rPr>
          <w:sz w:val="20"/>
          <w:szCs w:val="20"/>
          <w:color w:val="auto"/>
        </w:rPr>
      </w:pPr>
    </w:p>
    <w:p>
      <w:pPr>
        <w:ind w:left="480" w:hanging="222"/>
        <w:spacing w:after="0"/>
        <w:tabs>
          <w:tab w:leader="none" w:pos="480" w:val="left"/>
        </w:tabs>
        <w:numPr>
          <w:ilvl w:val="0"/>
          <w:numId w:val="4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Human CD20 monoclonal antibody developed and commercialized by Novartis under a license agreement with Genmab</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Approved in territories including the U.S., EU and Japan for treatment of RMS in adults</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8"/>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 B-cell therapy that can be self-administered by patients at home or anywhere using the Sensoready</w:t>
      </w:r>
      <w:r>
        <w:rPr>
          <w:rFonts w:ascii="Arial" w:cs="Arial" w:eastAsia="Arial" w:hAnsi="Arial"/>
          <w:sz w:val="18"/>
          <w:szCs w:val="18"/>
          <w:b w:val="1"/>
          <w:bCs w:val="1"/>
          <w:color w:val="029C93"/>
          <w:vertAlign w:val="superscript"/>
        </w:rPr>
        <w:t>®</w:t>
      </w:r>
      <w:r>
        <w:rPr>
          <w:rFonts w:ascii="Arial" w:cs="Arial" w:eastAsia="Arial" w:hAnsi="Arial"/>
          <w:sz w:val="12"/>
          <w:szCs w:val="12"/>
          <w:b w:val="1"/>
          <w:bCs w:val="1"/>
          <w:color w:val="029C93"/>
        </w:rPr>
        <w:t xml:space="preserve"> autoinjector pen</w:t>
      </w:r>
    </w:p>
    <w:p>
      <w:pPr>
        <w:spacing w:after="0" w:line="71" w:lineRule="exact"/>
        <w:rPr>
          <w:sz w:val="20"/>
          <w:szCs w:val="20"/>
          <w:color w:val="auto"/>
        </w:rPr>
      </w:pPr>
    </w:p>
    <w:p>
      <w:pPr>
        <w:ind w:left="20" w:right="119"/>
        <w:spacing w:after="0" w:line="243" w:lineRule="auto"/>
        <w:rPr>
          <w:sz w:val="20"/>
          <w:szCs w:val="20"/>
          <w:color w:val="auto"/>
        </w:rPr>
      </w:pPr>
      <w:r>
        <w:rPr>
          <w:rFonts w:ascii="Arial" w:cs="Arial" w:eastAsia="Arial" w:hAnsi="Arial"/>
          <w:sz w:val="12"/>
          <w:szCs w:val="12"/>
          <w:color w:val="auto"/>
        </w:rPr>
        <w:t xml:space="preserve">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Kesimpta is the first B-cell therapy that can be self-administered by patients at home or anywhere using the Sensoready autoinjector pen, once monthly after starting therapy. Ofatumumab is being developed and marketed worldwide by Novartis under a license agreement between Genmab and Novartis. Under the terms of the agreement, Genmab is entitled to 10% royalties on net sales of Kesimpta.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ofatumumab collaboration with Novartis.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U.S. Prescribing Information</w:t>
      </w:r>
      <w:r>
        <w:rPr>
          <w:rFonts w:ascii="Arial" w:cs="Arial" w:eastAsia="Arial" w:hAnsi="Arial"/>
          <w:sz w:val="12"/>
          <w:szCs w:val="12"/>
          <w:color w:val="auto"/>
        </w:rPr>
        <w:t xml:space="preserve"> and the </w:t>
      </w:r>
      <w:r>
        <w:rPr>
          <w:rFonts w:ascii="Arial" w:cs="Arial" w:eastAsia="Arial" w:hAnsi="Arial"/>
          <w:sz w:val="12"/>
          <w:szCs w:val="12"/>
          <w:color w:val="029C93"/>
        </w:rPr>
        <w:t>European Summary of Product Characteristics</w:t>
      </w:r>
      <w:r>
        <w:rPr>
          <w:rFonts w:ascii="Arial" w:cs="Arial" w:eastAsia="Arial" w:hAnsi="Arial"/>
          <w:sz w:val="12"/>
          <w:szCs w:val="12"/>
          <w:color w:val="auto"/>
        </w:rPr>
        <w:t xml:space="preserve"> for the labeled indication and safety information for Kesimpta.</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TEPEZZA (teprotumumab-trbw)</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First U.S. FDA Approved Medicine for the Treatment of TED</w:t>
      </w:r>
    </w:p>
    <w:p>
      <w:pPr>
        <w:spacing w:after="0" w:line="127" w:lineRule="exact"/>
        <w:rPr>
          <w:sz w:val="20"/>
          <w:szCs w:val="20"/>
          <w:color w:val="auto"/>
        </w:rPr>
      </w:pPr>
    </w:p>
    <w:p>
      <w:pPr>
        <w:ind w:left="480" w:hanging="222"/>
        <w:spacing w:after="0"/>
        <w:tabs>
          <w:tab w:leader="none" w:pos="480" w:val="left"/>
        </w:tabs>
        <w:numPr>
          <w:ilvl w:val="0"/>
          <w:numId w:val="4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Developed and commercialized by Horizon for the treatment of TED</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 and only U.S. FDA approved medicine for the treatment of TED</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49"/>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Also being explored in a clinical trial for the treatment of diffuse cutaneous systemic sclerosis (dcSSC)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3" w:name="page34"/>
    <w:bookmarkEnd w:id="3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59"/>
        <w:spacing w:after="0" w:line="245" w:lineRule="auto"/>
        <w:rPr>
          <w:sz w:val="20"/>
          <w:szCs w:val="20"/>
          <w:color w:val="auto"/>
        </w:rPr>
      </w:pPr>
      <w:r>
        <w:rPr>
          <w:rFonts w:ascii="Arial" w:cs="Arial" w:eastAsia="Arial" w:hAnsi="Arial"/>
          <w:sz w:val="12"/>
          <w:szCs w:val="12"/>
          <w:color w:val="auto"/>
        </w:rPr>
        <w:t xml:space="preserve">Teprotumumab, approved by the U.S. FDA under the trade name TEPEZZA, is a human monoclonal antibody that targets the Insulin-like Growth Factor 1 Receptor (IGF-1R), a validated target. Genmab used technology licensed from Medarex to generate the IGF-1R antibody. The antibody was created by Genmab under a collaboration with Roche and development and commercialization of the product is now being conducted by Horizon under a sublicense from Roche. Under the terms of Genmab’s agreement with Roche, Genmab will receive mid-single digit royalties on net sales of TEPEZZA.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teprotumumab collaboration.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U.S. Prescribing Information</w:t>
      </w:r>
      <w:r>
        <w:rPr>
          <w:rFonts w:ascii="Arial" w:cs="Arial" w:eastAsia="Arial" w:hAnsi="Arial"/>
          <w:sz w:val="12"/>
          <w:szCs w:val="12"/>
          <w:color w:val="auto"/>
        </w:rPr>
        <w:t xml:space="preserve"> for the labeled indication and safety information for TEPEZZA.</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RYBREVANT (amivantamab)</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First Regulatory Approvals for a DuoBody-based Medicine</w:t>
      </w:r>
    </w:p>
    <w:p>
      <w:pPr>
        <w:spacing w:after="0" w:line="127" w:lineRule="exact"/>
        <w:rPr>
          <w:sz w:val="20"/>
          <w:szCs w:val="20"/>
          <w:color w:val="auto"/>
        </w:rPr>
      </w:pPr>
    </w:p>
    <w:p>
      <w:pPr>
        <w:ind w:left="480" w:hanging="222"/>
        <w:spacing w:after="0"/>
        <w:tabs>
          <w:tab w:leader="none" w:pos="480" w:val="left"/>
        </w:tabs>
        <w:numPr>
          <w:ilvl w:val="0"/>
          <w:numId w:val="5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Part of Genmab and Janssen DuoBody research and license agreement</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 approved medicine created using Genmab’s proprietary DuoBody technology platform</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0"/>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Under the agreement with Janssen, Genmab will receive milestones and royalties on net sales of RYBREVANT</w:t>
      </w:r>
    </w:p>
    <w:p>
      <w:pPr>
        <w:spacing w:after="0" w:line="140" w:lineRule="exact"/>
        <w:rPr>
          <w:sz w:val="20"/>
          <w:szCs w:val="20"/>
          <w:color w:val="auto"/>
        </w:rPr>
      </w:pPr>
    </w:p>
    <w:p>
      <w:pPr>
        <w:ind w:left="20" w:right="179"/>
        <w:spacing w:after="0" w:line="248" w:lineRule="auto"/>
        <w:rPr>
          <w:sz w:val="20"/>
          <w:szCs w:val="20"/>
          <w:color w:val="auto"/>
        </w:rPr>
      </w:pPr>
      <w:r>
        <w:rPr>
          <w:rFonts w:ascii="Arial" w:cs="Arial" w:eastAsia="Arial" w:hAnsi="Arial"/>
          <w:sz w:val="12"/>
          <w:szCs w:val="12"/>
          <w:color w:val="auto"/>
        </w:rPr>
        <w:t>In July 2012, Genmab entered into a collaboration with Janssen to create and develop bispecific antibodies using Genmab’s DuoBody technology platform. One of these, Janssen’s amivantamab, is a fully human bispecific antibody that targets epidermal growth factor receptor (EGFR) and cMet, two validated cancer targets. The two antibody libraries used to produce amivantamab were both generated by Genmab. In collaboration with Janssen, the antibody pair used to create amivantamab was selected. Janssen is responsible for the development and commercialization of amivantamab.</w:t>
      </w:r>
    </w:p>
    <w:p>
      <w:pPr>
        <w:spacing w:after="0" w:line="109" w:lineRule="exact"/>
        <w:rPr>
          <w:sz w:val="20"/>
          <w:szCs w:val="20"/>
          <w:color w:val="auto"/>
        </w:rPr>
      </w:pPr>
    </w:p>
    <w:p>
      <w:pPr>
        <w:ind w:left="20" w:right="79"/>
        <w:spacing w:after="0" w:line="248" w:lineRule="auto"/>
        <w:rPr>
          <w:sz w:val="20"/>
          <w:szCs w:val="20"/>
          <w:color w:val="auto"/>
        </w:rPr>
      </w:pPr>
      <w:r>
        <w:rPr>
          <w:rFonts w:ascii="Arial" w:cs="Arial" w:eastAsia="Arial" w:hAnsi="Arial"/>
          <w:sz w:val="12"/>
          <w:szCs w:val="12"/>
          <w:color w:val="auto"/>
        </w:rPr>
        <w:t xml:space="preserve">In 2021, Janssen received approvals in the U.S., Europe and other markets for amivantamab, marketed as RYBREVANT, for the treatment of certain adult patients with NSCLC with EGFR exon 20 insertion mutations. These were the first regulatory approvals for a therapy that was created using Genmab’s proprietary DuoBody bispecific technology platform. Under our agreement with Janssen, Genmab will receive milestones and royalties between 8% and 10% on net sales of RYBREVANT.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DuoBody collaboration with Jansen.</w:t>
      </w:r>
    </w:p>
    <w:p>
      <w:pPr>
        <w:spacing w:after="0" w:line="119" w:lineRule="exact"/>
        <w:rPr>
          <w:sz w:val="20"/>
          <w:szCs w:val="20"/>
          <w:color w:val="auto"/>
        </w:rPr>
      </w:pPr>
    </w:p>
    <w:p>
      <w:pPr>
        <w:ind w:left="20" w:right="639"/>
        <w:spacing w:after="0" w:line="273" w:lineRule="auto"/>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U.S. Prescribing Information</w:t>
      </w:r>
      <w:r>
        <w:rPr>
          <w:rFonts w:ascii="Arial" w:cs="Arial" w:eastAsia="Arial" w:hAnsi="Arial"/>
          <w:sz w:val="12"/>
          <w:szCs w:val="12"/>
          <w:color w:val="auto"/>
        </w:rPr>
        <w:t xml:space="preserve"> and the </w:t>
      </w:r>
      <w:r>
        <w:rPr>
          <w:rFonts w:ascii="Arial" w:cs="Arial" w:eastAsia="Arial" w:hAnsi="Arial"/>
          <w:sz w:val="12"/>
          <w:szCs w:val="12"/>
          <w:color w:val="029C93"/>
        </w:rPr>
        <w:t>European Summary of Product Characteristics</w:t>
      </w:r>
      <w:r>
        <w:rPr>
          <w:rFonts w:ascii="Arial" w:cs="Arial" w:eastAsia="Arial" w:hAnsi="Arial"/>
          <w:sz w:val="12"/>
          <w:szCs w:val="12"/>
          <w:color w:val="auto"/>
        </w:rPr>
        <w:t xml:space="preserve"> for RYBREVANT for the labeled indication and safety information.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TECVAYLI (teclistamab)</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Bispecific Antibody Approved for the Treatment of Relapsed and Refractory Multiple Myeloma</w:t>
      </w:r>
    </w:p>
    <w:p>
      <w:pPr>
        <w:spacing w:after="0" w:line="127" w:lineRule="exact"/>
        <w:rPr>
          <w:sz w:val="20"/>
          <w:szCs w:val="20"/>
          <w:color w:val="auto"/>
        </w:rPr>
      </w:pPr>
    </w:p>
    <w:p>
      <w:pPr>
        <w:ind w:left="480" w:hanging="222"/>
        <w:spacing w:after="0"/>
        <w:tabs>
          <w:tab w:leader="none" w:pos="480" w:val="left"/>
        </w:tabs>
        <w:numPr>
          <w:ilvl w:val="0"/>
          <w:numId w:val="51"/>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Part of Genmab and Janssen DuoBody research and license agreement</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1"/>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Second approved medicine created using Genmab’s proprietary DuoBody technology platform</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1"/>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Under the agreement with Janssen, Genmab will receive milestones and royalties on net sales of TECVAYLI</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4" w:name="page35"/>
    <w:bookmarkEnd w:id="3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In July 2012, Genmab entered into a collaboration with Janssen to create and develop bispecific antibodies using Genmab’s DuoBody technology platform. One of the products subsequently discovered and developed by Janssen is teclistamab, a bispecific antibody that targets CD3, which is expressed on T-cells and B-cell maturation antigen (BCMA), which is expressed on mature B lymphocytes.</w:t>
      </w:r>
    </w:p>
    <w:p>
      <w:pPr>
        <w:spacing w:after="0" w:line="113" w:lineRule="exact"/>
        <w:rPr>
          <w:sz w:val="20"/>
          <w:szCs w:val="20"/>
          <w:color w:val="auto"/>
        </w:rPr>
      </w:pPr>
    </w:p>
    <w:p>
      <w:pPr>
        <w:ind w:left="20" w:right="39"/>
        <w:spacing w:after="0" w:line="245" w:lineRule="auto"/>
        <w:rPr>
          <w:sz w:val="20"/>
          <w:szCs w:val="20"/>
          <w:color w:val="auto"/>
        </w:rPr>
      </w:pPr>
      <w:r>
        <w:rPr>
          <w:rFonts w:ascii="Arial" w:cs="Arial" w:eastAsia="Arial" w:hAnsi="Arial"/>
          <w:sz w:val="12"/>
          <w:szCs w:val="12"/>
          <w:color w:val="auto"/>
        </w:rPr>
        <w:t>In August 2022, Janssen received conditional marketing authorization from the European Commission for subcutaneously administered teclistamab, marketed as TECVAYLI, as monotherapy for the treatment of adult patients with relapsed and refractory multiple myeloma. Patients must have received at least three prior therapies, including an immunomodulatory agent, a proteasome inhibitor, and a CD38 antibody and have demonstrated disease progression on the last therapy. In October 2022, Janssen received U.S. FDA approval of TECVAYLI™ (teclistamab-cqyv) for the treatment of adult patients with relapsed or refractory multiple myeloma, who previously received four or more prior lines of therapy, including a proteasome inhibitor, immunomodulatory drug and anti-CD38 monoclonal antibody.</w:t>
      </w:r>
    </w:p>
    <w:p>
      <w:pPr>
        <w:spacing w:after="0" w:line="121" w:lineRule="exact"/>
        <w:rPr>
          <w:sz w:val="20"/>
          <w:szCs w:val="20"/>
          <w:color w:val="auto"/>
        </w:rPr>
      </w:pPr>
    </w:p>
    <w:p>
      <w:pPr>
        <w:jc w:val="both"/>
        <w:ind w:left="20" w:right="59"/>
        <w:spacing w:after="0" w:line="255" w:lineRule="auto"/>
        <w:rPr>
          <w:sz w:val="20"/>
          <w:szCs w:val="20"/>
          <w:color w:val="auto"/>
        </w:rPr>
      </w:pPr>
      <w:r>
        <w:rPr>
          <w:rFonts w:ascii="Arial" w:cs="Arial" w:eastAsia="Arial" w:hAnsi="Arial"/>
          <w:sz w:val="12"/>
          <w:szCs w:val="12"/>
          <w:color w:val="auto"/>
        </w:rPr>
        <w:t xml:space="preserve">TECVAYLI is the second therapy created using Genmab’s proprietary DuoBody bispecific technology platform to receive regulatory approval. Under our agreement with Janssen, Genmab will receive milestones and a mid-single digit royalty on net sales of TECVAYLI.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DuoBody collaboration with Jansen.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color w:val="029C93"/>
        </w:rPr>
        <w:t>U.S. Prescribing Information</w:t>
      </w:r>
      <w:r>
        <w:rPr>
          <w:rFonts w:ascii="Arial" w:cs="Arial" w:eastAsia="Arial" w:hAnsi="Arial"/>
          <w:sz w:val="12"/>
          <w:szCs w:val="12"/>
          <w:color w:val="auto"/>
        </w:rPr>
        <w:t xml:space="preserve"> and the </w:t>
      </w:r>
      <w:r>
        <w:rPr>
          <w:rFonts w:ascii="Arial" w:cs="Arial" w:eastAsia="Arial" w:hAnsi="Arial"/>
          <w:sz w:val="12"/>
          <w:szCs w:val="12"/>
          <w:color w:val="029C93"/>
        </w:rPr>
        <w:t>European Summary of Product Characteristics</w:t>
      </w:r>
      <w:r>
        <w:rPr>
          <w:rFonts w:ascii="Arial" w:cs="Arial" w:eastAsia="Arial" w:hAnsi="Arial"/>
          <w:sz w:val="12"/>
          <w:szCs w:val="12"/>
          <w:color w:val="auto"/>
        </w:rPr>
        <w:t xml:space="preserve"> for TECVAYLI for the labeled indication and safety information.</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Antibody Technologies</w:t>
      </w:r>
    </w:p>
    <w:p>
      <w:pPr>
        <w:spacing w:after="0" w:line="151" w:lineRule="exact"/>
        <w:rPr>
          <w:sz w:val="20"/>
          <w:szCs w:val="20"/>
          <w:color w:val="auto"/>
        </w:rPr>
      </w:pPr>
    </w:p>
    <w:p>
      <w:pPr>
        <w:ind w:left="20" w:right="59"/>
        <w:spacing w:after="0" w:line="243" w:lineRule="auto"/>
        <w:rPr>
          <w:sz w:val="20"/>
          <w:szCs w:val="20"/>
          <w:color w:val="auto"/>
        </w:rPr>
      </w:pPr>
      <w:r>
        <w:rPr>
          <w:rFonts w:ascii="Arial" w:cs="Arial" w:eastAsia="Arial" w:hAnsi="Arial"/>
          <w:sz w:val="12"/>
          <w:szCs w:val="12"/>
          <w:color w:val="auto"/>
        </w:rPr>
        <w:t xml:space="preserve">Antibodies are Y-shaped proteins that play a central role in immunity against bacteria and viruses (also known as pathogens). As we develop immunity, our bodies generate antibodies that bind to pathogen structures (known as antigens), which are specific to the pathogen. Once bound, the antibodies attract other parts of the immune system to eliminate the pathogen. In modern medicine, we have learned how to create and develop specific antibodies against antigens associated with diseased human cells for use in the treatment of diseases such as cancer and autoimmune disease. Genmab uses several types of technologies to create antibodies to treat disease and has developed proprietary antibody technologies including the DuoBody, HexaBody, DuoHexaBody and HexElect technology platforms. Information about these technologies can be found in the following sections and at </w:t>
      </w:r>
      <w:r>
        <w:rPr>
          <w:rFonts w:ascii="Arial" w:cs="Arial" w:eastAsia="Arial" w:hAnsi="Arial"/>
          <w:sz w:val="12"/>
          <w:szCs w:val="12"/>
          <w:color w:val="029C93"/>
        </w:rPr>
        <w:t>www.genmab.com/research-innovation/antibody-technology-platforms/.</w:t>
      </w:r>
    </w:p>
    <w:p>
      <w:pPr>
        <w:spacing w:after="0" w:line="123"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We also use or license several other technologies to generate diverse libraries of high-quality, functional antibodies. In addition, we use or license technologies to increase the potency of some of our antibody therapeutics on a product-by-product basis, including ADCs. ADCs are antibodies with potent cytotoxic agents coupled to them. By using antibodies that recognize specific targets on tumor cells, these cytotoxic agents are preferentially delivered to the tumor cells.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Our Proprietary Technology Platform Suite</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145"/>
        </w:trPr>
        <w:tc>
          <w:tcPr>
            <w:tcW w:w="4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Platform</w:t>
            </w:r>
          </w:p>
        </w:tc>
        <w:tc>
          <w:tcPr>
            <w:tcW w:w="2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Principle</w:t>
            </w:r>
          </w:p>
        </w:tc>
        <w:tc>
          <w:tcPr>
            <w:tcW w:w="2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Applications</w:t>
            </w:r>
          </w:p>
        </w:tc>
      </w:tr>
      <w:tr>
        <w:trPr>
          <w:trHeight w:val="112"/>
        </w:trPr>
        <w:tc>
          <w:tcPr>
            <w:tcW w:w="4480" w:type="dxa"/>
            <w:vAlign w:val="bottom"/>
            <w:tcBorders>
              <w:left w:val="single" w:sz="8" w:color="auto"/>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DuoBody</w:t>
            </w:r>
          </w:p>
        </w:tc>
        <w:tc>
          <w:tcPr>
            <w:tcW w:w="224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Bispecific antibodies</w:t>
            </w:r>
          </w:p>
        </w:tc>
        <w:tc>
          <w:tcPr>
            <w:tcW w:w="2240" w:type="dxa"/>
            <w:vAlign w:val="bottom"/>
            <w:tcBorders>
              <w:right w:val="single" w:sz="8" w:color="auto"/>
            </w:tcBorders>
            <w:gridSpan w:val="2"/>
          </w:tcPr>
          <w:p>
            <w:pPr>
              <w:ind w:left="40"/>
              <w:spacing w:after="0" w:line="113" w:lineRule="exact"/>
              <w:rPr>
                <w:sz w:val="20"/>
                <w:szCs w:val="20"/>
                <w:color w:val="auto"/>
              </w:rPr>
            </w:pPr>
            <w:r>
              <w:rPr>
                <w:rFonts w:ascii="Arial" w:cs="Arial" w:eastAsia="Arial" w:hAnsi="Arial"/>
                <w:sz w:val="12"/>
                <w:szCs w:val="12"/>
                <w:color w:val="auto"/>
              </w:rPr>
              <w:t>Dual-targeting:</w:t>
            </w:r>
          </w:p>
        </w:tc>
      </w:tr>
      <w:tr>
        <w:trPr>
          <w:trHeight w:val="145"/>
        </w:trPr>
        <w:tc>
          <w:tcPr>
            <w:tcW w:w="44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Recruitment (e.g., T cells)</w:t>
            </w:r>
          </w:p>
        </w:tc>
      </w:tr>
      <w:tr>
        <w:trPr>
          <w:trHeight w:val="160"/>
        </w:trPr>
        <w:tc>
          <w:tcPr>
            <w:tcW w:w="448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Tumor heterogeneity</w:t>
            </w:r>
          </w:p>
        </w:tc>
      </w:tr>
      <w:tr>
        <w:trPr>
          <w:trHeight w:val="225"/>
        </w:trPr>
        <w:tc>
          <w:tcPr>
            <w:tcW w:w="44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2"/>
          </w:tcPr>
          <w:p>
            <w:pPr>
              <w:spacing w:after="0"/>
              <w:rPr>
                <w:sz w:val="19"/>
                <w:szCs w:val="19"/>
                <w:color w:val="auto"/>
              </w:rPr>
            </w:pPr>
          </w:p>
        </w:tc>
      </w:tr>
      <w:tr>
        <w:trPr>
          <w:trHeight w:val="112"/>
        </w:trPr>
        <w:tc>
          <w:tcPr>
            <w:tcW w:w="4480" w:type="dxa"/>
            <w:vAlign w:val="bottom"/>
            <w:tcBorders>
              <w:left w:val="single" w:sz="8" w:color="auto"/>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HexaBody</w:t>
            </w:r>
          </w:p>
        </w:tc>
        <w:tc>
          <w:tcPr>
            <w:tcW w:w="224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Target-mediated enhanced</w:t>
            </w:r>
          </w:p>
        </w:tc>
        <w:tc>
          <w:tcPr>
            <w:tcW w:w="2240" w:type="dxa"/>
            <w:vAlign w:val="bottom"/>
            <w:tcBorders>
              <w:right w:val="single" w:sz="8" w:color="auto"/>
            </w:tcBorders>
            <w:gridSpan w:val="2"/>
          </w:tcPr>
          <w:p>
            <w:pPr>
              <w:ind w:left="40"/>
              <w:spacing w:after="0" w:line="113" w:lineRule="exact"/>
              <w:rPr>
                <w:sz w:val="20"/>
                <w:szCs w:val="20"/>
                <w:color w:val="auto"/>
              </w:rPr>
            </w:pPr>
            <w:r>
              <w:rPr>
                <w:rFonts w:ascii="Arial" w:cs="Arial" w:eastAsia="Arial" w:hAnsi="Arial"/>
                <w:sz w:val="12"/>
                <w:szCs w:val="12"/>
                <w:color w:val="auto"/>
              </w:rPr>
              <w:t>Enhanced potency:</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40"/>
              <w:spacing w:after="0" w:line="137" w:lineRule="exact"/>
              <w:rPr>
                <w:sz w:val="20"/>
                <w:szCs w:val="20"/>
                <w:color w:val="auto"/>
              </w:rPr>
            </w:pPr>
            <w:r>
              <w:rPr>
                <w:rFonts w:ascii="Arial" w:cs="Arial" w:eastAsia="Arial" w:hAnsi="Arial"/>
                <w:sz w:val="12"/>
                <w:szCs w:val="12"/>
                <w:color w:val="auto"/>
              </w:rPr>
              <w:t>hexamerization</w:t>
            </w:r>
          </w:p>
        </w:tc>
        <w:tc>
          <w:tcPr>
            <w:tcW w:w="18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6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2"/>
                <w:szCs w:val="12"/>
                <w:color w:val="auto"/>
              </w:rPr>
              <w:t>Complement-dependent</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cytotoxicity (CDC)</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gridSpan w:val="2"/>
          </w:tcPr>
          <w:p>
            <w:pPr>
              <w:ind w:left="4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Target clustering, outside-in</w:t>
            </w:r>
          </w:p>
        </w:tc>
      </w:tr>
      <w:tr>
        <w:trPr>
          <w:trHeight w:val="159"/>
        </w:trPr>
        <w:tc>
          <w:tcPr>
            <w:tcW w:w="448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signaling, apoptosis</w:t>
            </w:r>
          </w:p>
        </w:tc>
      </w:tr>
      <w:tr>
        <w:trPr>
          <w:trHeight w:val="288"/>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4"/>
                <w:szCs w:val="24"/>
                <w:color w:val="auto"/>
              </w:rPr>
            </w:pPr>
          </w:p>
        </w:tc>
      </w:tr>
      <w:tr>
        <w:trPr>
          <w:trHeight w:val="112"/>
        </w:trPr>
        <w:tc>
          <w:tcPr>
            <w:tcW w:w="4480" w:type="dxa"/>
            <w:vAlign w:val="bottom"/>
            <w:tcBorders>
              <w:left w:val="single" w:sz="8" w:color="auto"/>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DuoHexaBody</w:t>
            </w:r>
          </w:p>
        </w:tc>
        <w:tc>
          <w:tcPr>
            <w:tcW w:w="224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Bispecific antibodies with target-</w:t>
            </w:r>
          </w:p>
        </w:tc>
        <w:tc>
          <w:tcPr>
            <w:tcW w:w="2240" w:type="dxa"/>
            <w:vAlign w:val="bottom"/>
            <w:tcBorders>
              <w:right w:val="single" w:sz="8" w:color="auto"/>
            </w:tcBorders>
            <w:gridSpan w:val="2"/>
          </w:tcPr>
          <w:p>
            <w:pPr>
              <w:ind w:left="40"/>
              <w:spacing w:after="0" w:line="113" w:lineRule="exact"/>
              <w:rPr>
                <w:sz w:val="20"/>
                <w:szCs w:val="20"/>
                <w:color w:val="auto"/>
              </w:rPr>
            </w:pPr>
            <w:r>
              <w:rPr>
                <w:rFonts w:ascii="Arial" w:cs="Arial" w:eastAsia="Arial" w:hAnsi="Arial"/>
                <w:sz w:val="12"/>
                <w:szCs w:val="12"/>
                <w:color w:val="auto"/>
              </w:rPr>
              <w:t>Dual-targeting + enhanced potency:</w:t>
            </w:r>
          </w:p>
        </w:tc>
      </w:tr>
      <w:tr>
        <w:trPr>
          <w:trHeight w:val="145"/>
        </w:trPr>
        <w:tc>
          <w:tcPr>
            <w:tcW w:w="44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mediated enhanced hexamerization</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CDC</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gridSpan w:val="2"/>
          </w:tcPr>
          <w:p>
            <w:pPr>
              <w:ind w:left="4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Target clustering, outside-in</w:t>
            </w:r>
          </w:p>
        </w:tc>
      </w:tr>
      <w:tr>
        <w:trPr>
          <w:trHeight w:val="159"/>
        </w:trPr>
        <w:tc>
          <w:tcPr>
            <w:tcW w:w="448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signaling, apoptosis</w:t>
            </w:r>
          </w:p>
        </w:tc>
      </w:tr>
      <w:tr>
        <w:trPr>
          <w:trHeight w:val="415"/>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4"/>
                <w:szCs w:val="24"/>
                <w:color w:val="auto"/>
              </w:rPr>
            </w:pPr>
          </w:p>
        </w:tc>
      </w:tr>
      <w:tr>
        <w:trPr>
          <w:trHeight w:val="112"/>
        </w:trPr>
        <w:tc>
          <w:tcPr>
            <w:tcW w:w="4480" w:type="dxa"/>
            <w:vAlign w:val="bottom"/>
            <w:tcBorders>
              <w:left w:val="single" w:sz="8" w:color="auto"/>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HexElect</w:t>
            </w:r>
          </w:p>
        </w:tc>
        <w:tc>
          <w:tcPr>
            <w:tcW w:w="224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Two co-dependent antibodies with</w:t>
            </w:r>
          </w:p>
        </w:tc>
        <w:tc>
          <w:tcPr>
            <w:tcW w:w="2240" w:type="dxa"/>
            <w:vAlign w:val="bottom"/>
            <w:tcBorders>
              <w:right w:val="single" w:sz="8" w:color="auto"/>
            </w:tcBorders>
            <w:gridSpan w:val="2"/>
          </w:tcPr>
          <w:p>
            <w:pPr>
              <w:ind w:left="40"/>
              <w:spacing w:after="0" w:line="113" w:lineRule="exact"/>
              <w:rPr>
                <w:sz w:val="20"/>
                <w:szCs w:val="20"/>
                <w:color w:val="auto"/>
              </w:rPr>
            </w:pPr>
            <w:r>
              <w:rPr>
                <w:rFonts w:ascii="Arial" w:cs="Arial" w:eastAsia="Arial" w:hAnsi="Arial"/>
                <w:sz w:val="12"/>
                <w:szCs w:val="12"/>
                <w:color w:val="auto"/>
              </w:rPr>
              <w:t>Dual-targeting + enhanced potency</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target-mediated enhanced</w:t>
            </w:r>
          </w:p>
        </w:tc>
        <w:tc>
          <w:tcPr>
            <w:tcW w:w="2240" w:type="dxa"/>
            <w:vAlign w:val="bottom"/>
            <w:tcBorders>
              <w:right w:val="single" w:sz="8" w:color="auto"/>
            </w:tcBorders>
            <w:gridSpan w:val="2"/>
          </w:tcPr>
          <w:p>
            <w:pPr>
              <w:ind w:left="40"/>
              <w:spacing w:after="0" w:line="136" w:lineRule="exact"/>
              <w:rPr>
                <w:sz w:val="20"/>
                <w:szCs w:val="20"/>
                <w:color w:val="auto"/>
              </w:rPr>
            </w:pPr>
            <w:r>
              <w:rPr>
                <w:rFonts w:ascii="Arial" w:cs="Arial" w:eastAsia="Arial" w:hAnsi="Arial"/>
                <w:sz w:val="12"/>
                <w:szCs w:val="12"/>
                <w:color w:val="auto"/>
              </w:rPr>
              <w:t>and selectivity:</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ind w:left="40"/>
              <w:spacing w:after="0" w:line="137" w:lineRule="exact"/>
              <w:rPr>
                <w:sz w:val="20"/>
                <w:szCs w:val="20"/>
                <w:color w:val="auto"/>
              </w:rPr>
            </w:pPr>
            <w:r>
              <w:rPr>
                <w:rFonts w:ascii="Arial" w:cs="Arial" w:eastAsia="Arial" w:hAnsi="Arial"/>
                <w:sz w:val="12"/>
                <w:szCs w:val="12"/>
                <w:color w:val="auto"/>
              </w:rPr>
              <w:t>hexamerization</w:t>
            </w:r>
          </w:p>
        </w:tc>
        <w:tc>
          <w:tcPr>
            <w:tcW w:w="180" w:type="dxa"/>
            <w:vAlign w:val="bottom"/>
          </w:tcPr>
          <w:p>
            <w:pPr>
              <w:ind w:lef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6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2"/>
                <w:szCs w:val="12"/>
                <w:color w:val="auto"/>
              </w:rPr>
              <w:t>Co-dependent unlocking of</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potency</w:t>
            </w:r>
          </w:p>
        </w:tc>
      </w:tr>
      <w:tr>
        <w:trPr>
          <w:trHeight w:val="136"/>
        </w:trPr>
        <w:tc>
          <w:tcPr>
            <w:tcW w:w="44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gridSpan w:val="2"/>
          </w:tcPr>
          <w:p>
            <w:pPr>
              <w:ind w:left="4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New target space, previously</w:t>
            </w:r>
          </w:p>
        </w:tc>
      </w:tr>
      <w:tr>
        <w:trPr>
          <w:trHeight w:val="159"/>
        </w:trPr>
        <w:tc>
          <w:tcPr>
            <w:tcW w:w="448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inaccessible</w:t>
            </w:r>
          </w:p>
        </w:tc>
      </w:tr>
      <w:tr>
        <w:trPr>
          <w:trHeight w:val="152"/>
        </w:trPr>
        <w:tc>
          <w:tcPr>
            <w:tcW w:w="448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-2301875</wp:posOffset>
            </wp:positionV>
            <wp:extent cx="310515" cy="328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0515" cy="328295"/>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-1881505</wp:posOffset>
            </wp:positionV>
            <wp:extent cx="541020" cy="1790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020" cy="179006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DuoBody Technology Platform</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Innovative Technology for Bispecific Antibody Therapeutics</w:t>
      </w:r>
    </w:p>
    <w:p>
      <w:pPr>
        <w:spacing w:after="0" w:line="127" w:lineRule="exact"/>
        <w:rPr>
          <w:sz w:val="20"/>
          <w:szCs w:val="20"/>
          <w:color w:val="auto"/>
        </w:rPr>
      </w:pPr>
    </w:p>
    <w:p>
      <w:pPr>
        <w:ind w:left="480" w:hanging="222"/>
        <w:spacing w:after="0"/>
        <w:tabs>
          <w:tab w:leader="none" w:pos="480" w:val="left"/>
        </w:tabs>
        <w:numPr>
          <w:ilvl w:val="0"/>
          <w:numId w:val="5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Bispecific antibody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Potential in cancer, autoimmune, infectious, cardiovascular, central nervous system diseases and hemophilia</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Commercial collaborations with AbbVie, Janssen and BioNTech among others, plus multiple research collaborations</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 regulatory approvals for medicines created using the DuoBody technology platform – Janssen’s RYBREVANT and TECVAYLI</w:t>
      </w:r>
    </w:p>
    <w:p>
      <w:pPr>
        <w:spacing w:after="0" w:line="6" w:lineRule="exact"/>
        <w:rPr>
          <w:rFonts w:ascii="Times New Roman" w:cs="Times New Roman" w:eastAsia="Times New Roman" w:hAnsi="Times New Roman"/>
          <w:sz w:val="12"/>
          <w:szCs w:val="12"/>
          <w:color w:val="029C93"/>
        </w:rPr>
      </w:pPr>
    </w:p>
    <w:p>
      <w:pPr>
        <w:ind w:left="480" w:right="79" w:hanging="222"/>
        <w:spacing w:after="0" w:line="262" w:lineRule="auto"/>
        <w:tabs>
          <w:tab w:leader="none" w:pos="480" w:val="left"/>
        </w:tabs>
        <w:numPr>
          <w:ilvl w:val="0"/>
          <w:numId w:val="52"/>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In the second half of 2022, Genmab submitted a BLA to the U.S. FDA and a JNDA to the MHLW for SC epcoritamab for the treatment of patients with relapsed/refractory LBCL. AbbVie submitted an MAA to the EMA for SC epcoritamab for the treatment of patients with relapsed/refractory DLBCL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6" w:name="page37"/>
    <w:bookmarkEnd w:id="3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39"/>
        <w:spacing w:after="0" w:line="241" w:lineRule="auto"/>
        <w:rPr>
          <w:sz w:val="20"/>
          <w:szCs w:val="20"/>
          <w:color w:val="auto"/>
        </w:rPr>
      </w:pPr>
      <w:r>
        <w:rPr>
          <w:rFonts w:ascii="Arial" w:cs="Arial" w:eastAsia="Arial" w:hAnsi="Arial"/>
          <w:sz w:val="12"/>
          <w:szCs w:val="12"/>
          <w:color w:val="auto"/>
        </w:rPr>
        <w:t>The DuoBody technology platform is Genmab’s innovative platform for the discovery and development of bispecific antibodies. Bispecific antibodies bind to two different epitopes (or “docking” sites) either on the same or on different targets (also known as dual-targeting). Dual -targeting may improve binding specificity and enhance therapeutic efficacy or bring two different cells together (for example, engaging a T cell to kill a tumor cell). Bispecific antibodies generated with the DuoBody technology platform can be used for the development of therapeutics for diseases such as cancer, autoimmune, infectious, cardiovascular, central nervous system diseases and hemophilia. DuoBody molecules combine the benefits of bispecificity with the strengths of conventional antibodies, which allows DuoBody molecules to be administered and dosed the same way as other antibody therapeutics. Genmab’s DuoBody technology platform generates bispecific antibodies via a versatile and broadly applicable process that is easily performed at high throughput, standard bench, as well as at commercial manufacturing scale. Genmab uses the DuoBody technology platform to create its own bispecific antibody programs and the technology is also available for licensing. Genmab has numerous alliances for the DuoBody technology platform including commercial collaborations with AbbVie, Janssen, Novo Nordisk, BioNTech and Immatics.</w:t>
      </w:r>
    </w:p>
    <w:p>
      <w:pPr>
        <w:spacing w:after="0" w:line="122" w:lineRule="exact"/>
        <w:rPr>
          <w:sz w:val="20"/>
          <w:szCs w:val="20"/>
          <w:color w:val="auto"/>
        </w:rPr>
      </w:pPr>
    </w:p>
    <w:p>
      <w:pPr>
        <w:ind w:left="20" w:right="299"/>
        <w:spacing w:after="0" w:line="255" w:lineRule="auto"/>
        <w:rPr>
          <w:sz w:val="20"/>
          <w:szCs w:val="20"/>
          <w:color w:val="auto"/>
        </w:rPr>
      </w:pPr>
      <w:r>
        <w:rPr>
          <w:rFonts w:ascii="Arial" w:cs="Arial" w:eastAsia="Arial" w:hAnsi="Arial"/>
          <w:sz w:val="12"/>
          <w:szCs w:val="12"/>
          <w:color w:val="auto"/>
        </w:rPr>
        <w:t>Genmab’s proprietary DuoBody technology platform has been applied to a variety of bispecific antibody products in development, both in our own pipeline and in programs being developed by collaboration partners. The technology has been validated by the continued advancement of these investigational medicines through clinical development, including two medicines approved in both the U.S. and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85725</wp:posOffset>
            </wp:positionV>
            <wp:extent cx="5697855" cy="541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7855" cy="541020"/>
                    </a:xfrm>
                    <a:prstGeom prst="rect">
                      <a:avLst/>
                    </a:prstGeom>
                    <a:noFill/>
                  </pic:spPr>
                </pic:pic>
              </a:graphicData>
            </a:graphic>
          </wp:anchor>
        </w:drawing>
      </w:r>
    </w:p>
    <w:p>
      <w:pPr>
        <w:spacing w:after="0" w:line="256" w:lineRule="exact"/>
        <w:rPr>
          <w:sz w:val="20"/>
          <w:szCs w:val="20"/>
          <w:color w:val="auto"/>
        </w:rPr>
      </w:pPr>
    </w:p>
    <w:p>
      <w:pPr>
        <w:ind w:left="100" w:right="99"/>
        <w:spacing w:after="0" w:line="248" w:lineRule="auto"/>
        <w:rPr>
          <w:sz w:val="20"/>
          <w:szCs w:val="20"/>
          <w:color w:val="auto"/>
        </w:rPr>
      </w:pPr>
      <w:r>
        <w:rPr>
          <w:rFonts w:ascii="Arial" w:cs="Arial" w:eastAsia="Arial" w:hAnsi="Arial"/>
          <w:sz w:val="12"/>
          <w:szCs w:val="12"/>
          <w:color w:val="auto"/>
        </w:rPr>
        <w:t>The innovative DuoBody technology platform generates bispecific antibodies via a fast, versatile and broadly applicable process called controlled Fab-arm exchange. With only minimal protein engineering, the technology allows the binding arms of two distinct monoclonal antibodies to exchange, combining into one stable bispecific antibody, thereby retaining regular immunoglobulin structure and function. The DuoBody technology platform is also highly suitable for high throughput generation, screening and discovery of bispecific antibodies in final therapeutic format.</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DuoBody Collaborations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Advancing Our Pipeline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AbbVie</w:t>
      </w:r>
    </w:p>
    <w:p>
      <w:pPr>
        <w:spacing w:after="0" w:line="10" w:lineRule="exact"/>
        <w:rPr>
          <w:sz w:val="20"/>
          <w:szCs w:val="20"/>
          <w:color w:val="auto"/>
        </w:rPr>
      </w:pPr>
    </w:p>
    <w:p>
      <w:pPr>
        <w:ind w:left="20" w:right="79"/>
        <w:spacing w:after="0" w:line="239" w:lineRule="auto"/>
        <w:rPr>
          <w:sz w:val="20"/>
          <w:szCs w:val="20"/>
          <w:color w:val="auto"/>
        </w:rPr>
      </w:pPr>
      <w:r>
        <w:rPr>
          <w:rFonts w:ascii="Arial" w:cs="Arial" w:eastAsia="Arial" w:hAnsi="Arial"/>
          <w:sz w:val="12"/>
          <w:szCs w:val="12"/>
          <w:color w:val="auto"/>
        </w:rPr>
        <w:t>On June 10, 2020, Genmab entered into a broad oncology collaboration agreement with AbbVie to jointly develop and commercialize products including epcoritamab (DuoBody-CD3xCD20), and subsequently into a discovery research collaboration for up to four future differentiated antibody therapeutics for cancer. The companies will share commercial responsibilities for epcoritamab in the U.S. and Japan, with AbbVie responsible for further global commercialization. Genmab will be the principal for net sales in the U.S. and Japan and will receive tiered royalties on remaining global sales outside of these territories. For any product candidates developed as a result of the companies’ discovery research collaboration, Genmab and AbbVie will share responsibilities for global development and commercialization in the U.S. and Japan. Genmab retains the right to co-commercialize these products, along with AbbVie, outside of the U.S. and Japan.</w:t>
      </w:r>
    </w:p>
    <w:p>
      <w:pPr>
        <w:spacing w:after="0" w:line="115"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Under the terms of the agreement, Genmab has the potential to receive regulatory and sales milestone payments, as well as tiered royalties between 22% and 26% on net sales for epcoritamab outside the U.S. and Japan. Except for these royalty-bearing sales, the parties will share in pre-tax profits from the potential sale of epcoritamab on a 50:50 basis. If all four next-generation antibody product candidates developed as a</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20" w:right="339"/>
        <w:spacing w:after="0" w:line="255" w:lineRule="auto"/>
        <w:rPr>
          <w:sz w:val="20"/>
          <w:szCs w:val="20"/>
          <w:color w:val="auto"/>
        </w:rPr>
      </w:pPr>
      <w:r>
        <w:rPr>
          <w:rFonts w:ascii="Arial" w:cs="Arial" w:eastAsia="Arial" w:hAnsi="Arial"/>
          <w:sz w:val="12"/>
          <w:szCs w:val="12"/>
          <w:color w:val="auto"/>
        </w:rPr>
        <w:t xml:space="preserve">result of the discovery research collaboration are successful, Genmab is eligible to receive up to USD 2.0 billion in option exercise and success-based milestones. Genmab and AbbVie split 50:50 the development costs related to epcoritamab, while Genmab will be responsible for 100% of the costs for the discovery research programs up to opt-in.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collaboration with AbbVie.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BioNTech</w:t>
      </w:r>
    </w:p>
    <w:p>
      <w:pPr>
        <w:spacing w:after="0" w:line="10" w:lineRule="exact"/>
        <w:rPr>
          <w:sz w:val="20"/>
          <w:szCs w:val="20"/>
          <w:color w:val="auto"/>
        </w:rPr>
      </w:pPr>
    </w:p>
    <w:p>
      <w:pPr>
        <w:ind w:left="20" w:right="79"/>
        <w:spacing w:after="0" w:line="239" w:lineRule="auto"/>
        <w:rPr>
          <w:sz w:val="20"/>
          <w:szCs w:val="20"/>
          <w:color w:val="auto"/>
        </w:rPr>
      </w:pPr>
      <w:r>
        <w:rPr>
          <w:rFonts w:ascii="Arial" w:cs="Arial" w:eastAsia="Arial" w:hAnsi="Arial"/>
          <w:sz w:val="12"/>
          <w:szCs w:val="12"/>
          <w:color w:val="auto"/>
        </w:rPr>
        <w:t>In May 2015, Genmab entered an agreement with BioNTech to jointly research, develop and commercialize bispecific antibody-based investigational medicines using Genmab’s DuoBody technology platform. Under the terms of the agreement, BioNTech will provide proprietary antibodies against key immunomodulatory targets, while Genmab provides proprietary antibodies and access to its DuoBody technology platform. Genmab paid an upfront fee of USD 10 million to BioNTech. If the companies jointly select any antibody-based product candidates for clinical development, development costs and product ownership will be shared equally going forward. If one of the companies does not wish to move an antibody product forward, the other company is entitled to continue developing it on predetermined licensing terms. The agreement also includes provisions which will allow the parties to opt out of joint development at key points. Genmab and BioNTech selected two antibody products for clinical development, DuoBody-CD40x4-1BB (GEN1042/BNT312) and DuoBody-PD-L1x4-1BB (GEN1046/BNT311), both of which are now in clinical trials.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Our Innovative Technology in Action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Janssen</w:t>
      </w:r>
    </w:p>
    <w:p>
      <w:pPr>
        <w:spacing w:after="0" w:line="10" w:lineRule="exact"/>
        <w:rPr>
          <w:sz w:val="20"/>
          <w:szCs w:val="20"/>
          <w:color w:val="auto"/>
        </w:rPr>
      </w:pPr>
    </w:p>
    <w:p>
      <w:pPr>
        <w:ind w:left="20" w:right="99"/>
        <w:spacing w:after="0" w:line="244" w:lineRule="auto"/>
        <w:rPr>
          <w:sz w:val="20"/>
          <w:szCs w:val="20"/>
          <w:color w:val="auto"/>
        </w:rPr>
      </w:pPr>
      <w:r>
        <w:rPr>
          <w:rFonts w:ascii="Arial" w:cs="Arial" w:eastAsia="Arial" w:hAnsi="Arial"/>
          <w:sz w:val="12"/>
          <w:szCs w:val="12"/>
          <w:color w:val="auto"/>
        </w:rPr>
        <w:t>In July 2012, Genmab entered into a collaboration with Janssen to create and develop bispecific antibodies using our DuoBody technology platform. Under this original agreement, Janssen had the right to use the DuoBody technology platform to create panels of bispecific antibodies (up to 10 DuoBody programs) to multiple disease target combinations.</w:t>
      </w:r>
    </w:p>
    <w:p>
      <w:pPr>
        <w:spacing w:after="0" w:line="120" w:lineRule="exact"/>
        <w:rPr>
          <w:sz w:val="20"/>
          <w:szCs w:val="20"/>
          <w:color w:val="auto"/>
        </w:rPr>
      </w:pPr>
    </w:p>
    <w:p>
      <w:pPr>
        <w:ind w:left="20" w:right="79"/>
        <w:spacing w:after="0" w:line="245" w:lineRule="auto"/>
        <w:rPr>
          <w:sz w:val="20"/>
          <w:szCs w:val="20"/>
          <w:color w:val="auto"/>
        </w:rPr>
      </w:pPr>
      <w:r>
        <w:rPr>
          <w:rFonts w:ascii="Arial" w:cs="Arial" w:eastAsia="Arial" w:hAnsi="Arial"/>
          <w:sz w:val="12"/>
          <w:szCs w:val="12"/>
          <w:color w:val="auto"/>
        </w:rPr>
        <w:t xml:space="preserve">As of December 31, 2022, three DuoBody-based investigational medicines created under this collaboration were in the clinic. Two of these, amivantamab and teclistamab, are the first medicines created using the DuoBody technology platform to receive regulatory approval. In December 2022, Janssen submitted a BLA to the U.S. FDA for the third investigational medicine in active clinical development, talquetamab, for the treatment of patients with relapsed or refractory multiple myeloma. Genmab is entitled to milestone payments as well as royalties on sales of each commercialized DuoBody medicine. Please refer to </w:t>
      </w:r>
      <w:r>
        <w:rPr>
          <w:rFonts w:ascii="Arial" w:cs="Arial" w:eastAsia="Arial" w:hAnsi="Arial"/>
          <w:sz w:val="12"/>
          <w:szCs w:val="12"/>
          <w:color w:val="029C93"/>
        </w:rPr>
        <w:t>Note 5.6</w:t>
      </w:r>
      <w:r>
        <w:rPr>
          <w:rFonts w:ascii="Arial" w:cs="Arial" w:eastAsia="Arial" w:hAnsi="Arial"/>
          <w:sz w:val="12"/>
          <w:szCs w:val="12"/>
          <w:color w:val="auto"/>
        </w:rPr>
        <w:t xml:space="preserve"> of the financial statements for further details regarding the DuoBody collaboration with Janssen.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Novo Nordisk</w:t>
      </w:r>
    </w:p>
    <w:p>
      <w:pPr>
        <w:spacing w:after="0" w:line="10" w:lineRule="exact"/>
        <w:rPr>
          <w:sz w:val="20"/>
          <w:szCs w:val="20"/>
          <w:color w:val="auto"/>
        </w:rPr>
      </w:pPr>
    </w:p>
    <w:p>
      <w:pPr>
        <w:ind w:left="20" w:right="199"/>
        <w:spacing w:after="0"/>
        <w:rPr>
          <w:sz w:val="20"/>
          <w:szCs w:val="20"/>
          <w:color w:val="auto"/>
        </w:rPr>
      </w:pPr>
      <w:r>
        <w:rPr>
          <w:rFonts w:ascii="Arial" w:cs="Arial" w:eastAsia="Arial" w:hAnsi="Arial"/>
          <w:sz w:val="12"/>
          <w:szCs w:val="12"/>
          <w:color w:val="auto"/>
        </w:rPr>
        <w:t>In August 2015, Genmab entered an agreement to grant Novo Nordisk commercial licenses to use the DuoBody technology platform to create and develop bispecific antibody candidates for two therapeutic programs that would target a disease area outside of cancer therapeutics. After an initial period of exclusivity for both target combinations, Novo Nordisk extended exclusivity of the commercial license for one target combination in 2018, now in clinical development as Mim8. Under the exclusive license agreement, Genmab is entitled to potential milestones and will be entitled to single digit royalties on sales of Mim8, should it receive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Collaborations Across the Pharma and Biotech Ecosystem</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Immatics</w:t>
      </w:r>
    </w:p>
    <w:p>
      <w:pPr>
        <w:spacing w:after="0" w:line="10" w:lineRule="exact"/>
        <w:rPr>
          <w:sz w:val="20"/>
          <w:szCs w:val="20"/>
          <w:color w:val="auto"/>
        </w:rPr>
      </w:pPr>
    </w:p>
    <w:p>
      <w:pPr>
        <w:ind w:left="20" w:right="79"/>
        <w:spacing w:after="0" w:line="234" w:lineRule="auto"/>
        <w:rPr>
          <w:sz w:val="20"/>
          <w:szCs w:val="20"/>
          <w:color w:val="auto"/>
        </w:rPr>
      </w:pPr>
      <w:r>
        <w:rPr>
          <w:rFonts w:ascii="Arial" w:cs="Arial" w:eastAsia="Arial" w:hAnsi="Arial"/>
          <w:sz w:val="12"/>
          <w:szCs w:val="12"/>
          <w:color w:val="auto"/>
        </w:rPr>
        <w:t>In July 2018, Genmab entered into a research collaboration and exclusive license agreement with Immatics to discover and develop next-generation bispecific immunotherapies to target multiple cancer indications. Genmab received an exclusive license to three proprietary targets from Immatics, with an option to license up to two additional targets at predetermined economics. Under the terms of the agreement, Genmab paid Immatics an upfront fee of USD 54 million and Immatics is eligible to receive up to USD 550 million in development, regulatory and commercial milestone payments for each antibody product, as well as tiered royalties on net sales.</w:t>
      </w:r>
    </w:p>
    <w:p>
      <w:pPr>
        <w:ind w:left="20"/>
        <w:spacing w:after="0" w:line="229" w:lineRule="auto"/>
        <w:rPr>
          <w:sz w:val="20"/>
          <w:szCs w:val="20"/>
          <w:color w:val="auto"/>
        </w:rPr>
      </w:pPr>
      <w:r>
        <w:rPr>
          <w:rFonts w:ascii="Arial" w:cs="Arial" w:eastAsia="Arial" w:hAnsi="Arial"/>
          <w:sz w:val="15"/>
          <w:szCs w:val="15"/>
          <w:b w:val="1"/>
          <w:bCs w:val="1"/>
          <w:color w:val="auto"/>
        </w:rPr>
        <w:t>HexaBody Technology Platform</w:t>
      </w:r>
    </w:p>
    <w:p>
      <w:pPr>
        <w:ind w:left="20"/>
        <w:spacing w:after="0"/>
        <w:rPr>
          <w:sz w:val="20"/>
          <w:szCs w:val="20"/>
          <w:color w:val="auto"/>
        </w:rPr>
      </w:pPr>
      <w:r>
        <w:rPr>
          <w:rFonts w:ascii="Arial" w:cs="Arial" w:eastAsia="Arial" w:hAnsi="Arial"/>
          <w:sz w:val="15"/>
          <w:szCs w:val="15"/>
          <w:b w:val="1"/>
          <w:bCs w:val="1"/>
          <w:color w:val="auto"/>
        </w:rPr>
        <w:t>Creating Differentiated Therapeutics</w:t>
      </w:r>
    </w:p>
    <w:p>
      <w:pPr>
        <w:spacing w:after="0" w:line="127" w:lineRule="exact"/>
        <w:rPr>
          <w:sz w:val="20"/>
          <w:szCs w:val="20"/>
          <w:color w:val="auto"/>
        </w:rPr>
      </w:pPr>
    </w:p>
    <w:p>
      <w:pPr>
        <w:ind w:left="480" w:hanging="222"/>
        <w:spacing w:after="0"/>
        <w:tabs>
          <w:tab w:leader="none" w:pos="480" w:val="left"/>
        </w:tabs>
        <w:numPr>
          <w:ilvl w:val="0"/>
          <w:numId w:val="53"/>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Enhanced potency antibody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3"/>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Broadly applicable technology that builds on natural antibody biology</w:t>
      </w:r>
    </w:p>
    <w:p>
      <w:pPr>
        <w:spacing w:after="0" w:line="6"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3"/>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HexaBody-based investigational medicines in clinical development; HexaBody-CD38 (GEN3014) and HexaBody-CD27 (GEN1053/BNT313)</w:t>
      </w:r>
    </w:p>
    <w:p>
      <w:pPr>
        <w:spacing w:after="0" w:line="140" w:lineRule="exact"/>
        <w:rPr>
          <w:sz w:val="20"/>
          <w:szCs w:val="20"/>
          <w:color w:val="auto"/>
        </w:rPr>
      </w:pPr>
    </w:p>
    <w:p>
      <w:pPr>
        <w:ind w:left="20" w:right="59"/>
        <w:spacing w:after="0" w:line="239" w:lineRule="auto"/>
        <w:rPr>
          <w:sz w:val="20"/>
          <w:szCs w:val="20"/>
          <w:color w:val="auto"/>
        </w:rPr>
      </w:pPr>
      <w:r>
        <w:rPr>
          <w:rFonts w:ascii="Arial" w:cs="Arial" w:eastAsia="Arial" w:hAnsi="Arial"/>
          <w:sz w:val="12"/>
          <w:szCs w:val="12"/>
          <w:color w:val="auto"/>
        </w:rPr>
        <w:t>The HexaBody technology platform is a proprietary Genmab technology that is designed to increase the potency of antibodies. The HexaBody technology platform builds on natural biology and strengthens the natural killing ability of antibodies while retaining regular structure and specificity. The technology allows for the creation of potent therapeutics by inducing antibody hexamer formation (clusters of six antibodies) after binding to their target antigen on the cell surface. We have used the HexaBody technology platform to generate antibodies with enhanced complement-mediated killing, allowing antibodies with limited or absent killing capacity to be transformed into potent, cytotoxic antibodies. In addition to complement-mediated killing, the clustering of membrane receptors by the HexaBody technology platform can lead to subsequent outside-in signaling leading to cell death. The HexaBody technology platform creates opportunities to explore new antibody-based product candidates and repurpose drug candidates unsuccessful in previous clinical trials due to insufficient potency. The HexaBody technology platform is broadly applicable and can be combined with Genmab’s DuoBody technology platform (DuoHexaBody technology platform) as well as other antibody technologies. The technology has the potential to enhance antibody therapeutics for a broad range of applications including cancer and infectious diseases. Genmab is using the HexaBody technology platform for its own antibody programs and the technology is also available for licensing. Two HexaBody-based investigational medicines are currently in clinical development. Genmab entered into an exclusive worldwide license and option agreement with Janssen to develop and commercialize HexaBody-CD38 (GEN3014), a next-generation CD38 monoclonal antibody-based investigational medicine. In 2022, Genmab and BioNTech expanded their global strategic collaboration to include co-development of monospecific antibody candidates leveraging the HexaBody technology. The first antibody in the clinic under this collaboration is HexaBody-CD27 (GEN1053/BNT313).</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DuoHexaBody Technology Platform</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Combining Dual-Targeting and Enhanced Potency</w:t>
      </w:r>
    </w:p>
    <w:p>
      <w:pPr>
        <w:spacing w:after="0" w:line="127" w:lineRule="exact"/>
        <w:rPr>
          <w:sz w:val="20"/>
          <w:szCs w:val="20"/>
          <w:color w:val="auto"/>
        </w:rPr>
      </w:pPr>
    </w:p>
    <w:p>
      <w:pPr>
        <w:ind w:left="480" w:hanging="222"/>
        <w:spacing w:after="0"/>
        <w:tabs>
          <w:tab w:leader="none" w:pos="480" w:val="left"/>
        </w:tabs>
        <w:numPr>
          <w:ilvl w:val="0"/>
          <w:numId w:val="5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Antibody technology that combines DuoBody and HexaBody technology platforms</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4"/>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Creates bispecific antibodies with target-mediated enhanced potency</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39" w:name="page40"/>
    <w:bookmarkEnd w:id="3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hanging="222"/>
        <w:spacing w:after="0"/>
        <w:tabs>
          <w:tab w:leader="none" w:pos="480" w:val="left"/>
        </w:tabs>
        <w:numPr>
          <w:ilvl w:val="0"/>
          <w:numId w:val="55"/>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First DuoHexaBody-based investigational medicine in the clinic - DuoHexaBody-CD37 (GEN3009)</w:t>
      </w:r>
    </w:p>
    <w:p>
      <w:pPr>
        <w:spacing w:after="0" w:line="152" w:lineRule="exact"/>
        <w:rPr>
          <w:sz w:val="20"/>
          <w:szCs w:val="20"/>
          <w:color w:val="auto"/>
        </w:rPr>
      </w:pPr>
    </w:p>
    <w:p>
      <w:pPr>
        <w:ind w:left="20" w:right="119"/>
        <w:spacing w:after="0" w:line="245" w:lineRule="auto"/>
        <w:rPr>
          <w:sz w:val="20"/>
          <w:szCs w:val="20"/>
          <w:color w:val="auto"/>
        </w:rPr>
      </w:pPr>
      <w:r>
        <w:rPr>
          <w:rFonts w:ascii="Arial" w:cs="Arial" w:eastAsia="Arial" w:hAnsi="Arial"/>
          <w:sz w:val="12"/>
          <w:szCs w:val="12"/>
          <w:color w:val="auto"/>
        </w:rPr>
        <w:t>The DuoHexaBody technology platform is a proprietary technology that combines the dual targeting of our DuoBody technology platform with the enhanced potency of our HexaBody technology platform, creating bispecific antibodies with target-mediated enhanced hexamerization. We currently have one investigational medicine created with the DuoHexaBody technology platform in the clinic, DuoHexaBody-CD37 (GEN3009). DuoHexaBody-CD37 is a bispecific antibody that targets two non-overlapping CD37 epitopes. It entered the clinic in 2020 and is currently being investigated in relapsed/refractory B-NHL, including potentially in combination with epcoritamab.</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HexElect Technology Platform</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Enhancing Selectivity and Potency</w:t>
      </w:r>
    </w:p>
    <w:p>
      <w:pPr>
        <w:spacing w:after="0" w:line="127" w:lineRule="exact"/>
        <w:rPr>
          <w:sz w:val="20"/>
          <w:szCs w:val="20"/>
          <w:color w:val="auto"/>
        </w:rPr>
      </w:pPr>
    </w:p>
    <w:p>
      <w:pPr>
        <w:ind w:left="480" w:hanging="222"/>
        <w:spacing w:after="0"/>
        <w:tabs>
          <w:tab w:leader="none" w:pos="480" w:val="left"/>
        </w:tabs>
        <w:numPr>
          <w:ilvl w:val="0"/>
          <w:numId w:val="56"/>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Antibody technology platform inspired by the HexaBody technology platform</w:t>
      </w:r>
    </w:p>
    <w:p>
      <w:pPr>
        <w:spacing w:after="0" w:line="18" w:lineRule="exact"/>
        <w:rPr>
          <w:rFonts w:ascii="Times New Roman" w:cs="Times New Roman" w:eastAsia="Times New Roman" w:hAnsi="Times New Roman"/>
          <w:sz w:val="12"/>
          <w:szCs w:val="12"/>
          <w:color w:val="029C93"/>
        </w:rPr>
      </w:pPr>
    </w:p>
    <w:p>
      <w:pPr>
        <w:ind w:left="480" w:hanging="222"/>
        <w:spacing w:after="0"/>
        <w:tabs>
          <w:tab w:leader="none" w:pos="480" w:val="left"/>
        </w:tabs>
        <w:numPr>
          <w:ilvl w:val="0"/>
          <w:numId w:val="56"/>
        </w:numPr>
        <w:rPr>
          <w:rFonts w:ascii="Times New Roman" w:cs="Times New Roman" w:eastAsia="Times New Roman" w:hAnsi="Times New Roman"/>
          <w:sz w:val="12"/>
          <w:szCs w:val="12"/>
          <w:color w:val="029C93"/>
        </w:rPr>
      </w:pPr>
      <w:r>
        <w:rPr>
          <w:rFonts w:ascii="Arial" w:cs="Arial" w:eastAsia="Arial" w:hAnsi="Arial"/>
          <w:sz w:val="12"/>
          <w:szCs w:val="12"/>
          <w:b w:val="1"/>
          <w:bCs w:val="1"/>
          <w:color w:val="029C93"/>
        </w:rPr>
        <w:t>Combines dual-targeting with enhanced selectivity and potency</w:t>
      </w:r>
    </w:p>
    <w:p>
      <w:pPr>
        <w:spacing w:after="0" w:line="140" w:lineRule="exact"/>
        <w:rPr>
          <w:sz w:val="20"/>
          <w:szCs w:val="20"/>
          <w:color w:val="auto"/>
        </w:rPr>
      </w:pPr>
    </w:p>
    <w:p>
      <w:pPr>
        <w:ind w:left="20" w:right="159"/>
        <w:spacing w:after="0" w:line="248" w:lineRule="auto"/>
        <w:rPr>
          <w:sz w:val="20"/>
          <w:szCs w:val="20"/>
          <w:color w:val="auto"/>
        </w:rPr>
      </w:pPr>
      <w:r>
        <w:rPr>
          <w:rFonts w:ascii="Arial" w:cs="Arial" w:eastAsia="Arial" w:hAnsi="Arial"/>
          <w:sz w:val="12"/>
          <w:szCs w:val="12"/>
          <w:color w:val="auto"/>
        </w:rPr>
        <w:t>The HexElect antibody technology platform is Genmab’s newest proprietary antibody technology. This technology combines two HexaBody molecules designed to effectively and selectively hit only those cells that express both targets by making the activity of complexes of HexaBody molecules dependent on their binding to two different targets on the same cell. The HexElect technology platform maximizes efficacy while minimizing possible toxicity, potentially leading to more potent and safer investigational medicines.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Social Responsibility and Sustainability Commitments</w:t>
      </w:r>
    </w:p>
    <w:p>
      <w:pPr>
        <w:spacing w:after="0" w:line="151" w:lineRule="exact"/>
        <w:rPr>
          <w:sz w:val="20"/>
          <w:szCs w:val="20"/>
          <w:color w:val="auto"/>
        </w:rPr>
      </w:pPr>
    </w:p>
    <w:p>
      <w:pPr>
        <w:ind w:left="20" w:right="379"/>
        <w:spacing w:after="0" w:line="273" w:lineRule="auto"/>
        <w:rPr>
          <w:sz w:val="20"/>
          <w:szCs w:val="20"/>
          <w:color w:val="auto"/>
        </w:rPr>
      </w:pPr>
      <w:r>
        <w:rPr>
          <w:rFonts w:ascii="Arial" w:cs="Arial" w:eastAsia="Arial" w:hAnsi="Arial"/>
          <w:sz w:val="12"/>
          <w:szCs w:val="12"/>
          <w:color w:val="auto"/>
        </w:rPr>
        <w:t>We are committed to being a sustainable, socially responsible biotech company. This commitment is anchored in our vision, core purpose and values, focused for impact through our CSR strategy, and lived every day by our team. It is fundamental to the way we do business.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Core Purpose and Vision</w:t>
      </w:r>
    </w:p>
    <w:p>
      <w:pPr>
        <w:spacing w:after="0" w:line="143"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Our commitment to CSR is anchored in our company’s core purpose “to improve the lives of patients by creating and developing innovative antibody products” and our vision that “by 2030, our KYSO antibody medicines will fundamentally transform the lives of people with cancer and other serious diseases.” Our vision inspires and motivates us. Our unstoppable team is focused on developing innovative and differentiated antibody therapeutics that will improve the lives of patients.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How We Carry Out Our CSR Initiatives</w:t>
      </w:r>
    </w:p>
    <w:p>
      <w:pPr>
        <w:spacing w:after="0" w:line="143" w:lineRule="exact"/>
        <w:rPr>
          <w:sz w:val="20"/>
          <w:szCs w:val="20"/>
          <w:color w:val="auto"/>
        </w:rPr>
      </w:pPr>
    </w:p>
    <w:p>
      <w:pPr>
        <w:ind w:left="20" w:right="59"/>
        <w:spacing w:after="0" w:line="248" w:lineRule="auto"/>
        <w:rPr>
          <w:sz w:val="20"/>
          <w:szCs w:val="20"/>
          <w:color w:val="auto"/>
        </w:rPr>
      </w:pPr>
      <w:r>
        <w:rPr>
          <w:rFonts w:ascii="Arial" w:cs="Arial" w:eastAsia="Arial" w:hAnsi="Arial"/>
          <w:sz w:val="12"/>
          <w:szCs w:val="12"/>
          <w:color w:val="auto"/>
        </w:rPr>
        <w:t>We are committed to complying with all laws, codes, and standards applicable to our business and operations. We also prioritize the well-being and vitality of our teams and actively seek to minimize our impact on the environment. We have high ethical standards and aim to conduct business with companies and within countries that share our ethical commitment including our support for the protection of internationally proclaimed human rights. We strive to conduct clinical trials in markets where a medicine is planned to become available.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track trends, benchmark and examine our ESG activities, policies and disclosures to build a sustainable, socially responsible biotech company.</w:t>
      </w:r>
    </w:p>
    <w:p>
      <w:pPr>
        <w:spacing w:after="0" w:line="143" w:lineRule="exact"/>
        <w:rPr>
          <w:sz w:val="20"/>
          <w:szCs w:val="20"/>
          <w:color w:val="auto"/>
        </w:rPr>
      </w:pPr>
    </w:p>
    <w:p>
      <w:pPr>
        <w:ind w:left="20" w:right="79"/>
        <w:spacing w:after="0" w:line="248" w:lineRule="auto"/>
        <w:rPr>
          <w:sz w:val="20"/>
          <w:szCs w:val="20"/>
          <w:color w:val="auto"/>
        </w:rPr>
      </w:pPr>
      <w:r>
        <w:rPr>
          <w:rFonts w:ascii="Arial" w:cs="Arial" w:eastAsia="Arial" w:hAnsi="Arial"/>
          <w:sz w:val="12"/>
          <w:szCs w:val="12"/>
          <w:color w:val="auto"/>
        </w:rPr>
        <w:t>We are committed to transparency and continued improvement of our climate disclosures. To this end, we support the TCFD recommendations as we believe they provide a useful framework to increase transparency on climate-related risks and opportunities. We want to reduce our environmental footprint and aim to provide additional disclosures on climate-related topics in the future as we incorporate the TCFD recommendations into our business. Please refer to “</w:t>
      </w:r>
      <w:r>
        <w:rPr>
          <w:rFonts w:ascii="Arial" w:cs="Arial" w:eastAsia="Arial" w:hAnsi="Arial"/>
          <w:sz w:val="12"/>
          <w:szCs w:val="12"/>
          <w:color w:val="029C93"/>
        </w:rPr>
        <w:t>Genmab’s Task Force on</w:t>
      </w:r>
      <w:r>
        <w:rPr>
          <w:rFonts w:ascii="Arial" w:cs="Arial" w:eastAsia="Arial" w:hAnsi="Arial"/>
          <w:sz w:val="12"/>
          <w:szCs w:val="12"/>
          <w:color w:val="auto"/>
        </w:rPr>
        <w:t xml:space="preserve"> </w:t>
      </w:r>
      <w:r>
        <w:rPr>
          <w:rFonts w:ascii="Arial" w:cs="Arial" w:eastAsia="Arial" w:hAnsi="Arial"/>
          <w:sz w:val="12"/>
          <w:szCs w:val="12"/>
          <w:color w:val="029C93"/>
        </w:rPr>
        <w:t>Climate-related Financial Disclosures</w:t>
      </w:r>
      <w:r>
        <w:rPr>
          <w:rFonts w:ascii="Arial" w:cs="Arial" w:eastAsia="Arial" w:hAnsi="Arial"/>
          <w:sz w:val="12"/>
          <w:szCs w:val="12"/>
          <w:color w:val="000000"/>
        </w:rPr>
        <w:t>” in this report for more information.</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follow the Sustainability Accounting Standards Board (SASB) framework to disclose critical measurements on ESG activities relevant to our business.</w:t>
      </w:r>
    </w:p>
    <w:p>
      <w:pPr>
        <w:spacing w:after="0" w:line="143" w:lineRule="exact"/>
        <w:rPr>
          <w:sz w:val="20"/>
          <w:szCs w:val="20"/>
          <w:color w:val="auto"/>
        </w:rPr>
      </w:pPr>
    </w:p>
    <w:p>
      <w:pPr>
        <w:ind w:left="20" w:right="79"/>
        <w:spacing w:after="0" w:line="273" w:lineRule="auto"/>
        <w:rPr>
          <w:sz w:val="20"/>
          <w:szCs w:val="20"/>
          <w:color w:val="auto"/>
        </w:rPr>
      </w:pPr>
      <w:r>
        <w:rPr>
          <w:rFonts w:ascii="Arial" w:cs="Arial" w:eastAsia="Arial" w:hAnsi="Arial"/>
          <w:sz w:val="12"/>
          <w:szCs w:val="12"/>
          <w:color w:val="auto"/>
        </w:rPr>
        <w:t>We are committed to ensuring our actions benefit our direct stakeholders (patients, customers, team members, collaboration partners and shareholders) and society as a whole.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this end, our CSR strategy focuses on four key pillars:</w:t>
      </w:r>
    </w:p>
    <w:p>
      <w:pPr>
        <w:spacing w:after="0" w:line="143" w:lineRule="exact"/>
        <w:rPr>
          <w:sz w:val="20"/>
          <w:szCs w:val="20"/>
          <w:color w:val="auto"/>
        </w:rPr>
      </w:pPr>
    </w:p>
    <w:p>
      <w:pPr>
        <w:ind w:left="480" w:hanging="222"/>
        <w:spacing w:after="0"/>
        <w:tabs>
          <w:tab w:leader="none" w:pos="480" w:val="left"/>
        </w:tabs>
        <w:numPr>
          <w:ilvl w:val="0"/>
          <w:numId w:val="57"/>
        </w:numPr>
        <w:rPr>
          <w:rFonts w:ascii="Times New Roman" w:cs="Times New Roman" w:eastAsia="Times New Roman" w:hAnsi="Times New Roman"/>
          <w:sz w:val="12"/>
          <w:szCs w:val="12"/>
          <w:color w:val="auto"/>
        </w:rPr>
      </w:pPr>
      <w:r>
        <w:rPr>
          <w:rFonts w:ascii="Arial" w:cs="Arial" w:eastAsia="Arial" w:hAnsi="Arial"/>
          <w:sz w:val="12"/>
          <w:szCs w:val="12"/>
          <w:color w:val="auto"/>
        </w:rPr>
        <w:t>Science-Driven Health Innovations for Patients</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7"/>
        </w:numPr>
        <w:rPr>
          <w:rFonts w:ascii="Times New Roman" w:cs="Times New Roman" w:eastAsia="Times New Roman" w:hAnsi="Times New Roman"/>
          <w:sz w:val="12"/>
          <w:szCs w:val="12"/>
          <w:color w:val="auto"/>
        </w:rPr>
      </w:pPr>
      <w:r>
        <w:rPr>
          <w:rFonts w:ascii="Arial" w:cs="Arial" w:eastAsia="Arial" w:hAnsi="Arial"/>
          <w:sz w:val="12"/>
          <w:szCs w:val="12"/>
          <w:color w:val="auto"/>
        </w:rPr>
        <w:t>Employee Well-Being and Vitality</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7"/>
        </w:numPr>
        <w:rPr>
          <w:rFonts w:ascii="Times New Roman" w:cs="Times New Roman" w:eastAsia="Times New Roman" w:hAnsi="Times New Roman"/>
          <w:sz w:val="12"/>
          <w:szCs w:val="12"/>
          <w:color w:val="auto"/>
        </w:rPr>
      </w:pPr>
      <w:r>
        <w:rPr>
          <w:rFonts w:ascii="Arial" w:cs="Arial" w:eastAsia="Arial" w:hAnsi="Arial"/>
          <w:sz w:val="12"/>
          <w:szCs w:val="12"/>
          <w:color w:val="auto"/>
        </w:rPr>
        <w:t>Ethics and Transparency</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7"/>
        </w:numPr>
        <w:rPr>
          <w:rFonts w:ascii="Times New Roman" w:cs="Times New Roman" w:eastAsia="Times New Roman" w:hAnsi="Times New Roman"/>
          <w:sz w:val="12"/>
          <w:szCs w:val="12"/>
          <w:color w:val="auto"/>
        </w:rPr>
      </w:pPr>
      <w:r>
        <w:rPr>
          <w:rFonts w:ascii="Arial" w:cs="Arial" w:eastAsia="Arial" w:hAnsi="Arial"/>
          <w:sz w:val="12"/>
          <w:szCs w:val="12"/>
          <w:color w:val="auto"/>
        </w:rPr>
        <w:t>Environmental and Community Sustainability</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we further execute our CSR strategy and build programs that have an impact on our stakeholders, we will be guided by the following tenets, which support our four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CSR pillars:</w:t>
      </w:r>
    </w:p>
    <w:p>
      <w:pPr>
        <w:ind w:left="480" w:right="19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use our world-class knowledge in antibody biology and deep expertise in innovative antibody technology to develop cancer treatments to have a positive impact on society.</w:t>
      </w:r>
    </w:p>
    <w:p>
      <w:pPr>
        <w:ind w:left="480" w:right="25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care for our employees’ health, well-being, safety and development and promote a collaborative culture that fosters passion for innovation, integrity and respect.</w:t>
      </w:r>
    </w:p>
    <w:p>
      <w:pPr>
        <w:ind w:left="480" w:right="21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believe that DE&amp;I are fundamental to achieving our vision and are committed to championing a corporate culture that accepts and promotes uniqueness and empowers each team member to bring their authentic self to work in a safe, open and respectful environment.</w:t>
      </w:r>
    </w:p>
    <w:p>
      <w:pPr>
        <w:ind w:left="480" w:right="67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operate our business with the utmost integrity, seeking to do the right thing in all aspects of our business and integrating compliance, ethics and transparency into our business practices, policies and procedures.</w:t>
      </w:r>
    </w:p>
    <w:p>
      <w:pPr>
        <w:ind w:left="480" w:right="5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maintain a highly ethical organization, promoting our Code of Conduct to employees and engaging with partners and suppliers committed to the same level of ethics in their operations.</w:t>
      </w:r>
    </w:p>
    <w:p>
      <w:pPr>
        <w:ind w:left="480" w:right="359" w:hanging="222"/>
        <w:spacing w:after="0" w:line="236" w:lineRule="auto"/>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aim to reduce our impact on the environment by refining our processes and incorporating best practices into our operations as we strive to reduce our environmental footprint, minimize waste and decrease use of hazardous material.</w:t>
      </w:r>
    </w:p>
    <w:p>
      <w:pPr>
        <w:ind w:left="480" w:hanging="222"/>
        <w:spacing w:after="0"/>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monitor and evaluate targets for ESG activities, measure our impact and communicate our progress.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8"/>
        </w:numPr>
        <w:rPr>
          <w:rFonts w:ascii="Times New Roman" w:cs="Times New Roman" w:eastAsia="Times New Roman" w:hAnsi="Times New Roman"/>
          <w:sz w:val="12"/>
          <w:szCs w:val="12"/>
          <w:color w:val="auto"/>
        </w:rPr>
      </w:pPr>
      <w:r>
        <w:rPr>
          <w:rFonts w:ascii="Arial" w:cs="Arial" w:eastAsia="Arial" w:hAnsi="Arial"/>
          <w:sz w:val="12"/>
          <w:szCs w:val="12"/>
          <w:color w:val="auto"/>
        </w:rPr>
        <w:t>We engage with and support the communities in which we operate.</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Approach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1" w:name="page42"/>
    <w:bookmarkEnd w:id="4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approach is designed to ensure we carry out our CSR commitments as a core part of our business and in line with international best practice.</w:t>
      </w:r>
    </w:p>
    <w:p>
      <w:pPr>
        <w:spacing w:after="0" w:line="143" w:lineRule="exact"/>
        <w:rPr>
          <w:sz w:val="20"/>
          <w:szCs w:val="20"/>
          <w:color w:val="auto"/>
        </w:rPr>
      </w:pPr>
    </w:p>
    <w:p>
      <w:pPr>
        <w:ind w:left="480" w:hanging="222"/>
        <w:spacing w:after="0"/>
        <w:tabs>
          <w:tab w:leader="none" w:pos="480" w:val="left"/>
        </w:tabs>
        <w:numPr>
          <w:ilvl w:val="0"/>
          <w:numId w:val="59"/>
        </w:numPr>
        <w:rPr>
          <w:rFonts w:ascii="Times New Roman" w:cs="Times New Roman" w:eastAsia="Times New Roman" w:hAnsi="Times New Roman"/>
          <w:sz w:val="12"/>
          <w:szCs w:val="12"/>
          <w:color w:val="auto"/>
        </w:rPr>
      </w:pPr>
      <w:r>
        <w:rPr>
          <w:rFonts w:ascii="Arial" w:cs="Arial" w:eastAsia="Arial" w:hAnsi="Arial"/>
          <w:sz w:val="12"/>
          <w:szCs w:val="12"/>
          <w:color w:val="auto"/>
        </w:rPr>
        <w:t>Guided by our vision, purpose and core values</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9"/>
        </w:numPr>
        <w:rPr>
          <w:rFonts w:ascii="Times New Roman" w:cs="Times New Roman" w:eastAsia="Times New Roman" w:hAnsi="Times New Roman"/>
          <w:sz w:val="12"/>
          <w:szCs w:val="12"/>
          <w:color w:val="auto"/>
        </w:rPr>
      </w:pPr>
      <w:r>
        <w:rPr>
          <w:rFonts w:ascii="Arial" w:cs="Arial" w:eastAsia="Arial" w:hAnsi="Arial"/>
          <w:sz w:val="12"/>
          <w:szCs w:val="12"/>
          <w:color w:val="auto"/>
        </w:rPr>
        <w:t>Focused on four CSR pillars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9"/>
        </w:numPr>
        <w:rPr>
          <w:rFonts w:ascii="Times New Roman" w:cs="Times New Roman" w:eastAsia="Times New Roman" w:hAnsi="Times New Roman"/>
          <w:sz w:val="12"/>
          <w:szCs w:val="12"/>
          <w:color w:val="auto"/>
        </w:rPr>
      </w:pPr>
      <w:r>
        <w:rPr>
          <w:rFonts w:ascii="Arial" w:cs="Arial" w:eastAsia="Arial" w:hAnsi="Arial"/>
          <w:sz w:val="12"/>
          <w:szCs w:val="12"/>
          <w:color w:val="auto"/>
        </w:rPr>
        <w:t>Underpinned by our commitment to the UNSDGs</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9"/>
        </w:numPr>
        <w:rPr>
          <w:rFonts w:ascii="Times New Roman" w:cs="Times New Roman" w:eastAsia="Times New Roman" w:hAnsi="Times New Roman"/>
          <w:sz w:val="12"/>
          <w:szCs w:val="12"/>
          <w:color w:val="auto"/>
        </w:rPr>
      </w:pPr>
      <w:r>
        <w:rPr>
          <w:rFonts w:ascii="Arial" w:cs="Arial" w:eastAsia="Arial" w:hAnsi="Arial"/>
          <w:sz w:val="12"/>
          <w:szCs w:val="12"/>
          <w:color w:val="auto"/>
        </w:rPr>
        <w:t>Supported by the Board of Directors and Executive Management</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59"/>
        </w:numPr>
        <w:rPr>
          <w:rFonts w:ascii="Times New Roman" w:cs="Times New Roman" w:eastAsia="Times New Roman" w:hAnsi="Times New Roman"/>
          <w:sz w:val="12"/>
          <w:szCs w:val="12"/>
          <w:color w:val="auto"/>
        </w:rPr>
      </w:pPr>
      <w:r>
        <w:rPr>
          <w:rFonts w:ascii="Arial" w:cs="Arial" w:eastAsia="Arial" w:hAnsi="Arial"/>
          <w:sz w:val="12"/>
          <w:szCs w:val="12"/>
          <w:color w:val="auto"/>
        </w:rPr>
        <w:t>Aligned with ESG priorities and disclosures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CSR Governance</w:t>
      </w:r>
    </w:p>
    <w:p>
      <w:pPr>
        <w:spacing w:after="0" w:line="143" w:lineRule="exact"/>
        <w:rPr>
          <w:sz w:val="20"/>
          <w:szCs w:val="20"/>
          <w:color w:val="auto"/>
        </w:rPr>
      </w:pPr>
    </w:p>
    <w:p>
      <w:pPr>
        <w:jc w:val="both"/>
        <w:ind w:left="20" w:right="439"/>
        <w:spacing w:after="0" w:line="255" w:lineRule="auto"/>
        <w:rPr>
          <w:sz w:val="20"/>
          <w:szCs w:val="20"/>
          <w:color w:val="auto"/>
        </w:rPr>
      </w:pPr>
      <w:r>
        <w:rPr>
          <w:rFonts w:ascii="Arial" w:cs="Arial" w:eastAsia="Arial" w:hAnsi="Arial"/>
          <w:sz w:val="12"/>
          <w:szCs w:val="12"/>
          <w:color w:val="auto"/>
        </w:rPr>
        <w:t>Our CSR governance is led by the Board of Directors. Our Board of Directors’ Nominating and Corporate Governance Committee oversees our CSR efforts and provides recommendations to the Board on corporate responsibility and sustainability matters. Additionally, the Board of Directors’ Audit and Finance Committee oversees our ESG reporting requirements.</w:t>
      </w:r>
    </w:p>
    <w:p>
      <w:pPr>
        <w:spacing w:after="0" w:line="113"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Our CSR Committee, which is co-chaired by our CEO and the Senior Vice President of Global Communications and Corporate Affairs, provides direction on CSR strategy and associated policies and ensures we carry out our CSR activities effectively and communicate them clearly and openly. Our CSR Global Council and Global Sustainability Working Group help us implement and enhance our CSR strategy.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Commitment to the United Nations Sustainable Development Goals</w:t>
      </w:r>
    </w:p>
    <w:p>
      <w:pPr>
        <w:spacing w:after="0" w:line="143" w:lineRule="exact"/>
        <w:rPr>
          <w:sz w:val="20"/>
          <w:szCs w:val="20"/>
          <w:color w:val="auto"/>
        </w:rPr>
      </w:pPr>
    </w:p>
    <w:p>
      <w:pPr>
        <w:ind w:left="20" w:right="99"/>
        <w:spacing w:after="0" w:line="248" w:lineRule="auto"/>
        <w:rPr>
          <w:sz w:val="20"/>
          <w:szCs w:val="20"/>
          <w:color w:val="auto"/>
        </w:rPr>
      </w:pPr>
      <w:r>
        <w:rPr>
          <w:rFonts w:ascii="Arial" w:cs="Arial" w:eastAsia="Arial" w:hAnsi="Arial"/>
          <w:sz w:val="12"/>
          <w:szCs w:val="12"/>
          <w:color w:val="auto"/>
        </w:rPr>
        <w:t>As a company rooted in science, inspired by patients, and committed to sustainability, we embrace our responsibility to society and are proud to help advance the UNSDGs. An initial internal assessment in 2020 determined that our business activities were most closely aligned with Goals 3, 5 and 8. In 2022, based on our commitment and actions regarding climate change, we decided to add Goal 13: Climate Action. We focus on aligning our CSR activities to support these goals and will continue to assess our business operations in relation to all the UNSDGs.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Goal 3: Good Health and Well-Being: Ensure healthy lives and promote well-being for all at all ages</w:t>
      </w:r>
    </w:p>
    <w:p>
      <w:pPr>
        <w:spacing w:after="0" w:line="143"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We are dedicated to using science-driven innovation to improve the lives of patients with cancer and their families. In addition to dedicating resources to research and development and to bring medicines to patients, we are committed to our employees’ well-being and vitality, and have benefits and programs in place for them. Additionally, we seek to support and be part of health-related initiatives in the communities where we operate.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Goal 5: Gender Equality: Achieve gender equality and empower all women and girls</w:t>
      </w:r>
    </w:p>
    <w:p>
      <w:pPr>
        <w:spacing w:after="0" w:line="14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We continue to lead in gender diversity among our peers. We have a female representation at “Director-level and above” of 51% and are proud that nearly half of our Board of Directors are female, including the Chair and Deputy Chair.</w:t>
      </w:r>
    </w:p>
    <w:p>
      <w:pPr>
        <w:spacing w:after="0" w:line="103" w:lineRule="exact"/>
        <w:rPr>
          <w:sz w:val="20"/>
          <w:szCs w:val="20"/>
          <w:color w:val="auto"/>
        </w:rPr>
      </w:pPr>
    </w:p>
    <w:p>
      <w:pPr>
        <w:ind w:left="20" w:right="179"/>
        <w:spacing w:after="0" w:line="284" w:lineRule="auto"/>
        <w:rPr>
          <w:sz w:val="20"/>
          <w:szCs w:val="20"/>
          <w:color w:val="auto"/>
        </w:rPr>
      </w:pPr>
      <w:r>
        <w:rPr>
          <w:rFonts w:ascii="Arial" w:cs="Arial" w:eastAsia="Arial" w:hAnsi="Arial"/>
          <w:sz w:val="12"/>
          <w:szCs w:val="12"/>
          <w:b w:val="1"/>
          <w:bCs w:val="1"/>
          <w:color w:val="auto"/>
        </w:rPr>
        <w:t>Goal 8: Decent Work and Economic Growth: Promote sustained, inclusive and sustainable economic growth, full and productive employment and decent work for all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39/158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2" w:name="page43"/>
    <w:bookmarkEnd w:id="4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39"/>
        <w:spacing w:after="0" w:line="248" w:lineRule="auto"/>
        <w:rPr>
          <w:sz w:val="20"/>
          <w:szCs w:val="20"/>
          <w:color w:val="auto"/>
        </w:rPr>
      </w:pPr>
      <w:r>
        <w:rPr>
          <w:rFonts w:ascii="Arial" w:cs="Arial" w:eastAsia="Arial" w:hAnsi="Arial"/>
          <w:sz w:val="12"/>
          <w:szCs w:val="12"/>
          <w:color w:val="auto"/>
        </w:rPr>
        <w:t>Our work is driven by innovation and conducted by highly skilled people dedicated to their roles. We pay all our team members a living wage and provide a safe, inclusive and secure working environment. Additionally, we contribute to the life sciences innovation ecosystem by collaborating with academia, biotech and pharma companies, and other innovators to advance therapies against cancer and other diseases. We also contribute to science, technology, engineering, and mathematics (STEM) education, mentoring programs and other community efforts to help advance education and professional development among our communities.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Goal 13: Climate Action: Take urgent action to combat climate change and its impacts</w:t>
      </w:r>
    </w:p>
    <w:p>
      <w:pPr>
        <w:spacing w:after="0" w:line="143" w:lineRule="exact"/>
        <w:rPr>
          <w:sz w:val="20"/>
          <w:szCs w:val="20"/>
          <w:color w:val="auto"/>
        </w:rPr>
      </w:pPr>
    </w:p>
    <w:p>
      <w:pPr>
        <w:ind w:left="20" w:right="59"/>
        <w:spacing w:after="0" w:line="248" w:lineRule="auto"/>
        <w:rPr>
          <w:sz w:val="20"/>
          <w:szCs w:val="20"/>
          <w:color w:val="auto"/>
        </w:rPr>
      </w:pPr>
      <w:r>
        <w:rPr>
          <w:rFonts w:ascii="Arial" w:cs="Arial" w:eastAsia="Arial" w:hAnsi="Arial"/>
          <w:sz w:val="12"/>
          <w:szCs w:val="12"/>
          <w:color w:val="auto"/>
        </w:rPr>
        <w:t>We are committed to transparency and continued improvement of our climate disclosures. In 2022, we committed to supporting the recommendations of the TCFD. Our journey to reduce our impact on the environment inspired our work to establish a climate target to reduce our GHG emissions in line with the Paris Agreement to align our business to a future where global warming is kept at or below 1.5°C. We measure and report on emissions from our own operations and from purchased electricity and have begun the process of designing a model to collect data across our value chain for our Scope 3 emissions.</w:t>
      </w:r>
    </w:p>
    <w:p>
      <w:pPr>
        <w:spacing w:after="0" w:line="119" w:lineRule="exact"/>
        <w:rPr>
          <w:sz w:val="20"/>
          <w:szCs w:val="20"/>
          <w:color w:val="auto"/>
        </w:rPr>
      </w:pPr>
    </w:p>
    <w:p>
      <w:pPr>
        <w:ind w:left="20" w:right="319"/>
        <w:spacing w:after="0" w:line="255" w:lineRule="auto"/>
        <w:rPr>
          <w:sz w:val="20"/>
          <w:szCs w:val="20"/>
          <w:color w:val="auto"/>
        </w:rPr>
      </w:pPr>
      <w:r>
        <w:rPr>
          <w:rFonts w:ascii="Arial" w:cs="Arial" w:eastAsia="Arial" w:hAnsi="Arial"/>
          <w:sz w:val="12"/>
          <w:szCs w:val="12"/>
          <w:color w:val="auto"/>
        </w:rPr>
        <w:t>Genmab’s statutory report on Corporate Responsibility for the financial year 2022 cf. Sections 99a, 99b, 99d and 107d of the Danish Financial Statements Act (“Lovpligtig redegørelse for samfundsansvar, jf. årsregnskabslovens § 99 a, 99b, 99d, 107d”) can be found on the company’s website (</w:t>
      </w:r>
      <w:r>
        <w:rPr>
          <w:rFonts w:ascii="Arial" w:cs="Arial" w:eastAsia="Arial" w:hAnsi="Arial"/>
          <w:sz w:val="12"/>
          <w:szCs w:val="12"/>
          <w:color w:val="029C93"/>
        </w:rPr>
        <w:t>https://ir.genmab.com/static-files/72218610-90a6-4fd3-a76a-d4a7c9c6ef01</w:t>
      </w:r>
      <w:r>
        <w:rPr>
          <w:rFonts w:ascii="Arial" w:cs="Arial" w:eastAsia="Arial" w:hAnsi="Arial"/>
          <w:sz w:val="12"/>
          <w:szCs w:val="12"/>
          <w:color w:val="000000"/>
        </w:rPr>
        <w:t>), including additional information about policies, progress made during 2022 and expected activities for 2023.</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Genmab’s Task Force on Climate-related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99060</wp:posOffset>
            </wp:positionV>
            <wp:extent cx="57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99060</wp:posOffset>
            </wp:positionV>
            <wp:extent cx="57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99060</wp:posOffset>
            </wp:positionV>
            <wp:extent cx="57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99060</wp:posOffset>
            </wp:positionV>
            <wp:extent cx="57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116" w:lineRule="exact"/>
        <w:rPr>
          <w:sz w:val="20"/>
          <w:szCs w:val="20"/>
          <w:color w:val="auto"/>
        </w:rPr>
      </w:pPr>
    </w:p>
    <w:tbl>
      <w:tblPr>
        <w:tblLayout w:type="fixed"/>
        <w:tblInd w:w="30" w:type="dxa"/>
        <w:tblCellMar>
          <w:top w:w="0" w:type="dxa"/>
          <w:left w:w="0" w:type="dxa"/>
          <w:bottom w:w="0" w:type="dxa"/>
          <w:right w:w="0" w:type="dxa"/>
        </w:tblCellMar>
      </w:tblPr>
      <w:tr>
        <w:trPr>
          <w:trHeight w:val="163"/>
        </w:trPr>
        <w:tc>
          <w:tcPr>
            <w:tcW w:w="15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Topic</w:t>
            </w:r>
          </w:p>
        </w:tc>
        <w:tc>
          <w:tcPr>
            <w:tcW w:w="250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2"/>
                <w:szCs w:val="12"/>
                <w:color w:val="auto"/>
              </w:rPr>
              <w:t>Recommended Disclosures</w:t>
            </w:r>
          </w:p>
        </w:tc>
        <w:tc>
          <w:tcPr>
            <w:tcW w:w="49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Genmab’s Disclosures</w:t>
            </w:r>
          </w:p>
        </w:tc>
        <w:tc>
          <w:tcPr>
            <w:tcW w:w="0" w:type="dxa"/>
            <w:vAlign w:val="bottom"/>
          </w:tcPr>
          <w:p>
            <w:pPr>
              <w:spacing w:after="0"/>
              <w:rPr>
                <w:sz w:val="1"/>
                <w:szCs w:val="1"/>
                <w:color w:val="auto"/>
              </w:rPr>
            </w:pPr>
          </w:p>
        </w:tc>
      </w:tr>
      <w:tr>
        <w:trPr>
          <w:trHeight w:val="112"/>
        </w:trPr>
        <w:tc>
          <w:tcPr>
            <w:tcW w:w="150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Governance</w:t>
            </w: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board’s oversight of climate-</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The Board of Directors’ Nominating and Corporate Governance Committee oversees</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related risks and opportunities.</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climate-related issues as part of its responsibility over all aspects of Genmab’s CSR</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strategy. The Committee and the Board of Directors receive biannual updates on</w:t>
            </w:r>
          </w:p>
        </w:tc>
        <w:tc>
          <w:tcPr>
            <w:tcW w:w="0" w:type="dxa"/>
            <w:vAlign w:val="bottom"/>
          </w:tcPr>
          <w:p>
            <w:pPr>
              <w:spacing w:after="0"/>
              <w:rPr>
                <w:sz w:val="1"/>
                <w:szCs w:val="1"/>
                <w:color w:val="auto"/>
              </w:rPr>
            </w:pP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Genmab’s progress, related risks and opportunities.</w:t>
            </w:r>
          </w:p>
        </w:tc>
        <w:tc>
          <w:tcPr>
            <w:tcW w:w="0" w:type="dxa"/>
            <w:vAlign w:val="bottom"/>
          </w:tcPr>
          <w:p>
            <w:pPr>
              <w:spacing w:after="0"/>
              <w:rPr>
                <w:sz w:val="1"/>
                <w:szCs w:val="1"/>
                <w:color w:val="auto"/>
              </w:rPr>
            </w:pP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management’s role in assessing</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The CSR Committee moves our CSR efforts forward and integrates ESG-related matters</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and managing climate-related risks and</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relevant to our business into our strategic planning.</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opportunities.</w:t>
            </w:r>
          </w:p>
        </w:tc>
        <w:tc>
          <w:tcPr>
            <w:tcW w:w="4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From 2022, the CSR Committee will receive updates on Genmab’s progress toward</w:t>
            </w:r>
          </w:p>
        </w:tc>
        <w:tc>
          <w:tcPr>
            <w:tcW w:w="0" w:type="dxa"/>
            <w:vAlign w:val="bottom"/>
          </w:tcPr>
          <w:p>
            <w:pPr>
              <w:spacing w:after="0"/>
              <w:rPr>
                <w:sz w:val="1"/>
                <w:szCs w:val="1"/>
                <w:color w:val="auto"/>
              </w:rPr>
            </w:pPr>
          </w:p>
        </w:tc>
      </w:tr>
      <w:tr>
        <w:trPr>
          <w:trHeight w:val="113"/>
        </w:trPr>
        <w:tc>
          <w:tcPr>
            <w:tcW w:w="1500" w:type="dxa"/>
            <w:vAlign w:val="bottom"/>
            <w:tcBorders>
              <w:left w:val="single" w:sz="8" w:color="auto"/>
              <w:right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4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carbon reduction targets, climate-related financial risk, relevant prevention and mitigation</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measures annually.</w:t>
            </w:r>
          </w:p>
        </w:tc>
        <w:tc>
          <w:tcPr>
            <w:tcW w:w="0" w:type="dxa"/>
            <w:vAlign w:val="bottom"/>
          </w:tcPr>
          <w:p>
            <w:pPr>
              <w:spacing w:after="0"/>
              <w:rPr>
                <w:sz w:val="1"/>
                <w:szCs w:val="1"/>
                <w:color w:val="auto"/>
              </w:rPr>
            </w:pPr>
          </w:p>
        </w:tc>
      </w:tr>
      <w:tr>
        <w:trPr>
          <w:trHeight w:val="249"/>
        </w:trPr>
        <w:tc>
          <w:tcPr>
            <w:tcW w:w="1500" w:type="dxa"/>
            <w:vAlign w:val="bottom"/>
            <w:tcBorders>
              <w:left w:val="single" w:sz="8" w:color="auto"/>
              <w:right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Climate-related financial risks and relevant prevention and mitigation measures will be</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reviewed and endorsed by the Global Compliance and Risk Committee. Additionally, the</w:t>
            </w:r>
          </w:p>
        </w:tc>
        <w:tc>
          <w:tcPr>
            <w:tcW w:w="0" w:type="dxa"/>
            <w:vAlign w:val="bottom"/>
          </w:tcPr>
          <w:p>
            <w:pPr>
              <w:spacing w:after="0"/>
              <w:rPr>
                <w:sz w:val="1"/>
                <w:szCs w:val="1"/>
                <w:color w:val="auto"/>
              </w:rPr>
            </w:pPr>
          </w:p>
        </w:tc>
      </w:tr>
      <w:tr>
        <w:trPr>
          <w:trHeight w:val="149"/>
        </w:trPr>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Audit and Finance Committee oversees our ESG reporting requirements.</w:t>
            </w:r>
          </w:p>
        </w:tc>
        <w:tc>
          <w:tcPr>
            <w:tcW w:w="0" w:type="dxa"/>
            <w:vAlign w:val="bottom"/>
          </w:tcPr>
          <w:p>
            <w:pPr>
              <w:spacing w:after="0"/>
              <w:rPr>
                <w:sz w:val="1"/>
                <w:szCs w:val="1"/>
                <w:color w:val="auto"/>
              </w:rPr>
            </w:pPr>
          </w:p>
        </w:tc>
      </w:tr>
      <w:tr>
        <w:trPr>
          <w:trHeight w:val="637"/>
        </w:trPr>
        <w:tc>
          <w:tcPr>
            <w:tcW w:w="1500" w:type="dxa"/>
            <w:vAlign w:val="bottom"/>
          </w:tcPr>
          <w:p>
            <w:pPr>
              <w:spacing w:after="0"/>
              <w:rPr>
                <w:sz w:val="20"/>
                <w:szCs w:val="20"/>
                <w:color w:val="auto"/>
              </w:rPr>
            </w:pPr>
            <w:r>
              <w:rPr>
                <w:rFonts w:ascii="Arial" w:cs="Arial" w:eastAsia="Arial" w:hAnsi="Arial"/>
                <w:sz w:val="10"/>
                <w:szCs w:val="10"/>
                <w:color w:val="auto"/>
              </w:rPr>
              <w:t>Genmab A/S</w:t>
            </w:r>
          </w:p>
        </w:tc>
        <w:tc>
          <w:tcPr>
            <w:tcW w:w="2500" w:type="dxa"/>
            <w:vAlign w:val="bottom"/>
            <w:gridSpan w:val="3"/>
          </w:tcPr>
          <w:p>
            <w:pPr>
              <w:ind w:left="1640"/>
              <w:spacing w:after="0"/>
              <w:rPr>
                <w:sz w:val="20"/>
                <w:szCs w:val="20"/>
                <w:color w:val="auto"/>
              </w:rPr>
            </w:pPr>
            <w:r>
              <w:rPr>
                <w:rFonts w:ascii="Arial" w:cs="Arial" w:eastAsia="Arial" w:hAnsi="Arial"/>
                <w:sz w:val="10"/>
                <w:szCs w:val="10"/>
                <w:color w:val="auto"/>
                <w:w w:val="94"/>
              </w:rPr>
              <w:t>Tel: +45 7020 2728</w:t>
            </w:r>
          </w:p>
        </w:tc>
        <w:tc>
          <w:tcPr>
            <w:tcW w:w="49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15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960" w:type="dxa"/>
            <w:vAlign w:val="bottom"/>
          </w:tcPr>
          <w:p>
            <w:pPr>
              <w:jc w:val="right"/>
              <w:spacing w:after="0" w:line="109" w:lineRule="exact"/>
              <w:rPr>
                <w:sz w:val="20"/>
                <w:szCs w:val="20"/>
                <w:color w:val="auto"/>
              </w:rPr>
            </w:pPr>
            <w:r>
              <w:rPr>
                <w:rFonts w:ascii="Arial" w:cs="Arial" w:eastAsia="Arial" w:hAnsi="Arial"/>
                <w:sz w:val="10"/>
                <w:szCs w:val="10"/>
                <w:color w:val="auto"/>
              </w:rPr>
              <w:t>Page 40/158</w:t>
            </w:r>
          </w:p>
        </w:tc>
        <w:tc>
          <w:tcPr>
            <w:tcW w:w="0" w:type="dxa"/>
            <w:vAlign w:val="bottom"/>
          </w:tcPr>
          <w:p>
            <w:pPr>
              <w:spacing w:after="0"/>
              <w:rPr>
                <w:sz w:val="1"/>
                <w:szCs w:val="1"/>
                <w:color w:val="auto"/>
              </w:rPr>
            </w:pPr>
          </w:p>
        </w:tc>
      </w:tr>
      <w:tr>
        <w:trPr>
          <w:trHeight w:val="105"/>
        </w:trPr>
        <w:tc>
          <w:tcPr>
            <w:tcW w:w="15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500" w:type="dxa"/>
            <w:vAlign w:val="bottom"/>
            <w:gridSpan w:val="3"/>
          </w:tcPr>
          <w:p>
            <w:pPr>
              <w:ind w:left="1640"/>
              <w:spacing w:after="0" w:line="105" w:lineRule="exact"/>
              <w:rPr>
                <w:sz w:val="20"/>
                <w:szCs w:val="20"/>
                <w:color w:val="auto"/>
              </w:rPr>
            </w:pPr>
            <w:r>
              <w:rPr>
                <w:rFonts w:ascii="Arial" w:cs="Arial" w:eastAsia="Arial" w:hAnsi="Arial"/>
                <w:sz w:val="10"/>
                <w:szCs w:val="10"/>
                <w:color w:val="0000FF"/>
                <w:w w:val="99"/>
              </w:rPr>
              <w:t>www.genmab.com</w:t>
            </w:r>
          </w:p>
        </w:tc>
        <w:tc>
          <w:tcPr>
            <w:tcW w:w="49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77"/>
        </w:trPr>
        <w:tc>
          <w:tcPr>
            <w:tcW w:w="1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43" w:name="page44"/>
    <w:bookmarkEnd w:id="43"/>
    <w:p>
      <w:pPr>
        <w:ind w:left="20"/>
        <w:spacing w:after="0"/>
        <w:rPr>
          <w:sz w:val="20"/>
          <w:szCs w:val="20"/>
          <w:color w:val="auto"/>
        </w:rPr>
      </w:pPr>
      <w:r>
        <w:rPr>
          <w:rFonts w:ascii="Arial" w:cs="Arial" w:eastAsia="Arial" w:hAnsi="Arial"/>
          <w:sz w:val="13"/>
          <w:szCs w:val="13"/>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-82550</wp:posOffset>
            </wp:positionV>
            <wp:extent cx="1323975" cy="385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14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Strategy</w:t>
            </w:r>
          </w:p>
        </w:tc>
        <w:tc>
          <w:tcPr>
            <w:tcW w:w="2260" w:type="dxa"/>
            <w:vAlign w:val="bottom"/>
          </w:tcPr>
          <w:p>
            <w:pPr>
              <w:ind w:left="60"/>
              <w:spacing w:after="0"/>
              <w:rPr>
                <w:sz w:val="20"/>
                <w:szCs w:val="20"/>
                <w:color w:val="auto"/>
              </w:rPr>
            </w:pPr>
            <w:r>
              <w:rPr>
                <w:rFonts w:ascii="Arial" w:cs="Arial" w:eastAsia="Arial" w:hAnsi="Arial"/>
                <w:sz w:val="12"/>
                <w:szCs w:val="12"/>
                <w:color w:val="auto"/>
              </w:rPr>
              <w:t>Describe the climate-related risks and</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rPr>
              <w:t>opportunities the</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w w:val="99"/>
              </w:rPr>
              <w:t>organization has identified over the short,</w:t>
            </w:r>
          </w:p>
        </w:tc>
      </w:tr>
      <w:tr>
        <w:trPr>
          <w:trHeight w:val="159"/>
        </w:trPr>
        <w:tc>
          <w:tcPr>
            <w:tcW w:w="1420" w:type="dxa"/>
            <w:vAlign w:val="bottom"/>
            <w:tcBorders>
              <w:right w:val="single" w:sz="8" w:color="auto"/>
            </w:tcBorders>
          </w:tcPr>
          <w:p>
            <w:pPr>
              <w:spacing w:after="0"/>
              <w:rPr>
                <w:sz w:val="13"/>
                <w:szCs w:val="13"/>
                <w:color w:val="auto"/>
              </w:rPr>
            </w:pPr>
          </w:p>
        </w:tc>
        <w:tc>
          <w:tcPr>
            <w:tcW w:w="2260" w:type="dxa"/>
            <w:vAlign w:val="bottom"/>
          </w:tcPr>
          <w:p>
            <w:pPr>
              <w:ind w:left="60"/>
              <w:spacing w:after="0"/>
              <w:rPr>
                <w:sz w:val="20"/>
                <w:szCs w:val="20"/>
                <w:color w:val="auto"/>
              </w:rPr>
            </w:pPr>
            <w:r>
              <w:rPr>
                <w:rFonts w:ascii="Arial" w:cs="Arial" w:eastAsia="Arial" w:hAnsi="Arial"/>
                <w:sz w:val="12"/>
                <w:szCs w:val="12"/>
                <w:color w:val="auto"/>
              </w:rPr>
              <w:t>medium and long term.</w:t>
            </w:r>
          </w:p>
        </w:tc>
      </w:tr>
      <w:tr>
        <w:trPr>
          <w:trHeight w:val="249"/>
        </w:trPr>
        <w:tc>
          <w:tcPr>
            <w:tcW w:w="1420" w:type="dxa"/>
            <w:vAlign w:val="bottom"/>
            <w:tcBorders>
              <w:right w:val="single" w:sz="8" w:color="auto"/>
            </w:tcBorders>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2"/>
                <w:szCs w:val="12"/>
                <w:color w:val="auto"/>
              </w:rPr>
              <w:t>Describe the impact of</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rPr>
              <w:t>climate-related risks and</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rPr>
              <w:t>opportunities on the</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rPr>
              <w:t>organization’s businesses,</w:t>
            </w:r>
          </w:p>
        </w:tc>
      </w:tr>
      <w:tr>
        <w:trPr>
          <w:trHeight w:val="136"/>
        </w:trPr>
        <w:tc>
          <w:tcPr>
            <w:tcW w:w="1420" w:type="dxa"/>
            <w:vAlign w:val="bottom"/>
            <w:tcBorders>
              <w:right w:val="single" w:sz="8" w:color="auto"/>
            </w:tcBorders>
          </w:tcPr>
          <w:p>
            <w:pPr>
              <w:spacing w:after="0"/>
              <w:rPr>
                <w:sz w:val="11"/>
                <w:szCs w:val="11"/>
                <w:color w:val="auto"/>
              </w:rPr>
            </w:pPr>
          </w:p>
        </w:tc>
        <w:tc>
          <w:tcPr>
            <w:tcW w:w="2260" w:type="dxa"/>
            <w:vAlign w:val="bottom"/>
          </w:tcPr>
          <w:p>
            <w:pPr>
              <w:ind w:left="60"/>
              <w:spacing w:after="0" w:line="136" w:lineRule="exact"/>
              <w:rPr>
                <w:sz w:val="20"/>
                <w:szCs w:val="20"/>
                <w:color w:val="auto"/>
              </w:rPr>
            </w:pPr>
            <w:r>
              <w:rPr>
                <w:rFonts w:ascii="Arial" w:cs="Arial" w:eastAsia="Arial" w:hAnsi="Arial"/>
                <w:sz w:val="12"/>
                <w:szCs w:val="12"/>
                <w:color w:val="auto"/>
              </w:rPr>
              <w:t>strategy and financial</w:t>
            </w:r>
          </w:p>
        </w:tc>
      </w:tr>
      <w:tr>
        <w:trPr>
          <w:trHeight w:val="159"/>
        </w:trPr>
        <w:tc>
          <w:tcPr>
            <w:tcW w:w="1420" w:type="dxa"/>
            <w:vAlign w:val="bottom"/>
            <w:tcBorders>
              <w:right w:val="single" w:sz="8" w:color="auto"/>
            </w:tcBorders>
          </w:tcPr>
          <w:p>
            <w:pPr>
              <w:spacing w:after="0"/>
              <w:rPr>
                <w:sz w:val="13"/>
                <w:szCs w:val="13"/>
                <w:color w:val="auto"/>
              </w:rPr>
            </w:pPr>
          </w:p>
        </w:tc>
        <w:tc>
          <w:tcPr>
            <w:tcW w:w="2260" w:type="dxa"/>
            <w:vAlign w:val="bottom"/>
          </w:tcPr>
          <w:p>
            <w:pPr>
              <w:ind w:left="60"/>
              <w:spacing w:after="0"/>
              <w:rPr>
                <w:sz w:val="20"/>
                <w:szCs w:val="20"/>
                <w:color w:val="auto"/>
              </w:rPr>
            </w:pPr>
            <w:r>
              <w:rPr>
                <w:rFonts w:ascii="Arial" w:cs="Arial" w:eastAsia="Arial" w:hAnsi="Arial"/>
                <w:sz w:val="12"/>
                <w:szCs w:val="12"/>
                <w:color w:val="auto"/>
              </w:rPr>
              <w:t>planning.</w:t>
            </w:r>
          </w:p>
        </w:tc>
      </w:tr>
      <w:tr>
        <w:trPr>
          <w:trHeight w:val="2717"/>
        </w:trPr>
        <w:tc>
          <w:tcPr>
            <w:tcW w:w="1420" w:type="dxa"/>
            <w:vAlign w:val="bottom"/>
            <w:tcBorders>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179"/>
        <w:spacing w:after="0" w:line="248" w:lineRule="auto"/>
        <w:rPr>
          <w:sz w:val="20"/>
          <w:szCs w:val="20"/>
          <w:color w:val="auto"/>
        </w:rPr>
      </w:pPr>
      <w:r>
        <w:rPr>
          <w:rFonts w:ascii="Arial" w:cs="Arial" w:eastAsia="Arial" w:hAnsi="Arial"/>
          <w:sz w:val="12"/>
          <w:szCs w:val="12"/>
          <w:color w:val="auto"/>
        </w:rPr>
        <w:t>Genmab has conducted scenario analysis on the potential transition and physical risks and opportunities related to climate change, at 1.5 - 2°C and 4°C of warming, across our value chain, in the short term (2030), and medium/long term (2040/2050). Below is a brief summary of the key potential risks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-359410</wp:posOffset>
            </wp:positionV>
            <wp:extent cx="5686425" cy="2687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86425" cy="26879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Description of potential risks identified 1.5 - 2°C, short term:</w:t>
      </w:r>
    </w:p>
    <w:p>
      <w:pPr>
        <w:spacing w:after="0" w:line="10" w:lineRule="exact"/>
        <w:rPr>
          <w:sz w:val="20"/>
          <w:szCs w:val="20"/>
          <w:color w:val="auto"/>
        </w:rPr>
      </w:pPr>
    </w:p>
    <w:p>
      <w:pPr>
        <w:ind w:left="440" w:right="199" w:hanging="219"/>
        <w:spacing w:after="0" w:line="236" w:lineRule="auto"/>
        <w:tabs>
          <w:tab w:leader="none" w:pos="440" w:val="left"/>
        </w:tabs>
        <w:numPr>
          <w:ilvl w:val="0"/>
          <w:numId w:val="60"/>
        </w:numPr>
        <w:rPr>
          <w:rFonts w:ascii="Times New Roman" w:cs="Times New Roman" w:eastAsia="Times New Roman" w:hAnsi="Times New Roman"/>
          <w:sz w:val="12"/>
          <w:szCs w:val="12"/>
          <w:color w:val="auto"/>
        </w:rPr>
      </w:pPr>
      <w:r>
        <w:rPr>
          <w:rFonts w:ascii="Arial" w:cs="Arial" w:eastAsia="Arial" w:hAnsi="Arial"/>
          <w:sz w:val="12"/>
          <w:szCs w:val="12"/>
          <w:color w:val="auto"/>
        </w:rPr>
        <w:t>Transition risk resulting from emerging certification, regulation and carbon taxation, pricing, and tariffs and related costs of compliance and the switch to low carbon materials and technologies</w:t>
      </w:r>
    </w:p>
    <w:p>
      <w:pPr>
        <w:ind w:left="440" w:right="219" w:hanging="219"/>
        <w:spacing w:after="0" w:line="236" w:lineRule="auto"/>
        <w:tabs>
          <w:tab w:leader="none" w:pos="440" w:val="left"/>
        </w:tabs>
        <w:numPr>
          <w:ilvl w:val="0"/>
          <w:numId w:val="60"/>
        </w:numPr>
        <w:rPr>
          <w:rFonts w:ascii="Times New Roman" w:cs="Times New Roman" w:eastAsia="Times New Roman" w:hAnsi="Times New Roman"/>
          <w:sz w:val="12"/>
          <w:szCs w:val="12"/>
          <w:color w:val="auto"/>
        </w:rPr>
      </w:pPr>
      <w:r>
        <w:rPr>
          <w:rFonts w:ascii="Arial" w:cs="Arial" w:eastAsia="Arial" w:hAnsi="Arial"/>
          <w:sz w:val="12"/>
          <w:szCs w:val="12"/>
          <w:color w:val="auto"/>
        </w:rPr>
        <w:t>Transition risk resulting from increased focus of investors and regulators on ESG performance in investment decision-making, increasingly connecting access to capital and investment to ESG and climate performance</w:t>
      </w:r>
    </w:p>
    <w:p>
      <w:pPr>
        <w:ind w:left="440" w:right="299" w:hanging="219"/>
        <w:spacing w:after="0" w:line="236" w:lineRule="auto"/>
        <w:tabs>
          <w:tab w:leader="none" w:pos="440" w:val="left"/>
        </w:tabs>
        <w:numPr>
          <w:ilvl w:val="0"/>
          <w:numId w:val="60"/>
        </w:numPr>
        <w:rPr>
          <w:rFonts w:ascii="Times New Roman" w:cs="Times New Roman" w:eastAsia="Times New Roman" w:hAnsi="Times New Roman"/>
          <w:sz w:val="12"/>
          <w:szCs w:val="12"/>
          <w:color w:val="auto"/>
        </w:rPr>
      </w:pPr>
      <w:r>
        <w:rPr>
          <w:rFonts w:ascii="Arial" w:cs="Arial" w:eastAsia="Arial" w:hAnsi="Arial"/>
          <w:sz w:val="12"/>
          <w:szCs w:val="12"/>
          <w:color w:val="auto"/>
        </w:rPr>
        <w:t>Transition risk resulting from shift in consumer preferences and talent attraction criteria toward climate and responsibility</w:t>
      </w:r>
    </w:p>
    <w:p>
      <w:pPr>
        <w:ind w:left="440" w:right="339" w:hanging="219"/>
        <w:spacing w:after="0" w:line="236" w:lineRule="auto"/>
        <w:tabs>
          <w:tab w:leader="none" w:pos="440" w:val="left"/>
        </w:tabs>
        <w:numPr>
          <w:ilvl w:val="0"/>
          <w:numId w:val="60"/>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of disruption of supply chains due to changes in weather patterns and extreme weather events</w:t>
      </w:r>
    </w:p>
    <w:p>
      <w:pPr>
        <w:ind w:left="440" w:right="439" w:hanging="219"/>
        <w:spacing w:after="0" w:line="251" w:lineRule="auto"/>
        <w:tabs>
          <w:tab w:leader="none" w:pos="440" w:val="left"/>
        </w:tabs>
        <w:numPr>
          <w:ilvl w:val="0"/>
          <w:numId w:val="60"/>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resulting from more frequent and severe heat waves, leading to increased cooling costs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Description of potential risks identified 1.5 - 2°C, medium/ long term</w:t>
      </w:r>
    </w:p>
    <w:p>
      <w:pPr>
        <w:spacing w:after="0" w:line="10" w:lineRule="exact"/>
        <w:rPr>
          <w:sz w:val="20"/>
          <w:szCs w:val="20"/>
          <w:color w:val="auto"/>
        </w:rPr>
      </w:pPr>
    </w:p>
    <w:p>
      <w:pPr>
        <w:ind w:left="440" w:right="439" w:hanging="219"/>
        <w:spacing w:after="0" w:line="236" w:lineRule="auto"/>
        <w:tabs>
          <w:tab w:leader="none" w:pos="440"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of disruption of supply chains and operations due to changes in weather patterns and increase in frequency of extreme weather events</w:t>
      </w:r>
    </w:p>
    <w:p>
      <w:pPr>
        <w:ind w:left="440" w:right="439" w:hanging="219"/>
        <w:spacing w:after="0" w:line="236" w:lineRule="auto"/>
        <w:tabs>
          <w:tab w:leader="none" w:pos="440"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resulting from more frequent and severe heat waves, leading to increased cooling costs</w:t>
      </w:r>
    </w:p>
    <w:p>
      <w:pPr>
        <w:ind w:left="440" w:right="219" w:hanging="219"/>
        <w:spacing w:after="0" w:line="251" w:lineRule="auto"/>
        <w:tabs>
          <w:tab w:leader="none" w:pos="440"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resulting from coastal flooding, potentially disrupting operations and the supply chain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Description of potential risks identified 4°C, short term</w:t>
      </w:r>
    </w:p>
    <w:p>
      <w:pPr>
        <w:spacing w:after="0" w:line="10" w:lineRule="exact"/>
        <w:rPr>
          <w:sz w:val="20"/>
          <w:szCs w:val="20"/>
          <w:color w:val="auto"/>
        </w:rPr>
      </w:pPr>
    </w:p>
    <w:p>
      <w:pPr>
        <w:jc w:val="both"/>
        <w:ind w:left="440" w:right="319" w:hanging="219"/>
        <w:spacing w:after="0" w:line="244" w:lineRule="auto"/>
        <w:tabs>
          <w:tab w:leader="none" w:pos="440" w:val="left"/>
        </w:tabs>
        <w:numPr>
          <w:ilvl w:val="0"/>
          <w:numId w:val="62"/>
        </w:numPr>
        <w:rPr>
          <w:rFonts w:ascii="Times New Roman" w:cs="Times New Roman" w:eastAsia="Times New Roman" w:hAnsi="Times New Roman"/>
          <w:sz w:val="12"/>
          <w:szCs w:val="12"/>
          <w:color w:val="auto"/>
        </w:rPr>
      </w:pPr>
      <w:r>
        <w:rPr>
          <w:rFonts w:ascii="Arial" w:cs="Arial" w:eastAsia="Arial" w:hAnsi="Arial"/>
          <w:sz w:val="12"/>
          <w:szCs w:val="12"/>
          <w:color w:val="auto"/>
        </w:rPr>
        <w:t>Physical risk of disruption of supply chains, acute limited supply, and increased cost of raw materials due to changes in weather patterns and extreme weather events</w:t>
      </w:r>
    </w:p>
    <w:p>
      <w:pPr>
        <w:spacing w:after="0" w:line="200" w:lineRule="exact"/>
        <w:rPr>
          <w:sz w:val="20"/>
          <w:szCs w:val="20"/>
          <w:color w:val="auto"/>
        </w:rPr>
      </w:pPr>
    </w:p>
    <w:p>
      <w:pPr>
        <w:sectPr>
          <w:pgSz w:w="11900" w:h="16838" w:orient="portrait"/>
          <w:cols w:equalWidth="0" w:num="2">
            <w:col w:w="3780" w:space="280"/>
            <w:col w:w="4959"/>
          </w:cols>
          <w:pgMar w:left="1440" w:top="484" w:right="1440" w:bottom="1440" w:gutter="0" w:footer="0" w:header="0"/>
          <w:type w:val="continuous"/>
        </w:sect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32"/>
        </w:trPr>
        <w:tc>
          <w:tcPr>
            <w:tcW w:w="1500" w:type="dxa"/>
            <w:vAlign w:val="bottom"/>
            <w:tcBorders>
              <w:top w:val="single" w:sz="8" w:color="auto"/>
              <w:left w:val="single" w:sz="8" w:color="auto"/>
              <w:right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right w:val="single" w:sz="8" w:color="auto"/>
            </w:tcBorders>
          </w:tcPr>
          <w:p>
            <w:pPr>
              <w:spacing w:after="0"/>
              <w:rPr>
                <w:sz w:val="11"/>
                <w:szCs w:val="11"/>
                <w:color w:val="auto"/>
              </w:rPr>
            </w:pPr>
          </w:p>
        </w:tc>
        <w:tc>
          <w:tcPr>
            <w:tcW w:w="4960" w:type="dxa"/>
            <w:vAlign w:val="bottom"/>
            <w:tcBorders>
              <w:top w:val="single" w:sz="8" w:color="auto"/>
              <w:right w:val="single" w:sz="8" w:color="auto"/>
            </w:tcBorders>
          </w:tcPr>
          <w:p>
            <w:pPr>
              <w:ind w:left="260"/>
              <w:spacing w:after="0" w:line="133"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Physical risk resulting from frequent and severe heat waves, leading to increased</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cooling costs</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Physical risk of disruption of supply chain, operations and distribution, resulting</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960" w:type="dxa"/>
            <w:vAlign w:val="bottom"/>
            <w:tcBorders>
              <w:right w:val="single" w:sz="8" w:color="auto"/>
            </w:tcBorders>
          </w:tcPr>
          <w:p>
            <w:pPr>
              <w:ind w:left="480"/>
              <w:spacing w:after="0"/>
              <w:rPr>
                <w:sz w:val="20"/>
                <w:szCs w:val="20"/>
                <w:color w:val="auto"/>
              </w:rPr>
            </w:pPr>
            <w:r>
              <w:rPr>
                <w:rFonts w:ascii="Arial" w:cs="Arial" w:eastAsia="Arial" w:hAnsi="Arial"/>
                <w:sz w:val="12"/>
                <w:szCs w:val="12"/>
                <w:color w:val="auto"/>
              </w:rPr>
              <w:t>from increased acute flooding</w:t>
            </w:r>
          </w:p>
        </w:tc>
        <w:tc>
          <w:tcPr>
            <w:tcW w:w="0" w:type="dxa"/>
            <w:vAlign w:val="bottom"/>
          </w:tcPr>
          <w:p>
            <w:pPr>
              <w:spacing w:after="0"/>
              <w:rPr>
                <w:sz w:val="1"/>
                <w:szCs w:val="1"/>
                <w:color w:val="auto"/>
              </w:rPr>
            </w:pPr>
          </w:p>
        </w:tc>
      </w:tr>
      <w:tr>
        <w:trPr>
          <w:trHeight w:val="248"/>
        </w:trPr>
        <w:tc>
          <w:tcPr>
            <w:tcW w:w="1500" w:type="dxa"/>
            <w:vAlign w:val="bottom"/>
            <w:tcBorders>
              <w:left w:val="single" w:sz="8" w:color="auto"/>
              <w:right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Description of potential risks identified 4°C, medium/long term</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Transition risk resulting from fragmented regulatory efforts to curb runaway climate</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change through cost of compliance with carbon taxation, pricing, etc.</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Physical risk resulting from acute, severe and frequent extreme weather events,</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leading to disruption of operations, supply chain and distribution, damage to</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physical assets and inventory, as well as increase in raw materials cost and</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insurance costs</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Physical risk resulting from acute and severe heat waves, leading to instability of</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supply chains, increased energy costs for cooling and loss of inventory</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Physical risk resulting from sea level rise and coastal flooding, leading to</w:t>
            </w:r>
          </w:p>
        </w:tc>
        <w:tc>
          <w:tcPr>
            <w:tcW w:w="0" w:type="dxa"/>
            <w:vAlign w:val="bottom"/>
          </w:tcPr>
          <w:p>
            <w:pPr>
              <w:spacing w:after="0"/>
              <w:rPr>
                <w:sz w:val="1"/>
                <w:szCs w:val="1"/>
                <w:color w:val="auto"/>
              </w:rPr>
            </w:pP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disruption of operations and supply chains, damage to physical assets, inventory</w:t>
            </w:r>
          </w:p>
        </w:tc>
        <w:tc>
          <w:tcPr>
            <w:tcW w:w="0" w:type="dxa"/>
            <w:vAlign w:val="bottom"/>
          </w:tcPr>
          <w:p>
            <w:pPr>
              <w:spacing w:after="0"/>
              <w:rPr>
                <w:sz w:val="1"/>
                <w:szCs w:val="1"/>
                <w:color w:val="auto"/>
              </w:rPr>
            </w:pP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climate-related risks and</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Brief summary of the key potential climate</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opportunities the organization has identified</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related opportunities:</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over the short, medium and long term.</w:t>
            </w:r>
          </w:p>
        </w:tc>
        <w:tc>
          <w:tcPr>
            <w:tcW w:w="4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Description of potential opportunities identified</w:t>
            </w:r>
          </w:p>
        </w:tc>
        <w:tc>
          <w:tcPr>
            <w:tcW w:w="0" w:type="dxa"/>
            <w:vAlign w:val="bottom"/>
          </w:tcPr>
          <w:p>
            <w:pPr>
              <w:spacing w:after="0"/>
              <w:rPr>
                <w:sz w:val="1"/>
                <w:szCs w:val="1"/>
                <w:color w:val="auto"/>
              </w:rPr>
            </w:pPr>
          </w:p>
        </w:tc>
      </w:tr>
      <w:tr>
        <w:trPr>
          <w:trHeight w:val="113"/>
        </w:trPr>
        <w:tc>
          <w:tcPr>
            <w:tcW w:w="1500" w:type="dxa"/>
            <w:vAlign w:val="bottom"/>
            <w:tcBorders>
              <w:left w:val="single" w:sz="8" w:color="auto"/>
              <w:right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4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Describe the impact of</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1.5 – 2°C and 4°C</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7" w:lineRule="exact"/>
              <w:rPr>
                <w:sz w:val="20"/>
                <w:szCs w:val="20"/>
                <w:color w:val="auto"/>
              </w:rPr>
            </w:pPr>
            <w:r>
              <w:rPr>
                <w:rFonts w:ascii="Arial" w:cs="Arial" w:eastAsia="Arial" w:hAnsi="Arial"/>
                <w:sz w:val="12"/>
                <w:szCs w:val="12"/>
                <w:color w:val="auto"/>
              </w:rPr>
              <w:t>climate-related risks and</w:t>
            </w:r>
          </w:p>
        </w:tc>
        <w:tc>
          <w:tcPr>
            <w:tcW w:w="4960" w:type="dxa"/>
            <w:vAlign w:val="bottom"/>
            <w:tcBorders>
              <w:right w:val="single" w:sz="8" w:color="auto"/>
            </w:tcBorders>
          </w:tcPr>
          <w:p>
            <w:pPr>
              <w:ind w:left="260"/>
              <w:spacing w:after="0" w:line="137"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Cost savings from the use of new technologies, more energy efficient/low carbon</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opportunities on the organization’s</w:t>
            </w:r>
          </w:p>
        </w:tc>
        <w:tc>
          <w:tcPr>
            <w:tcW w:w="4960" w:type="dxa"/>
            <w:vAlign w:val="bottom"/>
            <w:tcBorders>
              <w:right w:val="single" w:sz="8" w:color="auto"/>
            </w:tcBorders>
          </w:tcPr>
          <w:p>
            <w:pPr>
              <w:ind w:left="480"/>
              <w:spacing w:after="0" w:line="136" w:lineRule="exact"/>
              <w:rPr>
                <w:sz w:val="20"/>
                <w:szCs w:val="20"/>
                <w:color w:val="auto"/>
              </w:rPr>
            </w:pPr>
            <w:r>
              <w:rPr>
                <w:rFonts w:ascii="Arial" w:cs="Arial" w:eastAsia="Arial" w:hAnsi="Arial"/>
                <w:sz w:val="12"/>
                <w:szCs w:val="12"/>
                <w:color w:val="auto"/>
              </w:rPr>
              <w:t>production and distribution</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businesses,</w:t>
            </w:r>
          </w:p>
        </w:tc>
        <w:tc>
          <w:tcPr>
            <w:tcW w:w="4960" w:type="dxa"/>
            <w:vAlign w:val="bottom"/>
            <w:tcBorders>
              <w:right w:val="single" w:sz="8" w:color="auto"/>
            </w:tcBorders>
          </w:tcPr>
          <w:p>
            <w:pPr>
              <w:ind w:left="260"/>
              <w:spacing w:after="0" w:line="136" w:lineRule="exact"/>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Cost savings and reduced exposure to resource and water scarcity through, for</w:t>
            </w:r>
          </w:p>
        </w:tc>
        <w:tc>
          <w:tcPr>
            <w:tcW w:w="0" w:type="dxa"/>
            <w:vAlign w:val="bottom"/>
          </w:tcPr>
          <w:p>
            <w:pPr>
              <w:spacing w:after="0"/>
              <w:rPr>
                <w:sz w:val="1"/>
                <w:szCs w:val="1"/>
                <w:color w:val="auto"/>
              </w:rPr>
            </w:pPr>
          </w:p>
        </w:tc>
      </w:tr>
      <w:tr>
        <w:trPr>
          <w:trHeight w:val="154"/>
        </w:trPr>
        <w:tc>
          <w:tcPr>
            <w:tcW w:w="1500" w:type="dxa"/>
            <w:vAlign w:val="bottom"/>
            <w:tcBorders>
              <w:left w:val="single" w:sz="8" w:color="auto"/>
              <w:right w:val="single" w:sz="8" w:color="auto"/>
            </w:tcBorders>
          </w:tcPr>
          <w:p>
            <w:pPr>
              <w:spacing w:after="0"/>
              <w:rPr>
                <w:sz w:val="13"/>
                <w:szCs w:val="13"/>
                <w:color w:val="auto"/>
              </w:rPr>
            </w:pPr>
          </w:p>
        </w:tc>
        <w:tc>
          <w:tcPr>
            <w:tcW w:w="250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strategy and financial planning.</w:t>
            </w:r>
          </w:p>
        </w:tc>
        <w:tc>
          <w:tcPr>
            <w:tcW w:w="4960" w:type="dxa"/>
            <w:vAlign w:val="bottom"/>
            <w:tcBorders>
              <w:right w:val="single" w:sz="8" w:color="auto"/>
            </w:tcBorders>
          </w:tcPr>
          <w:p>
            <w:pPr>
              <w:ind w:left="480"/>
              <w:spacing w:after="0"/>
              <w:rPr>
                <w:sz w:val="20"/>
                <w:szCs w:val="20"/>
                <w:color w:val="auto"/>
              </w:rPr>
            </w:pPr>
            <w:r>
              <w:rPr>
                <w:rFonts w:ascii="Arial" w:cs="Arial" w:eastAsia="Arial" w:hAnsi="Arial"/>
                <w:sz w:val="12"/>
                <w:szCs w:val="12"/>
                <w:color w:val="auto"/>
              </w:rPr>
              <w:t>instance, the use of recycling</w:t>
            </w:r>
          </w:p>
        </w:tc>
        <w:tc>
          <w:tcPr>
            <w:tcW w:w="0" w:type="dxa"/>
            <w:vAlign w:val="bottom"/>
          </w:tcPr>
          <w:p>
            <w:pPr>
              <w:spacing w:after="0"/>
              <w:rPr>
                <w:sz w:val="1"/>
                <w:szCs w:val="1"/>
                <w:color w:val="auto"/>
              </w:rPr>
            </w:pPr>
          </w:p>
        </w:tc>
      </w:tr>
      <w:tr>
        <w:trPr>
          <w:trHeight w:val="145"/>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Increase resilience, adaptation and cost savings from efficient and green buildings</w:t>
            </w:r>
          </w:p>
        </w:tc>
        <w:tc>
          <w:tcPr>
            <w:tcW w:w="0" w:type="dxa"/>
            <w:vAlign w:val="bottom"/>
          </w:tcPr>
          <w:p>
            <w:pPr>
              <w:spacing w:after="0"/>
              <w:rPr>
                <w:sz w:val="1"/>
                <w:szCs w:val="1"/>
                <w:color w:val="auto"/>
              </w:rPr>
            </w:pPr>
          </w:p>
        </w:tc>
      </w:tr>
      <w:tr>
        <w:trPr>
          <w:trHeight w:val="145"/>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Cost savings and lowered exposure to carbon pricing and other regulations</w:t>
            </w:r>
          </w:p>
        </w:tc>
        <w:tc>
          <w:tcPr>
            <w:tcW w:w="0" w:type="dxa"/>
            <w:vAlign w:val="bottom"/>
          </w:tcPr>
          <w:p>
            <w:pPr>
              <w:spacing w:after="0"/>
              <w:rPr>
                <w:sz w:val="1"/>
                <w:szCs w:val="1"/>
                <w:color w:val="auto"/>
              </w:rPr>
            </w:pPr>
          </w:p>
        </w:tc>
      </w:tr>
      <w:tr>
        <w:trPr>
          <w:trHeight w:val="145"/>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Reputational gains with stakeholders and potential employees from focus on</w:t>
            </w:r>
          </w:p>
        </w:tc>
        <w:tc>
          <w:tcPr>
            <w:tcW w:w="0" w:type="dxa"/>
            <w:vAlign w:val="bottom"/>
          </w:tcPr>
          <w:p>
            <w:pPr>
              <w:spacing w:after="0"/>
              <w:rPr>
                <w:sz w:val="1"/>
                <w:szCs w:val="1"/>
                <w:color w:val="auto"/>
              </w:rPr>
            </w:pP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climate-related topics</w:t>
            </w:r>
          </w:p>
        </w:tc>
        <w:tc>
          <w:tcPr>
            <w:tcW w:w="0" w:type="dxa"/>
            <w:vAlign w:val="bottom"/>
          </w:tcPr>
          <w:p>
            <w:pPr>
              <w:spacing w:after="0"/>
              <w:rPr>
                <w:sz w:val="1"/>
                <w:szCs w:val="1"/>
                <w:color w:val="auto"/>
              </w:rPr>
            </w:pP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impact of</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Climate-related risks and opportunities identified will be considered and integrated as part</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climate-related risks and</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of Genmab’s ERM program, financial planning and strategy. To play our part in mitigating</w:t>
            </w:r>
          </w:p>
        </w:tc>
        <w:tc>
          <w:tcPr>
            <w:tcW w:w="0" w:type="dxa"/>
            <w:vAlign w:val="bottom"/>
          </w:tcPr>
          <w:p>
            <w:pPr>
              <w:spacing w:after="0"/>
              <w:rPr>
                <w:sz w:val="1"/>
                <w:szCs w:val="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opportunities on the</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the physical impacts of climate change and</w:t>
            </w:r>
          </w:p>
        </w:tc>
        <w:tc>
          <w:tcPr>
            <w:tcW w:w="0" w:type="dxa"/>
            <w:vAlign w:val="bottom"/>
          </w:tcPr>
          <w:p>
            <w:pPr>
              <w:spacing w:after="0"/>
              <w:rPr>
                <w:sz w:val="1"/>
                <w:szCs w:val="1"/>
                <w:color w:val="auto"/>
              </w:rPr>
            </w:pP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2"/>
                <w:szCs w:val="12"/>
                <w:color w:val="auto"/>
              </w:rPr>
              <w:t>organization’s businesses,</w:t>
            </w:r>
          </w:p>
        </w:tc>
        <w:tc>
          <w:tcPr>
            <w:tcW w:w="4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37"/>
        </w:trPr>
        <w:tc>
          <w:tcPr>
            <w:tcW w:w="1500" w:type="dxa"/>
            <w:vAlign w:val="bottom"/>
          </w:tcPr>
          <w:p>
            <w:pPr>
              <w:spacing w:after="0"/>
              <w:rPr>
                <w:sz w:val="20"/>
                <w:szCs w:val="20"/>
                <w:color w:val="auto"/>
              </w:rPr>
            </w:pPr>
            <w:r>
              <w:rPr>
                <w:rFonts w:ascii="Arial" w:cs="Arial" w:eastAsia="Arial" w:hAnsi="Arial"/>
                <w:sz w:val="10"/>
                <w:szCs w:val="10"/>
                <w:color w:val="auto"/>
              </w:rPr>
              <w:t>Genmab A/S</w:t>
            </w:r>
          </w:p>
        </w:tc>
        <w:tc>
          <w:tcPr>
            <w:tcW w:w="2500" w:type="dxa"/>
            <w:vAlign w:val="bottom"/>
            <w:gridSpan w:val="3"/>
          </w:tcPr>
          <w:p>
            <w:pPr>
              <w:ind w:left="1640"/>
              <w:spacing w:after="0"/>
              <w:rPr>
                <w:sz w:val="20"/>
                <w:szCs w:val="20"/>
                <w:color w:val="auto"/>
              </w:rPr>
            </w:pPr>
            <w:r>
              <w:rPr>
                <w:rFonts w:ascii="Arial" w:cs="Arial" w:eastAsia="Arial" w:hAnsi="Arial"/>
                <w:sz w:val="10"/>
                <w:szCs w:val="10"/>
                <w:color w:val="auto"/>
                <w:w w:val="94"/>
              </w:rPr>
              <w:t>Tel: +45 7020 2728</w:t>
            </w:r>
          </w:p>
        </w:tc>
        <w:tc>
          <w:tcPr>
            <w:tcW w:w="49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15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960" w:type="dxa"/>
            <w:vAlign w:val="bottom"/>
          </w:tcPr>
          <w:p>
            <w:pPr>
              <w:jc w:val="right"/>
              <w:spacing w:after="0" w:line="109" w:lineRule="exact"/>
              <w:rPr>
                <w:sz w:val="20"/>
                <w:szCs w:val="20"/>
                <w:color w:val="auto"/>
              </w:rPr>
            </w:pPr>
            <w:r>
              <w:rPr>
                <w:rFonts w:ascii="Arial" w:cs="Arial" w:eastAsia="Arial" w:hAnsi="Arial"/>
                <w:sz w:val="10"/>
                <w:szCs w:val="10"/>
                <w:color w:val="auto"/>
              </w:rPr>
              <w:t>Page 42/158</w:t>
            </w:r>
          </w:p>
        </w:tc>
        <w:tc>
          <w:tcPr>
            <w:tcW w:w="0" w:type="dxa"/>
            <w:vAlign w:val="bottom"/>
          </w:tcPr>
          <w:p>
            <w:pPr>
              <w:spacing w:after="0"/>
              <w:rPr>
                <w:sz w:val="1"/>
                <w:szCs w:val="1"/>
                <w:color w:val="auto"/>
              </w:rPr>
            </w:pPr>
          </w:p>
        </w:tc>
      </w:tr>
      <w:tr>
        <w:trPr>
          <w:trHeight w:val="105"/>
        </w:trPr>
        <w:tc>
          <w:tcPr>
            <w:tcW w:w="15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500" w:type="dxa"/>
            <w:vAlign w:val="bottom"/>
            <w:gridSpan w:val="3"/>
          </w:tcPr>
          <w:p>
            <w:pPr>
              <w:ind w:left="1640"/>
              <w:spacing w:after="0" w:line="105" w:lineRule="exact"/>
              <w:rPr>
                <w:sz w:val="20"/>
                <w:szCs w:val="20"/>
                <w:color w:val="auto"/>
              </w:rPr>
            </w:pPr>
            <w:r>
              <w:rPr>
                <w:rFonts w:ascii="Arial" w:cs="Arial" w:eastAsia="Arial" w:hAnsi="Arial"/>
                <w:sz w:val="10"/>
                <w:szCs w:val="10"/>
                <w:color w:val="0000FF"/>
                <w:w w:val="99"/>
              </w:rPr>
              <w:t>www.genmab.com</w:t>
            </w:r>
          </w:p>
        </w:tc>
        <w:tc>
          <w:tcPr>
            <w:tcW w:w="49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77"/>
        </w:trPr>
        <w:tc>
          <w:tcPr>
            <w:tcW w:w="1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32"/>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top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2"/>
                <w:szCs w:val="12"/>
                <w:color w:val="auto"/>
              </w:rPr>
              <w:t>strategy and financial planning.</w:t>
            </w:r>
          </w:p>
        </w:tc>
        <w:tc>
          <w:tcPr>
            <w:tcW w:w="4960" w:type="dxa"/>
            <w:vAlign w:val="bottom"/>
            <w:tcBorders>
              <w:top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color w:val="auto"/>
              </w:rPr>
              <w:t>curbing warming, Genmab will commit to a climate target, to reduce our GHG emissions in</w:t>
            </w: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line with the Paris Agreement.</w:t>
            </w: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resilience of the organization’s</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Genmab has conducted qualitative climate</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strategy, taking into consideration different</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related scenario analysis. Four scenarios spanning 1.5 – 2°C and 4°C of warming were</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climate-related scenarios, including a 2°C</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developed based on Intergovernmental Panel on Climate Change, International Energy</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or lower scenario.</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Agency and other sources, and Genmab’s risks and opportunities across the value chain</w:t>
            </w: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 the short, medium/ long term were assessed.</w:t>
            </w:r>
          </w:p>
        </w:tc>
      </w:tr>
      <w:tr>
        <w:trPr>
          <w:trHeight w:val="249"/>
        </w:trPr>
        <w:tc>
          <w:tcPr>
            <w:tcW w:w="1500" w:type="dxa"/>
            <w:vAlign w:val="bottom"/>
            <w:tcBorders>
              <w:left w:val="single" w:sz="8" w:color="auto"/>
              <w:right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 2023, Genmab will further assess the resilience of our corporate strategy in these</w:t>
            </w:r>
          </w:p>
        </w:tc>
      </w:tr>
      <w:tr>
        <w:trPr>
          <w:trHeight w:val="149"/>
        </w:trPr>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climate-related scenarios.</w:t>
            </w:r>
          </w:p>
        </w:tc>
      </w:tr>
      <w:tr>
        <w:trPr>
          <w:trHeight w:val="112"/>
        </w:trPr>
        <w:tc>
          <w:tcPr>
            <w:tcW w:w="150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Risk Management</w:t>
            </w: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organization’s processes for</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In 2022, Genmab continued its assessment of climate-related risk and scenario analysis to</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identifying and assessing climate-related</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identify key risks and opportunities. The risks have been assessed through stakeholder</w:t>
            </w: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2"/>
                <w:szCs w:val="12"/>
                <w:color w:val="auto"/>
              </w:rPr>
              <w:t>risks.</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engagement and interviews.</w:t>
            </w: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organization’s processes for</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Climate-related risks identified will be considered as part of our ERM program, and</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managing climate-related risks.</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responsibility for monitoring, prevention and mitigation will be cascaded to relevant</w:t>
            </w: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functions within Genmab.</w:t>
            </w: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how processes for identifying,</w:t>
            </w:r>
          </w:p>
        </w:tc>
        <w:tc>
          <w:tcPr>
            <w:tcW w:w="4960" w:type="dxa"/>
            <w:vAlign w:val="bottom"/>
            <w:tcBorders>
              <w:right w:val="single" w:sz="8" w:color="auto"/>
            </w:tcBorders>
          </w:tcPr>
          <w:p>
            <w:pPr>
              <w:spacing w:after="0"/>
              <w:rPr>
                <w:sz w:val="9"/>
                <w:szCs w:val="9"/>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assessing and managing climate-related</w:t>
            </w:r>
          </w:p>
        </w:tc>
        <w:tc>
          <w:tcPr>
            <w:tcW w:w="4960" w:type="dxa"/>
            <w:vAlign w:val="bottom"/>
            <w:tcBorders>
              <w:right w:val="single" w:sz="8" w:color="auto"/>
            </w:tcBorders>
          </w:tcPr>
          <w:p>
            <w:pPr>
              <w:spacing w:after="0"/>
              <w:rPr>
                <w:sz w:val="11"/>
                <w:szCs w:val="1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risks are integrated into the organization’s</w:t>
            </w:r>
          </w:p>
        </w:tc>
        <w:tc>
          <w:tcPr>
            <w:tcW w:w="4960" w:type="dxa"/>
            <w:vAlign w:val="bottom"/>
            <w:tcBorders>
              <w:right w:val="single" w:sz="8" w:color="auto"/>
            </w:tcBorders>
          </w:tcPr>
          <w:p>
            <w:pPr>
              <w:spacing w:after="0"/>
              <w:rPr>
                <w:sz w:val="11"/>
                <w:szCs w:val="11"/>
                <w:color w:val="auto"/>
              </w:rPr>
            </w:pPr>
          </w:p>
        </w:tc>
      </w:tr>
      <w:tr>
        <w:trPr>
          <w:trHeight w:val="149"/>
        </w:trPr>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2"/>
                <w:szCs w:val="12"/>
                <w:color w:val="auto"/>
              </w:rPr>
              <w:t>overall risk management.</w:t>
            </w:r>
          </w:p>
        </w:tc>
        <w:tc>
          <w:tcPr>
            <w:tcW w:w="4960" w:type="dxa"/>
            <w:vAlign w:val="bottom"/>
            <w:tcBorders>
              <w:bottom w:val="single" w:sz="8" w:color="auto"/>
              <w:right w:val="single" w:sz="8" w:color="auto"/>
            </w:tcBorders>
          </w:tcPr>
          <w:p>
            <w:pPr>
              <w:spacing w:after="0"/>
              <w:rPr>
                <w:sz w:val="12"/>
                <w:szCs w:val="12"/>
                <w:color w:val="auto"/>
              </w:rPr>
            </w:pPr>
          </w:p>
        </w:tc>
      </w:tr>
      <w:tr>
        <w:trPr>
          <w:trHeight w:val="112"/>
        </w:trPr>
        <w:tc>
          <w:tcPr>
            <w:tcW w:w="150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Metrics and Targets</w:t>
            </w: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Disclose the metrics used by the</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Genmab reports on Scope 1 and 2 GHG emissions in line with the GHG Protocol.</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organization to assess climate-related</w:t>
            </w:r>
          </w:p>
        </w:tc>
        <w:tc>
          <w:tcPr>
            <w:tcW w:w="4960" w:type="dxa"/>
            <w:vAlign w:val="bottom"/>
            <w:tcBorders>
              <w:right w:val="single" w:sz="8" w:color="auto"/>
            </w:tcBorders>
          </w:tcPr>
          <w:p>
            <w:pPr>
              <w:spacing w:after="0"/>
              <w:rPr>
                <w:sz w:val="11"/>
                <w:szCs w:val="11"/>
                <w:color w:val="auto"/>
              </w:rPr>
            </w:pP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risks and opportunities in line with its</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Genmab will develop metrics related to business continuity and natural disaster recovery.</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36" w:lineRule="exact"/>
              <w:rPr>
                <w:sz w:val="20"/>
                <w:szCs w:val="20"/>
                <w:color w:val="auto"/>
              </w:rPr>
            </w:pPr>
            <w:r>
              <w:rPr>
                <w:rFonts w:ascii="Arial" w:cs="Arial" w:eastAsia="Arial" w:hAnsi="Arial"/>
                <w:sz w:val="12"/>
                <w:szCs w:val="12"/>
                <w:color w:val="auto"/>
              </w:rPr>
              <w:t>strategy and risk management process.</w:t>
            </w: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These may include, for instance, suppliers assessed/engaged on climate and climate risk</w:t>
            </w: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topics, etc.</w:t>
            </w:r>
          </w:p>
        </w:tc>
      </w:tr>
      <w:tr>
        <w:trPr>
          <w:trHeight w:val="124"/>
        </w:trPr>
        <w:tc>
          <w:tcPr>
            <w:tcW w:w="1500" w:type="dxa"/>
            <w:vAlign w:val="bottom"/>
            <w:tcBorders>
              <w:left w:val="single" w:sz="8" w:color="auto"/>
              <w:right w:val="single" w:sz="8" w:color="auto"/>
            </w:tcBorders>
          </w:tcPr>
          <w:p>
            <w:pPr>
              <w:spacing w:after="0"/>
              <w:rPr>
                <w:sz w:val="10"/>
                <w:szCs w:val="10"/>
                <w:color w:val="auto"/>
              </w:rPr>
            </w:pPr>
          </w:p>
        </w:tc>
        <w:tc>
          <w:tcPr>
            <w:tcW w:w="2500" w:type="dxa"/>
            <w:vAlign w:val="bottom"/>
            <w:tcBorders>
              <w:right w:val="single" w:sz="8" w:color="auto"/>
            </w:tcBorders>
            <w:gridSpan w:val="3"/>
          </w:tcPr>
          <w:p>
            <w:pPr>
              <w:ind w:left="60"/>
              <w:spacing w:after="0" w:line="125" w:lineRule="exact"/>
              <w:rPr>
                <w:sz w:val="20"/>
                <w:szCs w:val="20"/>
                <w:color w:val="auto"/>
              </w:rPr>
            </w:pPr>
            <w:r>
              <w:rPr>
                <w:rFonts w:ascii="Arial" w:cs="Arial" w:eastAsia="Arial" w:hAnsi="Arial"/>
                <w:sz w:val="12"/>
                <w:szCs w:val="12"/>
                <w:color w:val="auto"/>
              </w:rPr>
              <w:t>Disclose Scope 1, Scope 2 and, if</w:t>
            </w:r>
          </w:p>
        </w:tc>
        <w:tc>
          <w:tcPr>
            <w:tcW w:w="4960" w:type="dxa"/>
            <w:vAlign w:val="bottom"/>
            <w:tcBorders>
              <w:right w:val="single" w:sz="8" w:color="auto"/>
            </w:tcBorders>
          </w:tcPr>
          <w:p>
            <w:pPr>
              <w:ind w:left="40"/>
              <w:spacing w:after="0" w:line="125" w:lineRule="exact"/>
              <w:rPr>
                <w:sz w:val="20"/>
                <w:szCs w:val="20"/>
                <w:color w:val="auto"/>
              </w:rPr>
            </w:pPr>
            <w:r>
              <w:rPr>
                <w:rFonts w:ascii="Arial" w:cs="Arial" w:eastAsia="Arial" w:hAnsi="Arial"/>
                <w:sz w:val="10"/>
                <w:szCs w:val="10"/>
                <w:color w:val="auto"/>
              </w:rPr>
              <w:t>Genmab’s Scope 1 and 2 emissions totaled 393.8 tonnes CO</w:t>
            </w:r>
            <w:r>
              <w:rPr>
                <w:rFonts w:ascii="Arial" w:cs="Arial" w:eastAsia="Arial" w:hAnsi="Arial"/>
                <w:sz w:val="14"/>
                <w:szCs w:val="14"/>
                <w:color w:val="auto"/>
                <w:vertAlign w:val="subscript"/>
              </w:rPr>
              <w:t>2</w:t>
            </w:r>
            <w:r>
              <w:rPr>
                <w:rFonts w:ascii="Arial" w:cs="Arial" w:eastAsia="Arial" w:hAnsi="Arial"/>
                <w:sz w:val="10"/>
                <w:szCs w:val="10"/>
                <w:color w:val="auto"/>
              </w:rPr>
              <w:t>e in 2022. Emissions</w:t>
            </w:r>
          </w:p>
        </w:tc>
      </w:tr>
      <w:tr>
        <w:trPr>
          <w:trHeight w:val="127"/>
        </w:trPr>
        <w:tc>
          <w:tcPr>
            <w:tcW w:w="1500" w:type="dxa"/>
            <w:vAlign w:val="bottom"/>
            <w:tcBorders>
              <w:left w:val="single" w:sz="8" w:color="auto"/>
              <w:right w:val="single" w:sz="8" w:color="auto"/>
            </w:tcBorders>
          </w:tcPr>
          <w:p>
            <w:pPr>
              <w:spacing w:after="0"/>
              <w:rPr>
                <w:sz w:val="11"/>
                <w:szCs w:val="11"/>
                <w:color w:val="auto"/>
              </w:rPr>
            </w:pPr>
          </w:p>
        </w:tc>
        <w:tc>
          <w:tcPr>
            <w:tcW w:w="2500" w:type="dxa"/>
            <w:vAlign w:val="bottom"/>
            <w:tcBorders>
              <w:right w:val="single" w:sz="8" w:color="auto"/>
            </w:tcBorders>
            <w:gridSpan w:val="3"/>
          </w:tcPr>
          <w:p>
            <w:pPr>
              <w:ind w:left="60"/>
              <w:spacing w:after="0" w:line="128" w:lineRule="exact"/>
              <w:rPr>
                <w:sz w:val="20"/>
                <w:szCs w:val="20"/>
                <w:color w:val="auto"/>
              </w:rPr>
            </w:pPr>
            <w:r>
              <w:rPr>
                <w:rFonts w:ascii="Arial" w:cs="Arial" w:eastAsia="Arial" w:hAnsi="Arial"/>
                <w:sz w:val="12"/>
                <w:szCs w:val="12"/>
                <w:color w:val="auto"/>
              </w:rPr>
              <w:t>appropriate, Scope 3 GHG emissions and</w:t>
            </w:r>
          </w:p>
        </w:tc>
        <w:tc>
          <w:tcPr>
            <w:tcW w:w="4960" w:type="dxa"/>
            <w:vAlign w:val="bottom"/>
            <w:tcBorders>
              <w:right w:val="single" w:sz="8" w:color="auto"/>
            </w:tcBorders>
          </w:tcPr>
          <w:p>
            <w:pPr>
              <w:ind w:left="40"/>
              <w:spacing w:after="0" w:line="128" w:lineRule="exact"/>
              <w:rPr>
                <w:sz w:val="20"/>
                <w:szCs w:val="20"/>
                <w:color w:val="auto"/>
              </w:rPr>
            </w:pPr>
            <w:r>
              <w:rPr>
                <w:rFonts w:ascii="Arial" w:cs="Arial" w:eastAsia="Arial" w:hAnsi="Arial"/>
                <w:sz w:val="12"/>
                <w:szCs w:val="12"/>
                <w:color w:val="auto"/>
              </w:rPr>
              <w:t>reductions will contribute to the mitigation of the transition risk of carbon taxes, pricing and</w:t>
            </w:r>
          </w:p>
        </w:tc>
      </w:tr>
      <w:tr>
        <w:trPr>
          <w:trHeight w:val="174"/>
        </w:trPr>
        <w:tc>
          <w:tcPr>
            <w:tcW w:w="150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the related risks.</w:t>
            </w: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tariffs.</w:t>
            </w:r>
          </w:p>
        </w:tc>
      </w:tr>
      <w:tr>
        <w:trPr>
          <w:trHeight w:val="249"/>
        </w:trPr>
        <w:tc>
          <w:tcPr>
            <w:tcW w:w="1500" w:type="dxa"/>
            <w:vAlign w:val="bottom"/>
            <w:tcBorders>
              <w:left w:val="single" w:sz="8" w:color="auto"/>
              <w:right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 connection with our intent to commit to and set a climate target, Genmab started the</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process of measuring our Scope 3 emissions by estimating emissions from selected</w:t>
            </w:r>
          </w:p>
        </w:tc>
      </w:tr>
      <w:tr>
        <w:trPr>
          <w:trHeight w:val="136"/>
        </w:trPr>
        <w:tc>
          <w:tcPr>
            <w:tcW w:w="1500" w:type="dxa"/>
            <w:vAlign w:val="bottom"/>
            <w:tcBorders>
              <w:left w:val="single" w:sz="8" w:color="auto"/>
              <w:right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2"/>
                <w:szCs w:val="12"/>
                <w:color w:val="auto"/>
              </w:rPr>
              <w:t>material Scope 3 categories. This estimation will be foundational in establishing the</w:t>
            </w:r>
          </w:p>
        </w:tc>
      </w:tr>
      <w:tr>
        <w:trPr>
          <w:trHeight w:val="149"/>
        </w:trPr>
        <w:tc>
          <w:tcPr>
            <w:tcW w:w="1500" w:type="dxa"/>
            <w:vAlign w:val="bottom"/>
            <w:tcBorders>
              <w:left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baseline for our climate ambitions, targets and emissions reductions.</w:t>
            </w:r>
          </w:p>
        </w:tc>
      </w:tr>
      <w:tr>
        <w:trPr>
          <w:trHeight w:val="112"/>
        </w:trPr>
        <w:tc>
          <w:tcPr>
            <w:tcW w:w="1500" w:type="dxa"/>
            <w:vAlign w:val="bottom"/>
            <w:tcBorders>
              <w:left w:val="single" w:sz="8" w:color="auto"/>
              <w:right w:val="single" w:sz="8" w:color="auto"/>
            </w:tcBorders>
          </w:tcPr>
          <w:p>
            <w:pPr>
              <w:spacing w:after="0"/>
              <w:rPr>
                <w:sz w:val="9"/>
                <w:szCs w:val="9"/>
                <w:color w:val="auto"/>
              </w:rPr>
            </w:pPr>
          </w:p>
        </w:tc>
        <w:tc>
          <w:tcPr>
            <w:tcW w:w="250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2"/>
                <w:szCs w:val="12"/>
                <w:color w:val="auto"/>
              </w:rPr>
              <w:t>Describe the targets used by the</w:t>
            </w:r>
          </w:p>
        </w:tc>
        <w:tc>
          <w:tcPr>
            <w:tcW w:w="496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Genmab intends to commit to and set a climate target to reduce our GHG emissions in line</w:t>
            </w:r>
          </w:p>
        </w:tc>
      </w:tr>
      <w:tr>
        <w:trPr>
          <w:trHeight w:val="149"/>
        </w:trPr>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2"/>
                <w:szCs w:val="12"/>
                <w:color w:val="auto"/>
              </w:rPr>
              <w:t>organization to manage climate-related</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with the Paris Agreement goals.</w:t>
            </w:r>
          </w:p>
        </w:tc>
      </w:tr>
      <w:tr>
        <w:trPr>
          <w:trHeight w:val="637"/>
        </w:trPr>
        <w:tc>
          <w:tcPr>
            <w:tcW w:w="1500" w:type="dxa"/>
            <w:vAlign w:val="bottom"/>
          </w:tcPr>
          <w:p>
            <w:pPr>
              <w:spacing w:after="0"/>
              <w:rPr>
                <w:sz w:val="20"/>
                <w:szCs w:val="20"/>
                <w:color w:val="auto"/>
              </w:rPr>
            </w:pPr>
            <w:r>
              <w:rPr>
                <w:rFonts w:ascii="Arial" w:cs="Arial" w:eastAsia="Arial" w:hAnsi="Arial"/>
                <w:sz w:val="10"/>
                <w:szCs w:val="10"/>
                <w:color w:val="auto"/>
              </w:rPr>
              <w:t>Genmab A/S</w:t>
            </w:r>
          </w:p>
        </w:tc>
        <w:tc>
          <w:tcPr>
            <w:tcW w:w="2500" w:type="dxa"/>
            <w:vAlign w:val="bottom"/>
            <w:gridSpan w:val="3"/>
          </w:tcPr>
          <w:p>
            <w:pPr>
              <w:ind w:left="1640"/>
              <w:spacing w:after="0"/>
              <w:rPr>
                <w:sz w:val="20"/>
                <w:szCs w:val="20"/>
                <w:color w:val="auto"/>
              </w:rPr>
            </w:pPr>
            <w:r>
              <w:rPr>
                <w:rFonts w:ascii="Arial" w:cs="Arial" w:eastAsia="Arial" w:hAnsi="Arial"/>
                <w:sz w:val="10"/>
                <w:szCs w:val="10"/>
                <w:color w:val="auto"/>
                <w:w w:val="94"/>
              </w:rPr>
              <w:t>Tel: +45 7020 2728</w:t>
            </w:r>
          </w:p>
        </w:tc>
        <w:tc>
          <w:tcPr>
            <w:tcW w:w="49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15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960" w:type="dxa"/>
            <w:vAlign w:val="bottom"/>
          </w:tcPr>
          <w:p>
            <w:pPr>
              <w:jc w:val="right"/>
              <w:spacing w:after="0" w:line="109" w:lineRule="exact"/>
              <w:rPr>
                <w:sz w:val="20"/>
                <w:szCs w:val="20"/>
                <w:color w:val="auto"/>
              </w:rPr>
            </w:pPr>
            <w:r>
              <w:rPr>
                <w:rFonts w:ascii="Arial" w:cs="Arial" w:eastAsia="Arial" w:hAnsi="Arial"/>
                <w:sz w:val="10"/>
                <w:szCs w:val="10"/>
                <w:color w:val="auto"/>
              </w:rPr>
              <w:t>Page 43/158</w:t>
            </w:r>
          </w:p>
        </w:tc>
      </w:tr>
      <w:tr>
        <w:trPr>
          <w:trHeight w:val="105"/>
        </w:trPr>
        <w:tc>
          <w:tcPr>
            <w:tcW w:w="15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500" w:type="dxa"/>
            <w:vAlign w:val="bottom"/>
            <w:gridSpan w:val="3"/>
          </w:tcPr>
          <w:p>
            <w:pPr>
              <w:ind w:left="1640"/>
              <w:spacing w:after="0" w:line="105" w:lineRule="exact"/>
              <w:rPr>
                <w:sz w:val="20"/>
                <w:szCs w:val="20"/>
                <w:color w:val="auto"/>
              </w:rPr>
            </w:pPr>
            <w:r>
              <w:rPr>
                <w:rFonts w:ascii="Arial" w:cs="Arial" w:eastAsia="Arial" w:hAnsi="Arial"/>
                <w:sz w:val="10"/>
                <w:szCs w:val="10"/>
                <w:color w:val="0000FF"/>
                <w:w w:val="99"/>
              </w:rPr>
              <w:t>www.genmab.com</w:t>
            </w:r>
          </w:p>
        </w:tc>
        <w:tc>
          <w:tcPr>
            <w:tcW w:w="49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1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6" w:name="page47"/>
    <w:bookmarkEnd w:id="4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risks and opportunities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-84455</wp:posOffset>
            </wp:positionV>
            <wp:extent cx="5686425" cy="1841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86425" cy="1841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2"/>
          <w:szCs w:val="12"/>
          <w:color w:val="auto"/>
        </w:rPr>
        <w:t>against targets.</w:t>
      </w:r>
    </w:p>
    <w:p>
      <w:pPr>
        <w:spacing w:after="0" w:line="131" w:lineRule="exact"/>
        <w:rPr>
          <w:sz w:val="20"/>
          <w:szCs w:val="20"/>
          <w:color w:val="auto"/>
        </w:rPr>
      </w:pPr>
    </w:p>
    <w:p>
      <w:pPr>
        <w:ind w:left="20" w:right="79"/>
        <w:spacing w:after="0" w:line="242" w:lineRule="auto"/>
        <w:rPr>
          <w:sz w:val="20"/>
          <w:szCs w:val="20"/>
          <w:color w:val="auto"/>
        </w:rPr>
      </w:pPr>
      <w:r>
        <w:rPr>
          <w:rFonts w:ascii="Arial" w:cs="Arial" w:eastAsia="Arial" w:hAnsi="Arial"/>
          <w:sz w:val="12"/>
          <w:szCs w:val="12"/>
          <w:color w:val="auto"/>
        </w:rPr>
        <w:t>We calculated our Scope 1 and 2 emissions in accordance with the global standard for carbon accounting, the GHG Protocol, and these were reduced by 38% compared to 2021. In 2022 we initiated the process of estimating our Scope 3 footprint in accordance with the GHG Protocol. A thorough assessment of Genmab’s value chain emissions based on 2021 spend-data showed us that there is a need for higher quality data. This is due to our business model, where key carbon intensive process steps for the discovery and development of our antibody-based molecules are outsourced, and a majority of revenue is generated based on royalty streams from out-licensed products. The 2022 assessment had an unacceptable uncertainty level with regards to &gt;90% of our estimated emissions. We will continue to improve the quality of our data and we will strive to engage with our suppliers and partners in order to obtain a Scope 3 carbon footprint with an acceptable level of accuracy, acknowledging that carbon footprint mapping is inherently uncertain.</w:t>
      </w:r>
    </w:p>
    <w:p>
      <w:pPr>
        <w:spacing w:after="0" w:line="115"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4500" w:type="dxa"/>
            <w:vAlign w:val="bottom"/>
            <w:tcBorders>
              <w:top w:val="single" w:sz="8" w:color="auto"/>
              <w:left w:val="single" w:sz="8" w:color="auto"/>
              <w:bottom w:val="single" w:sz="8" w:color="auto"/>
              <w:right w:val="single" w:sz="8" w:color="auto"/>
            </w:tcBorders>
            <w:shd w:val="clear" w:color="auto" w:fill="B9FEFA"/>
          </w:tcPr>
          <w:p>
            <w:pPr>
              <w:ind w:left="1720"/>
              <w:spacing w:after="0"/>
              <w:rPr>
                <w:sz w:val="20"/>
                <w:szCs w:val="20"/>
                <w:color w:val="auto"/>
              </w:rPr>
            </w:pPr>
            <w:r>
              <w:rPr>
                <w:rFonts w:ascii="Arial" w:cs="Arial" w:eastAsia="Arial" w:hAnsi="Arial"/>
                <w:sz w:val="12"/>
                <w:szCs w:val="12"/>
                <w:b w:val="1"/>
                <w:bCs w:val="1"/>
                <w:color w:val="auto"/>
              </w:rPr>
              <w:t>Carbon Emissions</w:t>
            </w:r>
          </w:p>
        </w:tc>
        <w:tc>
          <w:tcPr>
            <w:tcW w:w="4460" w:type="dxa"/>
            <w:vAlign w:val="bottom"/>
            <w:tcBorders>
              <w:top w:val="single" w:sz="8" w:color="auto"/>
              <w:bottom w:val="single" w:sz="8" w:color="auto"/>
              <w:right w:val="single" w:sz="8" w:color="auto"/>
            </w:tcBorders>
            <w:shd w:val="clear" w:color="auto" w:fill="B9FEFA"/>
          </w:tcPr>
          <w:p>
            <w:pPr>
              <w:ind w:left="2080"/>
              <w:spacing w:after="0"/>
              <w:rPr>
                <w:sz w:val="20"/>
                <w:szCs w:val="20"/>
                <w:color w:val="auto"/>
              </w:rPr>
            </w:pPr>
            <w:r>
              <w:rPr>
                <w:rFonts w:ascii="Arial" w:cs="Arial" w:eastAsia="Arial" w:hAnsi="Arial"/>
                <w:sz w:val="12"/>
                <w:szCs w:val="12"/>
                <w:b w:val="1"/>
                <w:bCs w:val="1"/>
                <w:color w:val="auto"/>
              </w:rPr>
              <w:t>2022</w:t>
            </w:r>
          </w:p>
        </w:tc>
      </w:tr>
      <w:tr>
        <w:trPr>
          <w:trHeight w:val="143"/>
        </w:trPr>
        <w:tc>
          <w:tcPr>
            <w:tcW w:w="4500" w:type="dxa"/>
            <w:vAlign w:val="bottom"/>
            <w:tcBorders>
              <w:left w:val="single" w:sz="8" w:color="auto"/>
              <w:bottom w:val="single" w:sz="8" w:color="auto"/>
              <w:right w:val="single" w:sz="8" w:color="auto"/>
            </w:tcBorders>
          </w:tcPr>
          <w:p>
            <w:pPr>
              <w:ind w:left="80"/>
              <w:spacing w:after="0" w:line="143" w:lineRule="exact"/>
              <w:rPr>
                <w:sz w:val="20"/>
                <w:szCs w:val="20"/>
                <w:color w:val="auto"/>
              </w:rPr>
            </w:pPr>
            <w:r>
              <w:rPr>
                <w:rFonts w:ascii="Arial" w:cs="Arial" w:eastAsia="Arial" w:hAnsi="Arial"/>
                <w:sz w:val="11"/>
                <w:szCs w:val="11"/>
                <w:color w:val="auto"/>
              </w:rPr>
              <w:t>Total Scope 1 emissions (tCO</w:t>
            </w:r>
            <w:r>
              <w:rPr>
                <w:rFonts w:ascii="Arial" w:cs="Arial" w:eastAsia="Arial" w:hAnsi="Arial"/>
                <w:sz w:val="16"/>
                <w:szCs w:val="16"/>
                <w:color w:val="auto"/>
                <w:vertAlign w:val="subscript"/>
              </w:rPr>
              <w:t>2</w:t>
            </w:r>
            <w:r>
              <w:rPr>
                <w:rFonts w:ascii="Arial" w:cs="Arial" w:eastAsia="Arial" w:hAnsi="Arial"/>
                <w:sz w:val="11"/>
                <w:szCs w:val="11"/>
                <w:color w:val="auto"/>
              </w:rPr>
              <w:t>e)</w:t>
            </w:r>
          </w:p>
        </w:tc>
        <w:tc>
          <w:tcPr>
            <w:tcW w:w="4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283.1</w:t>
            </w:r>
          </w:p>
        </w:tc>
      </w:tr>
      <w:tr>
        <w:trPr>
          <w:trHeight w:val="143"/>
        </w:trPr>
        <w:tc>
          <w:tcPr>
            <w:tcW w:w="4500" w:type="dxa"/>
            <w:vAlign w:val="bottom"/>
            <w:tcBorders>
              <w:left w:val="single" w:sz="8" w:color="auto"/>
              <w:bottom w:val="single" w:sz="8" w:color="auto"/>
              <w:right w:val="single" w:sz="8" w:color="auto"/>
            </w:tcBorders>
          </w:tcPr>
          <w:p>
            <w:pPr>
              <w:ind w:left="80"/>
              <w:spacing w:after="0" w:line="143" w:lineRule="exact"/>
              <w:rPr>
                <w:sz w:val="20"/>
                <w:szCs w:val="20"/>
                <w:color w:val="auto"/>
              </w:rPr>
            </w:pPr>
            <w:r>
              <w:rPr>
                <w:rFonts w:ascii="Arial" w:cs="Arial" w:eastAsia="Arial" w:hAnsi="Arial"/>
                <w:sz w:val="11"/>
                <w:szCs w:val="11"/>
                <w:color w:val="auto"/>
              </w:rPr>
              <w:t>Total Scope 2 emissions (tCO</w:t>
            </w:r>
            <w:r>
              <w:rPr>
                <w:rFonts w:ascii="Arial" w:cs="Arial" w:eastAsia="Arial" w:hAnsi="Arial"/>
                <w:sz w:val="16"/>
                <w:szCs w:val="16"/>
                <w:color w:val="auto"/>
                <w:vertAlign w:val="subscript"/>
              </w:rPr>
              <w:t>2</w:t>
            </w:r>
            <w:r>
              <w:rPr>
                <w:rFonts w:ascii="Arial" w:cs="Arial" w:eastAsia="Arial" w:hAnsi="Arial"/>
                <w:sz w:val="11"/>
                <w:szCs w:val="11"/>
                <w:color w:val="auto"/>
              </w:rPr>
              <w:t>e)</w:t>
            </w:r>
          </w:p>
        </w:tc>
        <w:tc>
          <w:tcPr>
            <w:tcW w:w="4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110.7</w:t>
            </w:r>
          </w:p>
        </w:tc>
      </w:tr>
      <w:tr>
        <w:trPr>
          <w:trHeight w:val="143"/>
        </w:trPr>
        <w:tc>
          <w:tcPr>
            <w:tcW w:w="4500" w:type="dxa"/>
            <w:vAlign w:val="bottom"/>
            <w:tcBorders>
              <w:left w:val="single" w:sz="8" w:color="auto"/>
              <w:bottom w:val="single" w:sz="8" w:color="auto"/>
              <w:right w:val="single" w:sz="8" w:color="auto"/>
            </w:tcBorders>
          </w:tcPr>
          <w:p>
            <w:pPr>
              <w:ind w:left="80"/>
              <w:spacing w:after="0" w:line="143" w:lineRule="exact"/>
              <w:rPr>
                <w:sz w:val="20"/>
                <w:szCs w:val="20"/>
                <w:color w:val="auto"/>
              </w:rPr>
            </w:pPr>
            <w:r>
              <w:rPr>
                <w:rFonts w:ascii="Arial" w:cs="Arial" w:eastAsia="Arial" w:hAnsi="Arial"/>
                <w:sz w:val="11"/>
                <w:szCs w:val="11"/>
                <w:b w:val="1"/>
                <w:bCs w:val="1"/>
                <w:color w:val="auto"/>
              </w:rPr>
              <w:t>Total Scope 1 &amp; 2 emissions (tCO</w:t>
            </w:r>
            <w:r>
              <w:rPr>
                <w:rFonts w:ascii="Arial" w:cs="Arial" w:eastAsia="Arial" w:hAnsi="Arial"/>
                <w:sz w:val="16"/>
                <w:szCs w:val="16"/>
                <w:b w:val="1"/>
                <w:bCs w:val="1"/>
                <w:color w:val="auto"/>
                <w:vertAlign w:val="subscript"/>
              </w:rPr>
              <w:t>2</w:t>
            </w:r>
            <w:r>
              <w:rPr>
                <w:rFonts w:ascii="Arial" w:cs="Arial" w:eastAsia="Arial" w:hAnsi="Arial"/>
                <w:sz w:val="11"/>
                <w:szCs w:val="11"/>
                <w:b w:val="1"/>
                <w:bCs w:val="1"/>
                <w:color w:val="auto"/>
              </w:rPr>
              <w:t>e)</w:t>
            </w:r>
          </w:p>
        </w:tc>
        <w:tc>
          <w:tcPr>
            <w:tcW w:w="4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393.8</w:t>
            </w:r>
          </w:p>
        </w:tc>
      </w:tr>
      <w:tr>
        <w:trPr>
          <w:trHeight w:val="125"/>
        </w:trPr>
        <w:tc>
          <w:tcPr>
            <w:tcW w:w="4500" w:type="dxa"/>
            <w:vAlign w:val="bottom"/>
            <w:tcBorders>
              <w:left w:val="single" w:sz="8" w:color="auto"/>
              <w:bottom w:val="single" w:sz="8" w:color="auto"/>
              <w:right w:val="single" w:sz="8" w:color="auto"/>
            </w:tcBorders>
            <w:shd w:val="clear" w:color="auto" w:fill="B9FEFA"/>
          </w:tcPr>
          <w:p>
            <w:pPr>
              <w:ind w:left="1060"/>
              <w:spacing w:after="0" w:line="125" w:lineRule="exact"/>
              <w:rPr>
                <w:sz w:val="20"/>
                <w:szCs w:val="20"/>
                <w:color w:val="auto"/>
              </w:rPr>
            </w:pPr>
            <w:r>
              <w:rPr>
                <w:rFonts w:ascii="Arial" w:cs="Arial" w:eastAsia="Arial" w:hAnsi="Arial"/>
                <w:sz w:val="12"/>
                <w:szCs w:val="12"/>
                <w:b w:val="1"/>
                <w:bCs w:val="1"/>
                <w:color w:val="auto"/>
              </w:rPr>
              <w:t>Electricity Consumption and Renewables</w:t>
            </w:r>
          </w:p>
        </w:tc>
        <w:tc>
          <w:tcPr>
            <w:tcW w:w="4460" w:type="dxa"/>
            <w:vAlign w:val="bottom"/>
            <w:tcBorders>
              <w:bottom w:val="single" w:sz="8" w:color="auto"/>
              <w:right w:val="single" w:sz="8" w:color="auto"/>
            </w:tcBorders>
            <w:shd w:val="clear" w:color="auto" w:fill="B9FEFA"/>
          </w:tcPr>
          <w:p>
            <w:pPr>
              <w:ind w:left="2080"/>
              <w:spacing w:after="0" w:line="125" w:lineRule="exact"/>
              <w:rPr>
                <w:sz w:val="20"/>
                <w:szCs w:val="20"/>
                <w:color w:val="auto"/>
              </w:rPr>
            </w:pPr>
            <w:r>
              <w:rPr>
                <w:rFonts w:ascii="Arial" w:cs="Arial" w:eastAsia="Arial" w:hAnsi="Arial"/>
                <w:sz w:val="12"/>
                <w:szCs w:val="12"/>
                <w:b w:val="1"/>
                <w:bCs w:val="1"/>
                <w:color w:val="auto"/>
              </w:rPr>
              <w:t>2022</w:t>
            </w:r>
          </w:p>
        </w:tc>
      </w:tr>
      <w:tr>
        <w:trPr>
          <w:trHeight w:val="125"/>
        </w:trPr>
        <w:tc>
          <w:tcPr>
            <w:tcW w:w="4500" w:type="dxa"/>
            <w:vAlign w:val="bottom"/>
            <w:tcBorders>
              <w:left w:val="single" w:sz="8" w:color="auto"/>
              <w:bottom w:val="single" w:sz="8" w:color="auto"/>
              <w:right w:val="single" w:sz="8" w:color="auto"/>
            </w:tcBorders>
          </w:tcPr>
          <w:p>
            <w:pPr>
              <w:ind w:left="80"/>
              <w:spacing w:after="0" w:line="125" w:lineRule="exact"/>
              <w:rPr>
                <w:sz w:val="20"/>
                <w:szCs w:val="20"/>
                <w:color w:val="auto"/>
              </w:rPr>
            </w:pPr>
            <w:r>
              <w:rPr>
                <w:rFonts w:ascii="Arial" w:cs="Arial" w:eastAsia="Arial" w:hAnsi="Arial"/>
                <w:sz w:val="12"/>
                <w:szCs w:val="12"/>
                <w:color w:val="auto"/>
              </w:rPr>
              <w:t>Electricity consumption (MWh)</w:t>
            </w:r>
          </w:p>
        </w:tc>
        <w:tc>
          <w:tcPr>
            <w:tcW w:w="446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color w:val="auto"/>
              </w:rPr>
              <w:t>3,127</w:t>
            </w:r>
          </w:p>
        </w:tc>
      </w:tr>
      <w:tr>
        <w:trPr>
          <w:trHeight w:val="125"/>
        </w:trPr>
        <w:tc>
          <w:tcPr>
            <w:tcW w:w="4500" w:type="dxa"/>
            <w:vAlign w:val="bottom"/>
            <w:tcBorders>
              <w:left w:val="single" w:sz="8" w:color="auto"/>
              <w:bottom w:val="single" w:sz="8" w:color="auto"/>
              <w:right w:val="single" w:sz="8" w:color="auto"/>
            </w:tcBorders>
          </w:tcPr>
          <w:p>
            <w:pPr>
              <w:ind w:left="80"/>
              <w:spacing w:after="0" w:line="125" w:lineRule="exact"/>
              <w:rPr>
                <w:sz w:val="20"/>
                <w:szCs w:val="20"/>
                <w:color w:val="auto"/>
              </w:rPr>
            </w:pPr>
            <w:r>
              <w:rPr>
                <w:rFonts w:ascii="Arial" w:cs="Arial" w:eastAsia="Arial" w:hAnsi="Arial"/>
                <w:sz w:val="12"/>
                <w:szCs w:val="12"/>
                <w:color w:val="auto"/>
              </w:rPr>
              <w:t>Share renewables</w:t>
            </w:r>
          </w:p>
        </w:tc>
        <w:tc>
          <w:tcPr>
            <w:tcW w:w="4460" w:type="dxa"/>
            <w:vAlign w:val="bottom"/>
            <w:tcBorders>
              <w:bottom w:val="single" w:sz="8" w:color="auto"/>
              <w:right w:val="single" w:sz="8" w:color="auto"/>
            </w:tcBorders>
          </w:tcPr>
          <w:p>
            <w:pPr>
              <w:ind w:left="60"/>
              <w:spacing w:after="0" w:line="125" w:lineRule="exact"/>
              <w:rPr>
                <w:sz w:val="20"/>
                <w:szCs w:val="20"/>
                <w:color w:val="auto"/>
              </w:rPr>
            </w:pPr>
            <w:r>
              <w:rPr>
                <w:rFonts w:ascii="Arial" w:cs="Arial" w:eastAsia="Arial" w:hAnsi="Arial"/>
                <w:sz w:val="12"/>
                <w:szCs w:val="12"/>
                <w:color w:val="auto"/>
              </w:rPr>
              <w:t>94%</w:t>
            </w: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Stakeholder Engagement</w:t>
      </w:r>
    </w:p>
    <w:p>
      <w:pPr>
        <w:spacing w:after="0" w:line="151" w:lineRule="exact"/>
        <w:rPr>
          <w:sz w:val="20"/>
          <w:szCs w:val="20"/>
          <w:color w:val="auto"/>
        </w:rPr>
      </w:pPr>
    </w:p>
    <w:p>
      <w:pPr>
        <w:jc w:val="both"/>
        <w:ind w:left="20" w:right="99"/>
        <w:spacing w:after="0" w:line="255" w:lineRule="auto"/>
        <w:rPr>
          <w:sz w:val="20"/>
          <w:szCs w:val="20"/>
          <w:color w:val="auto"/>
        </w:rPr>
      </w:pPr>
      <w:r>
        <w:rPr>
          <w:rFonts w:ascii="Arial" w:cs="Arial" w:eastAsia="Arial" w:hAnsi="Arial"/>
          <w:sz w:val="12"/>
          <w:szCs w:val="12"/>
          <w:color w:val="auto"/>
        </w:rPr>
        <w:t>As an international company, Genmab has many stakeholders with an interest in how we conduct our business. Continuous engagement with these groups drives our success. We do this through direct interactions, participation in industry groups, employee engagement surveys, and more. Some of Genmab’s key stakeholder groups and the ways we interact with them are highlighted here.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Research Collaborators</w:t>
      </w:r>
    </w:p>
    <w:p>
      <w:pPr>
        <w:spacing w:after="0" w:line="10" w:lineRule="exact"/>
        <w:rPr>
          <w:sz w:val="20"/>
          <w:szCs w:val="20"/>
          <w:color w:val="auto"/>
        </w:rPr>
      </w:pPr>
    </w:p>
    <w:p>
      <w:pPr>
        <w:ind w:left="20" w:right="299"/>
        <w:spacing w:after="0" w:line="252" w:lineRule="auto"/>
        <w:rPr>
          <w:sz w:val="20"/>
          <w:szCs w:val="20"/>
          <w:color w:val="auto"/>
        </w:rPr>
      </w:pPr>
      <w:r>
        <w:rPr>
          <w:rFonts w:ascii="Arial" w:cs="Arial" w:eastAsia="Arial" w:hAnsi="Arial"/>
          <w:sz w:val="12"/>
          <w:szCs w:val="12"/>
          <w:color w:val="auto"/>
        </w:rPr>
        <w:t>Genmab collaborates with parties from large pharmaceutical companies to academic institutions. These are collaborations with complementary partners in terms of technologies, capabilities and knowledge.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Why are they important to us?</w:t>
      </w:r>
    </w:p>
    <w:p>
      <w:pPr>
        <w:spacing w:after="0" w:line="10" w:lineRule="exact"/>
        <w:rPr>
          <w:sz w:val="20"/>
          <w:szCs w:val="20"/>
          <w:color w:val="auto"/>
        </w:rPr>
      </w:pPr>
    </w:p>
    <w:p>
      <w:pPr>
        <w:ind w:left="20" w:right="79"/>
        <w:spacing w:after="0" w:line="252" w:lineRule="auto"/>
        <w:rPr>
          <w:sz w:val="20"/>
          <w:szCs w:val="20"/>
          <w:color w:val="auto"/>
        </w:rPr>
      </w:pPr>
      <w:r>
        <w:rPr>
          <w:rFonts w:ascii="Arial" w:cs="Arial" w:eastAsia="Arial" w:hAnsi="Arial"/>
          <w:sz w:val="12"/>
          <w:szCs w:val="12"/>
          <w:color w:val="auto"/>
        </w:rPr>
        <w:t>Collaborations across the innovation ecosystem of pharma, biotech and academia help us create innovative next-generation antibody therapeutics and potentially bring them to patients faster.</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How do we engage with them?</w:t>
      </w:r>
    </w:p>
    <w:p>
      <w:pPr>
        <w:spacing w:after="0" w:line="10" w:lineRule="exact"/>
        <w:rPr>
          <w:sz w:val="20"/>
          <w:szCs w:val="20"/>
          <w:color w:val="auto"/>
        </w:rPr>
      </w:pPr>
    </w:p>
    <w:p>
      <w:pPr>
        <w:ind w:left="20" w:right="79"/>
        <w:spacing w:after="0" w:line="252" w:lineRule="auto"/>
        <w:rPr>
          <w:sz w:val="20"/>
          <w:szCs w:val="20"/>
          <w:color w:val="auto"/>
        </w:rPr>
      </w:pPr>
      <w:r>
        <w:rPr>
          <w:rFonts w:ascii="Arial" w:cs="Arial" w:eastAsia="Arial" w:hAnsi="Arial"/>
          <w:sz w:val="12"/>
          <w:szCs w:val="12"/>
          <w:color w:val="auto"/>
        </w:rPr>
        <w:t>Our methods of engagement vary from co-development of programs, licensing of our technology platforms, involvement in clinical trials and indirectly, through our work with industry groups.</w:t>
      </w:r>
    </w:p>
    <w:p>
      <w:pPr>
        <w:spacing w:after="0" w:line="106"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Our list of research collaborations is extensive. We work with large pharmaceutical and biotechnology companies as well as other innovative companies and groups. Some examples of the latter include: Tempus, which has built one of the world’s largest libraries of clinical and molecular data; the European Network of Gynecological Oncological Trial Groups and Gynecologic Oncology Group, with which we collaborated on the</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tisotumab vedotin innovaTV 204 study; industry groups such as the Biotechnology Innovation Organization (BIO), Holland Bio, BioNJ and the Confederation of Danish Industry.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People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health, well-being, safety, and development of Genmab’s team members is a top priority for the organization.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Why are they important to us?</w:t>
      </w:r>
    </w:p>
    <w:p>
      <w:pPr>
        <w:spacing w:after="0" w:line="10" w:lineRule="exact"/>
        <w:rPr>
          <w:sz w:val="20"/>
          <w:szCs w:val="20"/>
          <w:color w:val="auto"/>
        </w:rPr>
      </w:pPr>
    </w:p>
    <w:p>
      <w:pPr>
        <w:ind w:left="20" w:right="259"/>
        <w:spacing w:after="0" w:line="252" w:lineRule="auto"/>
        <w:rPr>
          <w:sz w:val="20"/>
          <w:szCs w:val="20"/>
          <w:color w:val="auto"/>
        </w:rPr>
      </w:pPr>
      <w:r>
        <w:rPr>
          <w:rFonts w:ascii="Arial" w:cs="Arial" w:eastAsia="Arial" w:hAnsi="Arial"/>
          <w:sz w:val="12"/>
          <w:szCs w:val="12"/>
          <w:color w:val="auto"/>
        </w:rPr>
        <w:t>Our talented teams are the cornerstone of our success and fundamental to achieving our 2030 Vision. We believe that an engaged, inclusive and diverse workplace inspires our employees and is essential to our future.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How do we engage with them?</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aims to foster individual empowerment and development and allows people to transform their skills into real value for patients.</w:t>
      </w:r>
    </w:p>
    <w:p>
      <w:pPr>
        <w:spacing w:after="0" w:line="122"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In 2022, we conducted a global team member engagement survey, which consisted of both questionnaire and focus groups on five topics: Camaraderie &amp; Teamwork, Career Development, Empowerment &amp; Trust, Performance Management and Work-Life Balance. Genmab’s results outpaced Life Sciences industry benchmarks and highlighted key opportunities to drive even higher engagement in the future. The survey had an 88% global participation rate and an 84% employee engagement score.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Patient Advocacy Organizations</w:t>
      </w:r>
    </w:p>
    <w:p>
      <w:pPr>
        <w:spacing w:after="0" w:line="10" w:lineRule="exact"/>
        <w:rPr>
          <w:sz w:val="20"/>
          <w:szCs w:val="20"/>
          <w:color w:val="auto"/>
        </w:rPr>
      </w:pPr>
    </w:p>
    <w:p>
      <w:pPr>
        <w:ind w:left="20" w:right="259"/>
        <w:spacing w:after="0" w:line="252" w:lineRule="auto"/>
        <w:rPr>
          <w:sz w:val="20"/>
          <w:szCs w:val="20"/>
          <w:color w:val="auto"/>
        </w:rPr>
      </w:pPr>
      <w:r>
        <w:rPr>
          <w:rFonts w:ascii="Arial" w:cs="Arial" w:eastAsia="Arial" w:hAnsi="Arial"/>
          <w:sz w:val="12"/>
          <w:szCs w:val="12"/>
          <w:color w:val="auto"/>
        </w:rPr>
        <w:t>With our first medicine on the market, we have an obligation to engage with patient advocates to ensure we are providing as much support as possible to patients in need.</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Why are they important to us?</w:t>
      </w:r>
    </w:p>
    <w:p>
      <w:pPr>
        <w:spacing w:after="0" w:line="10" w:lineRule="exact"/>
        <w:rPr>
          <w:sz w:val="20"/>
          <w:szCs w:val="20"/>
          <w:color w:val="auto"/>
        </w:rPr>
      </w:pPr>
    </w:p>
    <w:p>
      <w:pPr>
        <w:ind w:left="20" w:right="79"/>
        <w:spacing w:after="0" w:line="252" w:lineRule="auto"/>
        <w:rPr>
          <w:sz w:val="20"/>
          <w:szCs w:val="20"/>
          <w:color w:val="auto"/>
        </w:rPr>
      </w:pPr>
      <w:r>
        <w:rPr>
          <w:rFonts w:ascii="Arial" w:cs="Arial" w:eastAsia="Arial" w:hAnsi="Arial"/>
          <w:sz w:val="12"/>
          <w:szCs w:val="12"/>
          <w:color w:val="auto"/>
        </w:rPr>
        <w:t>Transforming the lives of patients is our purpose. Supporting and collaborating with patient advocacy organizations is an important way in which Genmab can positively impact the lives of patients.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How do we engage with them?</w:t>
      </w:r>
    </w:p>
    <w:p>
      <w:pPr>
        <w:spacing w:after="0" w:line="10" w:lineRule="exact"/>
        <w:rPr>
          <w:sz w:val="20"/>
          <w:szCs w:val="20"/>
          <w:color w:val="auto"/>
        </w:rPr>
      </w:pPr>
    </w:p>
    <w:p>
      <w:pPr>
        <w:ind w:left="20" w:right="279"/>
        <w:spacing w:after="0" w:line="252" w:lineRule="auto"/>
        <w:rPr>
          <w:sz w:val="20"/>
          <w:szCs w:val="20"/>
          <w:color w:val="auto"/>
        </w:rPr>
      </w:pPr>
      <w:r>
        <w:rPr>
          <w:rFonts w:ascii="Arial" w:cs="Arial" w:eastAsia="Arial" w:hAnsi="Arial"/>
          <w:sz w:val="12"/>
          <w:szCs w:val="12"/>
          <w:color w:val="auto"/>
        </w:rPr>
        <w:t>Over the course of the past few years, we have actively sought out patient advocacy groups, both to provide our financial support for their efforts and programs and also to collaborate and bring them to our locations for educational events with the Genmab team.</w:t>
      </w:r>
    </w:p>
    <w:p>
      <w:pPr>
        <w:spacing w:after="0" w:line="106"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In 2022 we, along with our partner Seagen, launched CeMe, a disease awareness campaign that leverages real-life storytelling to spotlight the barriers to treatment and challenges associated with cervical cancer. The campaign features diverse members of the cervical cancer community, including patients and patient advocates, in content on the CeMe YouTube channel. Social media posts encourage visits to the YouTube channel to watch the videos and seek additional information from various patient advocacy groups.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Communities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team members actively engage in the communities in which we operate.</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Why are they important to us?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part of Genmab’s ongoing commitment to CSR we aim to be good citizens not only of the world but of the local communities in which our facilities are located.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How do we engage with them?</w:t>
      </w:r>
    </w:p>
    <w:p>
      <w:pPr>
        <w:spacing w:after="0" w:line="10" w:lineRule="exact"/>
        <w:rPr>
          <w:sz w:val="20"/>
          <w:szCs w:val="20"/>
          <w:color w:val="auto"/>
        </w:rPr>
      </w:pPr>
    </w:p>
    <w:p>
      <w:pPr>
        <w:ind w:left="20" w:right="119"/>
        <w:spacing w:after="0" w:line="241" w:lineRule="auto"/>
        <w:rPr>
          <w:sz w:val="20"/>
          <w:szCs w:val="20"/>
          <w:color w:val="auto"/>
        </w:rPr>
      </w:pPr>
      <w:r>
        <w:rPr>
          <w:rFonts w:ascii="Arial" w:cs="Arial" w:eastAsia="Arial" w:hAnsi="Arial"/>
          <w:sz w:val="12"/>
          <w:szCs w:val="12"/>
          <w:color w:val="auto"/>
        </w:rPr>
        <w:t>Throughout 2022, Genmab supported community-based activities; for example, on September 13, 2022, nearly 500 Genmab colleagues participated in the first annual Global Volunteer Day. Colleagues from Denmark, the Netherlands and the U.S. helped more than 30 nonprofit organizations in their communities. Activities included: removing invasive plants from a nature preserve, building toys for children with serious illnesses, making comfort kits for cancer patients, and assembling food kits to combat hunger in our local communities.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Colleagues can also use the Community@Genmab Portal to learn about Genmab’s impact, share volunteer stories, and access the Global Employee Giving Program.</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Shareholders and Investors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has a diverse shareholder base with investors from across a spectrum of size and location.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Why are they important to us?</w:t>
      </w:r>
    </w:p>
    <w:p>
      <w:pPr>
        <w:spacing w:after="0" w:line="10" w:lineRule="exact"/>
        <w:rPr>
          <w:sz w:val="20"/>
          <w:szCs w:val="20"/>
          <w:color w:val="auto"/>
        </w:rPr>
      </w:pPr>
    </w:p>
    <w:p>
      <w:pPr>
        <w:ind w:left="20" w:right="1279"/>
        <w:spacing w:after="0" w:line="354" w:lineRule="auto"/>
        <w:rPr>
          <w:sz w:val="20"/>
          <w:szCs w:val="20"/>
          <w:color w:val="auto"/>
        </w:rPr>
      </w:pPr>
      <w:r>
        <w:rPr>
          <w:rFonts w:ascii="Arial" w:cs="Arial" w:eastAsia="Arial" w:hAnsi="Arial"/>
          <w:sz w:val="12"/>
          <w:szCs w:val="12"/>
          <w:color w:val="auto"/>
        </w:rPr>
        <w:t>The support of Genmab’s investors is essential to the success of the Company as we grow into a fully integrated biotech innovation powerhouse. How do we engage with them?</w:t>
      </w:r>
    </w:p>
    <w:p>
      <w:pPr>
        <w:spacing w:after="0" w:line="1" w:lineRule="exact"/>
        <w:rPr>
          <w:sz w:val="20"/>
          <w:szCs w:val="20"/>
          <w:color w:val="auto"/>
        </w:rPr>
      </w:pPr>
    </w:p>
    <w:p>
      <w:pPr>
        <w:ind w:left="20" w:right="59"/>
        <w:spacing w:after="0" w:line="252" w:lineRule="auto"/>
        <w:rPr>
          <w:sz w:val="20"/>
          <w:szCs w:val="20"/>
          <w:color w:val="auto"/>
        </w:rPr>
      </w:pPr>
      <w:r>
        <w:rPr>
          <w:rFonts w:ascii="Arial" w:cs="Arial" w:eastAsia="Arial" w:hAnsi="Arial"/>
          <w:sz w:val="12"/>
          <w:szCs w:val="12"/>
          <w:color w:val="auto"/>
        </w:rPr>
        <w:t>We communicate about our business, financial results, development programs and scientific results in an open and transparent way through company announcements, investor meetings and company presentations.</w:t>
      </w:r>
    </w:p>
    <w:p>
      <w:pPr>
        <w:spacing w:after="0" w:line="115" w:lineRule="exact"/>
        <w:rPr>
          <w:sz w:val="20"/>
          <w:szCs w:val="20"/>
          <w:color w:val="auto"/>
        </w:rPr>
      </w:pPr>
    </w:p>
    <w:p>
      <w:pPr>
        <w:jc w:val="both"/>
        <w:ind w:left="20" w:right="39"/>
        <w:spacing w:after="0" w:line="255" w:lineRule="auto"/>
        <w:rPr>
          <w:sz w:val="20"/>
          <w:szCs w:val="20"/>
          <w:color w:val="auto"/>
        </w:rPr>
      </w:pPr>
      <w:r>
        <w:rPr>
          <w:rFonts w:ascii="Arial" w:cs="Arial" w:eastAsia="Arial" w:hAnsi="Arial"/>
          <w:sz w:val="12"/>
          <w:szCs w:val="12"/>
          <w:color w:val="auto"/>
        </w:rPr>
        <w:t>Illustrating this transparency, we maintain a dialogue with our shareholders, investors and other stakeholders, and the Board of Directors participates in ad hoc investor meetings, e.g., as part of regular corporate governance outreach campaigns to our shareholders, as well as their representatives and proxy advisors, to gain insight into the perspective of our shareholders.</w:t>
      </w:r>
    </w:p>
    <w:p>
      <w:pPr>
        <w:spacing w:after="0" w:line="104" w:lineRule="exact"/>
        <w:rPr>
          <w:sz w:val="20"/>
          <w:szCs w:val="20"/>
          <w:color w:val="auto"/>
        </w:rPr>
      </w:pPr>
    </w:p>
    <w:p>
      <w:pPr>
        <w:ind w:left="20" w:right="1399"/>
        <w:spacing w:after="0" w:line="273" w:lineRule="auto"/>
        <w:rPr>
          <w:sz w:val="20"/>
          <w:szCs w:val="20"/>
          <w:color w:val="auto"/>
        </w:rPr>
      </w:pPr>
      <w:r>
        <w:rPr>
          <w:rFonts w:ascii="Arial" w:cs="Arial" w:eastAsia="Arial" w:hAnsi="Arial"/>
          <w:sz w:val="12"/>
          <w:szCs w:val="12"/>
          <w:color w:val="auto"/>
        </w:rPr>
        <w:t>More information on Genmab’s stakeholder engagement may be found in our 2022 Corporate Responsibility Report on the company’s website (</w:t>
      </w:r>
      <w:r>
        <w:rPr>
          <w:rFonts w:ascii="Arial" w:cs="Arial" w:eastAsia="Arial" w:hAnsi="Arial"/>
          <w:sz w:val="12"/>
          <w:szCs w:val="12"/>
          <w:color w:val="029C93"/>
        </w:rPr>
        <w:t>https://ir.genmab.com/static-files/72218610-90a6-4fd3-a76a-d4a7c9c6ef01</w:t>
      </w:r>
      <w:r>
        <w:rPr>
          <w:rFonts w:ascii="Arial" w:cs="Arial" w:eastAsia="Arial" w:hAnsi="Arial"/>
          <w:sz w:val="12"/>
          <w:szCs w:val="12"/>
          <w:color w:val="auto"/>
        </w:rPr>
        <w: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Human Capital Management</w:t>
      </w:r>
    </w:p>
    <w:p>
      <w:pPr>
        <w:spacing w:after="0" w:line="151"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Employees are Genmab’s most important resource, and we strive to attract and retain the most qualified people to fulfill our core purpose. Genmab’s goal is to develop and retain value in our own products which could one day transform cancer treatment. At Genmab, we have four culture pillars that inspire team members in their everyday work.</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Genmab’s Culture Pillars</w:t>
      </w:r>
    </w:p>
    <w:p>
      <w:pPr>
        <w:spacing w:after="0" w:line="20" w:lineRule="exact"/>
        <w:rPr>
          <w:sz w:val="20"/>
          <w:szCs w:val="20"/>
          <w:color w:val="auto"/>
        </w:rPr>
      </w:pPr>
    </w:p>
    <w:tbl>
      <w:tblPr>
        <w:tblLayout w:type="fixed"/>
        <w:tblInd w:w="30" w:type="dxa"/>
        <w:tblCellMar>
          <w:top w:w="0" w:type="dxa"/>
          <w:left w:w="0" w:type="dxa"/>
          <w:bottom w:w="0" w:type="dxa"/>
          <w:right w:w="0" w:type="dxa"/>
        </w:tblCellMar>
      </w:tblPr>
      <w:tr>
        <w:trPr>
          <w:trHeight w:val="159"/>
        </w:trPr>
        <w:tc>
          <w:tcPr>
            <w:tcW w:w="22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Patients Come First</w:t>
            </w:r>
          </w:p>
        </w:tc>
        <w:tc>
          <w:tcPr>
            <w:tcW w:w="22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Rooted in Science</w:t>
            </w:r>
          </w:p>
        </w:tc>
        <w:tc>
          <w:tcPr>
            <w:tcW w:w="22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Act with Courage</w:t>
            </w:r>
          </w:p>
        </w:tc>
        <w:tc>
          <w:tcPr>
            <w:tcW w:w="2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We are ‘One Genmab’</w:t>
            </w:r>
          </w:p>
        </w:tc>
      </w:tr>
      <w:tr>
        <w:trPr>
          <w:trHeight w:val="111"/>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112"/>
        </w:trPr>
        <w:tc>
          <w:tcPr>
            <w:tcW w:w="226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We are committed to making a positive</w:t>
            </w:r>
          </w:p>
        </w:tc>
        <w:tc>
          <w:tcPr>
            <w:tcW w:w="224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We hypothesize and experiment to</w:t>
            </w:r>
          </w:p>
        </w:tc>
        <w:tc>
          <w:tcPr>
            <w:tcW w:w="224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We speak up, empower each other,</w:t>
            </w:r>
          </w:p>
        </w:tc>
        <w:tc>
          <w:tcPr>
            <w:tcW w:w="222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We respect and celebrate our</w:t>
            </w:r>
          </w:p>
        </w:tc>
      </w:tr>
      <w:tr>
        <w:trPr>
          <w:trHeight w:val="136"/>
        </w:trPr>
        <w:tc>
          <w:tcPr>
            <w:tcW w:w="226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impact for patients</w:t>
            </w:r>
          </w:p>
        </w:tc>
        <w:tc>
          <w:tcPr>
            <w:tcW w:w="224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seek innovative solutions, no matter</w:t>
            </w:r>
          </w:p>
        </w:tc>
        <w:tc>
          <w:tcPr>
            <w:tcW w:w="224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and embrace change and grow</w:t>
            </w:r>
          </w:p>
        </w:tc>
        <w:tc>
          <w:tcPr>
            <w:tcW w:w="222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2"/>
                <w:szCs w:val="12"/>
                <w:color w:val="auto"/>
              </w:rPr>
              <w:t>differences while working as One</w:t>
            </w:r>
          </w:p>
        </w:tc>
      </w:tr>
      <w:tr>
        <w:trPr>
          <w:trHeight w:val="159"/>
        </w:trPr>
        <w:tc>
          <w:tcPr>
            <w:tcW w:w="22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our role</w:t>
            </w:r>
          </w:p>
        </w:tc>
        <w:tc>
          <w:tcPr>
            <w:tcW w:w="22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Team</w:t>
            </w:r>
          </w:p>
        </w:tc>
      </w:tr>
      <w:tr>
        <w:trPr>
          <w:trHeight w:val="134"/>
        </w:trPr>
        <w:tc>
          <w:tcPr>
            <w:tcW w:w="2260" w:type="dxa"/>
            <w:vAlign w:val="bottom"/>
            <w:tcBorders>
              <w:left w:val="single" w:sz="8" w:color="auto"/>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49" w:name="page50"/>
    <w:bookmarkEnd w:id="4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39"/>
        <w:spacing w:after="0" w:line="248" w:lineRule="auto"/>
        <w:rPr>
          <w:sz w:val="20"/>
          <w:szCs w:val="20"/>
          <w:color w:val="auto"/>
        </w:rPr>
      </w:pPr>
      <w:r>
        <w:rPr>
          <w:rFonts w:ascii="Arial" w:cs="Arial" w:eastAsia="Arial" w:hAnsi="Arial"/>
          <w:sz w:val="12"/>
          <w:szCs w:val="12"/>
          <w:color w:val="auto"/>
        </w:rPr>
        <w:t>Teamwork and respect are central pillars of Genmab’s culture, and we therefore ensure an inclusive, open and supportive professional work environment across our international locations. We believe that fostering workplace diversity across social, educational, cultural, national, age and gender lines is a prerequisite for the continued success of the company. We are committed to diversity at all levels of the company and strive to recruit employees with the right skills and competencies, regardless of gender, age, ethnicity and other differences.</w:t>
      </w:r>
    </w:p>
    <w:p>
      <w:pPr>
        <w:spacing w:after="0" w:line="119"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Skill, knowledge, experience and employee motivation are essential to Genmab as a biotech company. The ability to organize our highly skilled and very experienced colleagues at all levels of the organization into interactive teams is a key factor in achieving our goals and ensuring Genmab’s success.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KEY EMPLOYEE INFORMATION</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40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Male/Female Ratios</w:t>
            </w:r>
          </w:p>
        </w:tc>
        <w:tc>
          <w:tcPr>
            <w:tcW w:w="8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top w:val="single" w:sz="8" w:color="auto"/>
              <w:bottom w:val="single" w:sz="8" w:color="auto"/>
              <w:right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2021</w:t>
            </w:r>
          </w:p>
        </w:tc>
        <w:tc>
          <w:tcPr>
            <w:tcW w:w="980" w:type="dxa"/>
            <w:vAlign w:val="bottom"/>
            <w:tcBorders>
              <w:top w:val="single" w:sz="8" w:color="auto"/>
              <w:bottom w:val="single" w:sz="8" w:color="auto"/>
              <w:right w:val="single" w:sz="8" w:color="auto"/>
            </w:tcBorders>
          </w:tcPr>
          <w:p>
            <w:pPr>
              <w:spacing w:after="0"/>
              <w:rPr>
                <w:sz w:val="12"/>
                <w:szCs w:val="12"/>
                <w:color w:val="auto"/>
              </w:rPr>
            </w:pPr>
          </w:p>
        </w:tc>
      </w:tr>
      <w:tr>
        <w:trPr>
          <w:trHeight w:val="125"/>
        </w:trPr>
        <w:tc>
          <w:tcPr>
            <w:tcW w:w="4020" w:type="dxa"/>
            <w:vAlign w:val="bottom"/>
            <w:tcBorders>
              <w:left w:val="single" w:sz="8" w:color="auto"/>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ind w:left="460"/>
              <w:spacing w:after="0" w:line="125" w:lineRule="exact"/>
              <w:rPr>
                <w:sz w:val="20"/>
                <w:szCs w:val="20"/>
                <w:color w:val="auto"/>
              </w:rPr>
            </w:pPr>
            <w:r>
              <w:rPr>
                <w:rFonts w:ascii="Arial" w:cs="Arial" w:eastAsia="Arial" w:hAnsi="Arial"/>
                <w:sz w:val="12"/>
                <w:szCs w:val="12"/>
                <w:b w:val="1"/>
                <w:bCs w:val="1"/>
                <w:color w:val="auto"/>
              </w:rPr>
              <w:t>Male</w:t>
            </w:r>
          </w:p>
        </w:tc>
        <w:tc>
          <w:tcPr>
            <w:tcW w:w="4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jc w:val="right"/>
              <w:ind w:right="20"/>
              <w:spacing w:after="0" w:line="125" w:lineRule="exact"/>
              <w:rPr>
                <w:sz w:val="20"/>
                <w:szCs w:val="20"/>
                <w:color w:val="auto"/>
              </w:rPr>
            </w:pPr>
            <w:r>
              <w:rPr>
                <w:rFonts w:ascii="Arial" w:cs="Arial" w:eastAsia="Arial" w:hAnsi="Arial"/>
                <w:sz w:val="12"/>
                <w:szCs w:val="12"/>
                <w:b w:val="1"/>
                <w:bCs w:val="1"/>
                <w:color w:val="auto"/>
              </w:rPr>
              <w:t>Female</w:t>
            </w:r>
          </w:p>
        </w:tc>
        <w:tc>
          <w:tcPr>
            <w:tcW w:w="3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jc w:val="right"/>
              <w:ind w:right="440"/>
              <w:spacing w:after="0" w:line="125" w:lineRule="exact"/>
              <w:rPr>
                <w:sz w:val="20"/>
                <w:szCs w:val="20"/>
                <w:color w:val="auto"/>
              </w:rPr>
            </w:pPr>
            <w:r>
              <w:rPr>
                <w:rFonts w:ascii="Arial" w:cs="Arial" w:eastAsia="Arial" w:hAnsi="Arial"/>
                <w:sz w:val="12"/>
                <w:szCs w:val="12"/>
                <w:b w:val="1"/>
                <w:bCs w:val="1"/>
                <w:color w:val="auto"/>
              </w:rPr>
              <w:t>Male</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380"/>
              <w:spacing w:after="0" w:line="125" w:lineRule="exact"/>
              <w:rPr>
                <w:sz w:val="20"/>
                <w:szCs w:val="20"/>
                <w:color w:val="auto"/>
              </w:rPr>
            </w:pPr>
            <w:r>
              <w:rPr>
                <w:rFonts w:ascii="Arial" w:cs="Arial" w:eastAsia="Arial" w:hAnsi="Arial"/>
                <w:sz w:val="12"/>
                <w:szCs w:val="12"/>
                <w:b w:val="1"/>
                <w:bCs w:val="1"/>
                <w:color w:val="auto"/>
              </w:rPr>
              <w:t>Female</w:t>
            </w:r>
          </w:p>
        </w:tc>
      </w:tr>
      <w:tr>
        <w:trPr>
          <w:trHeight w:val="125"/>
        </w:trPr>
        <w:tc>
          <w:tcPr>
            <w:tcW w:w="40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Genmab Group</w:t>
            </w: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42%</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58%</w:t>
            </w:r>
          </w:p>
        </w:tc>
        <w:tc>
          <w:tcPr>
            <w:tcW w:w="124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42%</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58%</w:t>
            </w:r>
          </w:p>
        </w:tc>
      </w:tr>
      <w:tr>
        <w:trPr>
          <w:trHeight w:val="125"/>
        </w:trPr>
        <w:tc>
          <w:tcPr>
            <w:tcW w:w="40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Director level and above</w:t>
            </w: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49%</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51%</w:t>
            </w:r>
          </w:p>
        </w:tc>
        <w:tc>
          <w:tcPr>
            <w:tcW w:w="124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49%</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51%</w:t>
            </w:r>
          </w:p>
        </w:tc>
      </w:tr>
      <w:tr>
        <w:trPr>
          <w:trHeight w:val="125"/>
        </w:trPr>
        <w:tc>
          <w:tcPr>
            <w:tcW w:w="40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Below director level</w:t>
            </w: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37%</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63%</w:t>
            </w:r>
          </w:p>
        </w:tc>
        <w:tc>
          <w:tcPr>
            <w:tcW w:w="124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38%</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62%</w:t>
            </w:r>
          </w:p>
        </w:tc>
      </w:tr>
      <w:tr>
        <w:trPr>
          <w:trHeight w:val="125"/>
        </w:trPr>
        <w:tc>
          <w:tcPr>
            <w:tcW w:w="40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0"/>
                <w:szCs w:val="10"/>
                <w:color w:val="auto"/>
              </w:rPr>
              <w:t>Annual promotions</w:t>
            </w:r>
            <w:r>
              <w:rPr>
                <w:rFonts w:ascii="Arial" w:cs="Arial" w:eastAsia="Arial" w:hAnsi="Arial"/>
                <w:sz w:val="14"/>
                <w:szCs w:val="14"/>
                <w:color w:val="auto"/>
                <w:vertAlign w:val="superscript"/>
              </w:rPr>
              <w:t>1</w:t>
            </w: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40%</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60%</w:t>
            </w:r>
          </w:p>
        </w:tc>
        <w:tc>
          <w:tcPr>
            <w:tcW w:w="124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39%</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61%</w:t>
            </w:r>
          </w:p>
        </w:tc>
      </w:tr>
    </w:tbl>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554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Other Employee Information</w:t>
            </w:r>
          </w:p>
        </w:tc>
        <w:tc>
          <w:tcPr>
            <w:tcW w:w="1720" w:type="dxa"/>
            <w:vAlign w:val="bottom"/>
            <w:tcBorders>
              <w:top w:val="single" w:sz="8" w:color="auto"/>
              <w:bottom w:val="single" w:sz="8" w:color="auto"/>
              <w:right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2022</w:t>
            </w:r>
          </w:p>
        </w:tc>
        <w:tc>
          <w:tcPr>
            <w:tcW w:w="1720" w:type="dxa"/>
            <w:vAlign w:val="bottom"/>
            <w:tcBorders>
              <w:top w:val="single" w:sz="8" w:color="auto"/>
              <w:bottom w:val="single" w:sz="8" w:color="auto"/>
              <w:right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2021</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FTE at the end of the year</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1,660</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1,212</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Research and development FTE</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1,193</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927</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Selling, general and administrative FTE</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467</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285</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FTE in Denmark at the end of the year</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385</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312</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FTE in the Netherlands at the end of the year</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575</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437</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FTE in the US at the end of the year</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642</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420</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color w:val="auto"/>
              </w:rPr>
              <w:t>FTE in Japan at the end of the year</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58</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43</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0"/>
                <w:szCs w:val="10"/>
                <w:color w:val="auto"/>
              </w:rPr>
              <w:t>Employee turnover</w:t>
            </w:r>
            <w:r>
              <w:rPr>
                <w:rFonts w:ascii="Arial" w:cs="Arial" w:eastAsia="Arial" w:hAnsi="Arial"/>
                <w:sz w:val="14"/>
                <w:szCs w:val="14"/>
                <w:color w:val="auto"/>
                <w:vertAlign w:val="superscript"/>
              </w:rPr>
              <w:t>2</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7%</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6%</w:t>
            </w:r>
          </w:p>
        </w:tc>
      </w:tr>
      <w:tr>
        <w:trPr>
          <w:trHeight w:val="125"/>
        </w:trPr>
        <w:tc>
          <w:tcPr>
            <w:tcW w:w="55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0"/>
                <w:szCs w:val="10"/>
                <w:color w:val="auto"/>
              </w:rPr>
              <w:t>Employee absence</w:t>
            </w:r>
            <w:r>
              <w:rPr>
                <w:rFonts w:ascii="Arial" w:cs="Arial" w:eastAsia="Arial" w:hAnsi="Arial"/>
                <w:sz w:val="14"/>
                <w:szCs w:val="14"/>
                <w:color w:val="auto"/>
                <w:vertAlign w:val="superscript"/>
              </w:rPr>
              <w:t>3</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2%</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2%</w:t>
            </w:r>
          </w:p>
        </w:tc>
      </w:tr>
      <w:tr>
        <w:trPr>
          <w:trHeight w:val="62"/>
        </w:trPr>
        <w:tc>
          <w:tcPr>
            <w:tcW w:w="2240" w:type="dxa"/>
            <w:vAlign w:val="bottom"/>
            <w:tcBorders>
              <w:bottom w:val="single" w:sz="8" w:color="auto"/>
            </w:tcBorders>
          </w:tcPr>
          <w:p>
            <w:pPr>
              <w:spacing w:after="0"/>
              <w:rPr>
                <w:sz w:val="5"/>
                <w:szCs w:val="5"/>
                <w:color w:val="auto"/>
              </w:rPr>
            </w:pPr>
          </w:p>
        </w:tc>
        <w:tc>
          <w:tcPr>
            <w:tcW w:w="3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20" w:type="dxa"/>
            <w:vAlign w:val="bottom"/>
          </w:tcPr>
          <w:p>
            <w:pPr>
              <w:spacing w:after="0"/>
              <w:rPr>
                <w:sz w:val="5"/>
                <w:szCs w:val="5"/>
                <w:color w:val="auto"/>
              </w:rPr>
            </w:pPr>
          </w:p>
        </w:tc>
      </w:tr>
    </w:tbl>
    <w:p>
      <w:pPr>
        <w:ind w:left="80" w:hanging="58"/>
        <w:spacing w:after="0" w:line="223" w:lineRule="auto"/>
        <w:tabs>
          <w:tab w:leader="none" w:pos="80" w:val="left"/>
        </w:tabs>
        <w:numPr>
          <w:ilvl w:val="0"/>
          <w:numId w:val="63"/>
        </w:numPr>
        <w:rPr>
          <w:rFonts w:ascii="Arial" w:cs="Arial" w:eastAsia="Arial" w:hAnsi="Arial"/>
          <w:sz w:val="15"/>
          <w:szCs w:val="15"/>
          <w:color w:val="auto"/>
          <w:vertAlign w:val="superscript"/>
        </w:rPr>
      </w:pPr>
      <w:r>
        <w:rPr>
          <w:rFonts w:ascii="Arial" w:cs="Arial" w:eastAsia="Arial" w:hAnsi="Arial"/>
          <w:sz w:val="10"/>
          <w:szCs w:val="10"/>
          <w:color w:val="auto"/>
        </w:rPr>
        <w:t>Annual promotions are calculated as FTE promotions occurring during the respective years.</w:t>
      </w:r>
    </w:p>
    <w:p>
      <w:pPr>
        <w:ind w:left="80" w:hanging="58"/>
        <w:spacing w:after="0" w:line="190" w:lineRule="auto"/>
        <w:tabs>
          <w:tab w:leader="none" w:pos="80" w:val="left"/>
        </w:tabs>
        <w:numPr>
          <w:ilvl w:val="0"/>
          <w:numId w:val="64"/>
        </w:numPr>
        <w:rPr>
          <w:rFonts w:ascii="Arial" w:cs="Arial" w:eastAsia="Arial" w:hAnsi="Arial"/>
          <w:sz w:val="12"/>
          <w:szCs w:val="12"/>
          <w:color w:val="auto"/>
          <w:vertAlign w:val="superscript"/>
        </w:rPr>
      </w:pPr>
      <w:r>
        <w:rPr>
          <w:rFonts w:ascii="Arial" w:cs="Arial" w:eastAsia="Arial" w:hAnsi="Arial"/>
          <w:sz w:val="8"/>
          <w:szCs w:val="8"/>
          <w:color w:val="auto"/>
        </w:rPr>
        <w:t>Employee turnover percentage is calculated by the FTE voluntarily leaving since the beginning of the year divided by the average FTE.</w:t>
      </w:r>
    </w:p>
    <w:p>
      <w:pPr>
        <w:spacing w:after="0" w:line="7" w:lineRule="exact"/>
        <w:rPr>
          <w:sz w:val="20"/>
          <w:szCs w:val="20"/>
          <w:color w:val="auto"/>
        </w:rPr>
      </w:pPr>
    </w:p>
    <w:p>
      <w:pPr>
        <w:ind w:left="20" w:right="219" w:firstLine="2"/>
        <w:spacing w:after="0" w:line="195" w:lineRule="auto"/>
        <w:tabs>
          <w:tab w:leader="none" w:pos="85" w:val="left"/>
        </w:tabs>
        <w:numPr>
          <w:ilvl w:val="0"/>
          <w:numId w:val="65"/>
        </w:numPr>
        <w:rPr>
          <w:rFonts w:ascii="Arial" w:cs="Arial" w:eastAsia="Arial" w:hAnsi="Arial"/>
          <w:sz w:val="15"/>
          <w:szCs w:val="15"/>
          <w:color w:val="auto"/>
          <w:vertAlign w:val="superscript"/>
        </w:rPr>
      </w:pPr>
      <w:r>
        <w:rPr>
          <w:rFonts w:ascii="Arial" w:cs="Arial" w:eastAsia="Arial" w:hAnsi="Arial"/>
          <w:sz w:val="10"/>
          <w:szCs w:val="10"/>
          <w:color w:val="auto"/>
        </w:rPr>
        <w:t>The rate of absence is measured as absence due to the employee’s own illness, pregnancy-related sick leave and occupational injuries and illnesses compared with a regional standard average of working days in the year, adjusted for holidays.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77"/>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0" w:name="page51"/>
    <w:bookmarkEnd w:id="5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19"/>
        <w:spacing w:after="0" w:line="273" w:lineRule="auto"/>
        <w:rPr>
          <w:sz w:val="20"/>
          <w:szCs w:val="20"/>
          <w:color w:val="auto"/>
        </w:rPr>
      </w:pPr>
      <w:r>
        <w:rPr>
          <w:rFonts w:ascii="Arial" w:cs="Arial" w:eastAsia="Arial" w:hAnsi="Arial"/>
          <w:sz w:val="12"/>
          <w:szCs w:val="12"/>
          <w:color w:val="auto"/>
        </w:rPr>
        <w:t>“As we look back at 2022, the strength of Genmab’s financial profile really stands out. Our strong balance sheet, growing recurring revenues and significant underlying profitability have allowed us, and will continue to allow us, to strategically invest in our business and our pipeline.”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Anthony Pagano, Executive Vice President and Chief Financial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Review</w:t>
      </w:r>
    </w:p>
    <w:p>
      <w:pPr>
        <w:spacing w:after="0" w:line="18" w:lineRule="exact"/>
        <w:rPr>
          <w:sz w:val="20"/>
          <w:szCs w:val="20"/>
          <w:color w:val="auto"/>
        </w:rPr>
      </w:pPr>
    </w:p>
    <w:p>
      <w:pPr>
        <w:ind w:left="20" w:right="99"/>
        <w:spacing w:after="0" w:line="252" w:lineRule="auto"/>
        <w:rPr>
          <w:sz w:val="20"/>
          <w:szCs w:val="20"/>
          <w:color w:val="auto"/>
        </w:rPr>
      </w:pPr>
      <w:r>
        <w:rPr>
          <w:rFonts w:ascii="Arial" w:cs="Arial" w:eastAsia="Arial" w:hAnsi="Arial"/>
          <w:sz w:val="12"/>
          <w:szCs w:val="12"/>
          <w:color w:val="auto"/>
        </w:rPr>
        <w:t>The financial statements are prepared on a consolidated basis for Genmab A/S (parent company) and its subsidiaries. The Genmab financial statements are published in Danish Kroner (DKK). The Genmab consolidated Group is referenced herein as “Genmab” or the “Company”.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RESULT FOR THE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Guidance and Result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-84455</wp:posOffset>
            </wp:positionV>
            <wp:extent cx="5692140" cy="466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4660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25"/>
        </w:trPr>
        <w:tc>
          <w:tcPr>
            <w:tcW w:w="3020" w:type="dxa"/>
            <w:vAlign w:val="bottom"/>
            <w:tcBorders>
              <w:top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(DKK million)</w:t>
            </w:r>
          </w:p>
        </w:tc>
        <w:tc>
          <w:tcPr>
            <w:tcW w:w="2980" w:type="dxa"/>
            <w:vAlign w:val="bottom"/>
            <w:tcBorders>
              <w:top w:val="single" w:sz="8" w:color="auto"/>
              <w:bottom w:val="single" w:sz="8" w:color="auto"/>
              <w:right w:val="single" w:sz="8" w:color="auto"/>
            </w:tcBorders>
            <w:gridSpan w:val="2"/>
          </w:tcPr>
          <w:p>
            <w:pPr>
              <w:ind w:left="1000"/>
              <w:spacing w:after="0" w:line="125" w:lineRule="exact"/>
              <w:rPr>
                <w:sz w:val="20"/>
                <w:szCs w:val="20"/>
                <w:color w:val="auto"/>
              </w:rPr>
            </w:pPr>
            <w:r>
              <w:rPr>
                <w:rFonts w:ascii="Arial" w:cs="Arial" w:eastAsia="Arial" w:hAnsi="Arial"/>
                <w:sz w:val="12"/>
                <w:szCs w:val="12"/>
                <w:b w:val="1"/>
                <w:bCs w:val="1"/>
                <w:color w:val="auto"/>
              </w:rPr>
              <w:t>Latest Guidance</w:t>
            </w:r>
          </w:p>
        </w:tc>
        <w:tc>
          <w:tcPr>
            <w:tcW w:w="2960" w:type="dxa"/>
            <w:vAlign w:val="bottom"/>
            <w:tcBorders>
              <w:top w:val="single" w:sz="8" w:color="auto"/>
              <w:bottom w:val="single" w:sz="8" w:color="auto"/>
            </w:tcBorders>
          </w:tcPr>
          <w:p>
            <w:pPr>
              <w:ind w:left="1280"/>
              <w:spacing w:after="0" w:line="125" w:lineRule="exact"/>
              <w:rPr>
                <w:sz w:val="20"/>
                <w:szCs w:val="20"/>
                <w:color w:val="auto"/>
              </w:rPr>
            </w:pPr>
            <w:r>
              <w:rPr>
                <w:rFonts w:ascii="Arial" w:cs="Arial" w:eastAsia="Arial" w:hAnsi="Arial"/>
                <w:sz w:val="12"/>
                <w:szCs w:val="12"/>
                <w:b w:val="1"/>
                <w:bCs w:val="1"/>
                <w:color w:val="auto"/>
              </w:rPr>
              <w:t>Actual</w:t>
            </w:r>
          </w:p>
        </w:tc>
      </w:tr>
      <w:tr>
        <w:trPr>
          <w:trHeight w:val="125"/>
        </w:trPr>
        <w:tc>
          <w:tcPr>
            <w:tcW w:w="302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Revenue</w:t>
            </w:r>
          </w:p>
        </w:tc>
        <w:tc>
          <w:tcPr>
            <w:tcW w:w="14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13,500</w:t>
            </w:r>
          </w:p>
        </w:tc>
        <w:tc>
          <w:tcPr>
            <w:tcW w:w="1540" w:type="dxa"/>
            <w:vAlign w:val="bottom"/>
            <w:tcBorders>
              <w:bottom w:val="single" w:sz="8" w:color="auto"/>
              <w:right w:val="single" w:sz="8" w:color="auto"/>
            </w:tcBorders>
          </w:tcPr>
          <w:p>
            <w:pPr>
              <w:spacing w:after="0" w:line="125" w:lineRule="exact"/>
              <w:rPr>
                <w:sz w:val="20"/>
                <w:szCs w:val="20"/>
                <w:color w:val="auto"/>
              </w:rPr>
            </w:pPr>
            <w:r>
              <w:rPr>
                <w:rFonts w:ascii="Arial" w:cs="Arial" w:eastAsia="Arial" w:hAnsi="Arial"/>
                <w:sz w:val="12"/>
                <w:szCs w:val="12"/>
                <w:color w:val="auto"/>
              </w:rPr>
              <w:t>- 14,500</w:t>
            </w:r>
          </w:p>
        </w:tc>
        <w:tc>
          <w:tcPr>
            <w:tcW w:w="296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14,595</w:t>
            </w:r>
          </w:p>
        </w:tc>
      </w:tr>
      <w:tr>
        <w:trPr>
          <w:trHeight w:val="125"/>
        </w:trPr>
        <w:tc>
          <w:tcPr>
            <w:tcW w:w="302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Operating expenses</w:t>
            </w:r>
          </w:p>
        </w:tc>
        <w:tc>
          <w:tcPr>
            <w:tcW w:w="14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(8,000)</w:t>
            </w:r>
          </w:p>
        </w:tc>
        <w:tc>
          <w:tcPr>
            <w:tcW w:w="1540" w:type="dxa"/>
            <w:vAlign w:val="bottom"/>
            <w:tcBorders>
              <w:bottom w:val="single" w:sz="8" w:color="auto"/>
              <w:right w:val="single" w:sz="8" w:color="auto"/>
            </w:tcBorders>
          </w:tcPr>
          <w:p>
            <w:pPr>
              <w:spacing w:after="0" w:line="125" w:lineRule="exact"/>
              <w:rPr>
                <w:sz w:val="20"/>
                <w:szCs w:val="20"/>
                <w:color w:val="auto"/>
              </w:rPr>
            </w:pPr>
            <w:r>
              <w:rPr>
                <w:rFonts w:ascii="Arial" w:cs="Arial" w:eastAsia="Arial" w:hAnsi="Arial"/>
                <w:sz w:val="12"/>
                <w:szCs w:val="12"/>
                <w:color w:val="auto"/>
              </w:rPr>
              <w:t>- (8,400)</w:t>
            </w:r>
          </w:p>
        </w:tc>
        <w:tc>
          <w:tcPr>
            <w:tcW w:w="296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(8,238)</w:t>
            </w:r>
          </w:p>
        </w:tc>
      </w:tr>
      <w:tr>
        <w:trPr>
          <w:trHeight w:val="125"/>
        </w:trPr>
        <w:tc>
          <w:tcPr>
            <w:tcW w:w="302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Operating profit</w:t>
            </w:r>
          </w:p>
        </w:tc>
        <w:tc>
          <w:tcPr>
            <w:tcW w:w="14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5,100</w:t>
            </w:r>
          </w:p>
        </w:tc>
        <w:tc>
          <w:tcPr>
            <w:tcW w:w="1540" w:type="dxa"/>
            <w:vAlign w:val="bottom"/>
            <w:tcBorders>
              <w:bottom w:val="single" w:sz="8" w:color="auto"/>
              <w:right w:val="single" w:sz="8" w:color="auto"/>
            </w:tcBorders>
          </w:tcPr>
          <w:p>
            <w:pPr>
              <w:spacing w:after="0" w:line="125" w:lineRule="exact"/>
              <w:rPr>
                <w:sz w:val="20"/>
                <w:szCs w:val="20"/>
                <w:color w:val="auto"/>
              </w:rPr>
            </w:pPr>
            <w:r>
              <w:rPr>
                <w:rFonts w:ascii="Arial" w:cs="Arial" w:eastAsia="Arial" w:hAnsi="Arial"/>
                <w:sz w:val="12"/>
                <w:szCs w:val="12"/>
                <w:color w:val="auto"/>
              </w:rPr>
              <w:t>- 6,500</w:t>
            </w:r>
          </w:p>
        </w:tc>
        <w:tc>
          <w:tcPr>
            <w:tcW w:w="296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6,357</w:t>
            </w:r>
          </w:p>
        </w:tc>
      </w:tr>
    </w:tbl>
    <w:p>
      <w:pPr>
        <w:spacing w:after="0" w:line="123" w:lineRule="exact"/>
        <w:rPr>
          <w:sz w:val="20"/>
          <w:szCs w:val="20"/>
          <w:color w:val="auto"/>
        </w:rPr>
      </w:pPr>
    </w:p>
    <w:p>
      <w:pPr>
        <w:ind w:left="20" w:right="679"/>
        <w:spacing w:after="0" w:line="273" w:lineRule="auto"/>
        <w:rPr>
          <w:sz w:val="20"/>
          <w:szCs w:val="20"/>
          <w:color w:val="auto"/>
        </w:rPr>
      </w:pPr>
      <w:r>
        <w:rPr>
          <w:rFonts w:ascii="Arial" w:cs="Arial" w:eastAsia="Arial" w:hAnsi="Arial"/>
          <w:sz w:val="12"/>
          <w:szCs w:val="12"/>
          <w:color w:val="auto"/>
        </w:rPr>
        <w:t>Actual revenue was favorable to guidance primarily due to higher than anticipated milestone revenue and slightly favorable USD/DKK foreign exchange rate movements. Operating expenses and operating profit were in line with the latest guidance published on November 9, 2022.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REVENUE</w:t>
      </w:r>
    </w:p>
    <w:p>
      <w:pPr>
        <w:spacing w:after="0" w:line="10" w:lineRule="exact"/>
        <w:rPr>
          <w:sz w:val="20"/>
          <w:szCs w:val="20"/>
          <w:color w:val="auto"/>
        </w:rPr>
      </w:pPr>
    </w:p>
    <w:p>
      <w:pPr>
        <w:ind w:left="20" w:right="119"/>
        <w:spacing w:after="0" w:line="244" w:lineRule="auto"/>
        <w:rPr>
          <w:sz w:val="20"/>
          <w:szCs w:val="20"/>
          <w:color w:val="auto"/>
        </w:rPr>
      </w:pPr>
      <w:r>
        <w:rPr>
          <w:rFonts w:ascii="Arial" w:cs="Arial" w:eastAsia="Arial" w:hAnsi="Arial"/>
          <w:sz w:val="12"/>
          <w:szCs w:val="12"/>
          <w:color w:val="auto"/>
        </w:rPr>
        <w:t>Genmab’s revenue was DKK 14,595 million in 2022 compared to DKK 8,482 million in 2021. The increase of DKK 6,113 million, or 72%, was primarily driven by higher DARZALEX and Kesimpta royalties achieved under our collaborations with Janssen and Novartis, respectively, due to higher net sales and higher average exchange rate between the USD and DKK, and milestones achieved in 2022 under our collaboration with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165100</wp:posOffset>
            </wp:positionV>
            <wp:extent cx="3608705" cy="1012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08705" cy="101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Royalties</w:t>
      </w:r>
    </w:p>
    <w:p>
      <w:pPr>
        <w:spacing w:after="0" w:line="10" w:lineRule="exact"/>
        <w:rPr>
          <w:sz w:val="20"/>
          <w:szCs w:val="20"/>
          <w:color w:val="auto"/>
        </w:rPr>
      </w:pPr>
    </w:p>
    <w:p>
      <w:pPr>
        <w:ind w:left="20" w:right="159"/>
        <w:spacing w:after="0" w:line="244" w:lineRule="auto"/>
        <w:rPr>
          <w:sz w:val="20"/>
          <w:szCs w:val="20"/>
          <w:color w:val="auto"/>
        </w:rPr>
      </w:pPr>
      <w:r>
        <w:rPr>
          <w:rFonts w:ascii="Arial" w:cs="Arial" w:eastAsia="Arial" w:hAnsi="Arial"/>
          <w:sz w:val="12"/>
          <w:szCs w:val="12"/>
          <w:color w:val="auto"/>
        </w:rPr>
        <w:t>Royalty revenue amounted to DKK 11,672 million in 2022 compared to DKK 6,977 million in 2021. The increase of DKK 4,695 million, or 67%, was primarily driven by higher DARZALEX, Kesimpta and TEPEZZA royalties achieved under our daratumumab collaboration with Janssen, ofatumumab collaboration with Novartis, and teprotumumab collaboration with Roche, respectively. The following table summarizes Genmab’s royalty revenue by product.</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(DKK million)</w:t>
            </w:r>
          </w:p>
        </w:tc>
        <w:tc>
          <w:tcPr>
            <w:tcW w:w="4020" w:type="dxa"/>
            <w:vAlign w:val="bottom"/>
            <w:tcBorders>
              <w:bottom w:val="single" w:sz="8" w:color="auto"/>
            </w:tcBorders>
          </w:tcPr>
          <w:p>
            <w:pPr>
              <w:jc w:val="right"/>
              <w:ind w:right="1320"/>
              <w:spacing w:after="0"/>
              <w:rPr>
                <w:sz w:val="20"/>
                <w:szCs w:val="20"/>
                <w:color w:val="auto"/>
              </w:rPr>
            </w:pPr>
            <w:r>
              <w:rPr>
                <w:rFonts w:ascii="Arial" w:cs="Arial" w:eastAsia="Arial" w:hAnsi="Arial"/>
                <w:sz w:val="12"/>
                <w:szCs w:val="12"/>
                <w:b w:val="1"/>
                <w:bCs w:val="1"/>
                <w:color w:val="auto"/>
              </w:rPr>
              <w:t>2022</w:t>
            </w:r>
          </w:p>
        </w:tc>
        <w:tc>
          <w:tcPr>
            <w:tcW w:w="16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r>
      <w:tr>
        <w:trPr>
          <w:trHeight w:val="112"/>
        </w:trPr>
        <w:tc>
          <w:tcPr>
            <w:tcW w:w="3260" w:type="dxa"/>
            <w:vAlign w:val="bottom"/>
          </w:tcPr>
          <w:p>
            <w:pPr>
              <w:ind w:left="80"/>
              <w:spacing w:after="0" w:line="113" w:lineRule="exact"/>
              <w:rPr>
                <w:sz w:val="20"/>
                <w:szCs w:val="20"/>
                <w:color w:val="auto"/>
              </w:rPr>
            </w:pPr>
            <w:r>
              <w:rPr>
                <w:rFonts w:ascii="Arial" w:cs="Arial" w:eastAsia="Arial" w:hAnsi="Arial"/>
                <w:sz w:val="12"/>
                <w:szCs w:val="12"/>
                <w:color w:val="auto"/>
              </w:rPr>
              <w:t>DARZALEX</w:t>
            </w:r>
          </w:p>
        </w:tc>
        <w:tc>
          <w:tcPr>
            <w:tcW w:w="4020" w:type="dxa"/>
            <w:vAlign w:val="bottom"/>
          </w:tcPr>
          <w:p>
            <w:pPr>
              <w:jc w:val="right"/>
              <w:ind w:right="860"/>
              <w:spacing w:after="0" w:line="113" w:lineRule="exact"/>
              <w:rPr>
                <w:sz w:val="20"/>
                <w:szCs w:val="20"/>
                <w:color w:val="auto"/>
              </w:rPr>
            </w:pPr>
            <w:r>
              <w:rPr>
                <w:rFonts w:ascii="Arial" w:cs="Arial" w:eastAsia="Arial" w:hAnsi="Arial"/>
                <w:sz w:val="12"/>
                <w:szCs w:val="12"/>
                <w:color w:val="auto"/>
              </w:rPr>
              <w:t>10,056</w:t>
            </w:r>
          </w:p>
        </w:tc>
        <w:tc>
          <w:tcPr>
            <w:tcW w:w="1680" w:type="dxa"/>
            <w:vAlign w:val="bottom"/>
          </w:tcPr>
          <w:p>
            <w:pPr>
              <w:jc w:val="right"/>
              <w:spacing w:after="0" w:line="113" w:lineRule="exact"/>
              <w:rPr>
                <w:sz w:val="20"/>
                <w:szCs w:val="20"/>
                <w:color w:val="auto"/>
              </w:rPr>
            </w:pPr>
            <w:r>
              <w:rPr>
                <w:rFonts w:ascii="Arial" w:cs="Arial" w:eastAsia="Arial" w:hAnsi="Arial"/>
                <w:sz w:val="12"/>
                <w:szCs w:val="12"/>
                <w:color w:val="auto"/>
              </w:rPr>
              <w:t>6,135</w:t>
            </w:r>
          </w:p>
        </w:tc>
      </w:tr>
      <w:tr>
        <w:trPr>
          <w:trHeight w:val="136"/>
        </w:trPr>
        <w:tc>
          <w:tcPr>
            <w:tcW w:w="3260" w:type="dxa"/>
            <w:vAlign w:val="bottom"/>
          </w:tcPr>
          <w:p>
            <w:pPr>
              <w:ind w:left="80"/>
              <w:spacing w:after="0" w:line="136" w:lineRule="exact"/>
              <w:rPr>
                <w:sz w:val="20"/>
                <w:szCs w:val="20"/>
                <w:color w:val="auto"/>
              </w:rPr>
            </w:pPr>
            <w:r>
              <w:rPr>
                <w:rFonts w:ascii="Arial" w:cs="Arial" w:eastAsia="Arial" w:hAnsi="Arial"/>
                <w:sz w:val="12"/>
                <w:szCs w:val="12"/>
                <w:color w:val="auto"/>
              </w:rPr>
              <w:t>TEPEZZA</w:t>
            </w:r>
          </w:p>
        </w:tc>
        <w:tc>
          <w:tcPr>
            <w:tcW w:w="4020" w:type="dxa"/>
            <w:vAlign w:val="bottom"/>
          </w:tcPr>
          <w:p>
            <w:pPr>
              <w:jc w:val="right"/>
              <w:ind w:right="860"/>
              <w:spacing w:after="0" w:line="136" w:lineRule="exact"/>
              <w:rPr>
                <w:sz w:val="20"/>
                <w:szCs w:val="20"/>
                <w:color w:val="auto"/>
              </w:rPr>
            </w:pPr>
            <w:r>
              <w:rPr>
                <w:rFonts w:ascii="Arial" w:cs="Arial" w:eastAsia="Arial" w:hAnsi="Arial"/>
                <w:sz w:val="12"/>
                <w:szCs w:val="12"/>
                <w:color w:val="auto"/>
              </w:rPr>
              <w:t>796</w:t>
            </w:r>
          </w:p>
        </w:tc>
        <w:tc>
          <w:tcPr>
            <w:tcW w:w="1680" w:type="dxa"/>
            <w:vAlign w:val="bottom"/>
          </w:tcPr>
          <w:p>
            <w:pPr>
              <w:jc w:val="right"/>
              <w:spacing w:after="0" w:line="136" w:lineRule="exact"/>
              <w:rPr>
                <w:sz w:val="20"/>
                <w:szCs w:val="20"/>
                <w:color w:val="auto"/>
              </w:rPr>
            </w:pPr>
            <w:r>
              <w:rPr>
                <w:rFonts w:ascii="Arial" w:cs="Arial" w:eastAsia="Arial" w:hAnsi="Arial"/>
                <w:sz w:val="12"/>
                <w:szCs w:val="12"/>
                <w:color w:val="auto"/>
              </w:rPr>
              <w:t>593</w:t>
            </w:r>
          </w:p>
        </w:tc>
      </w:tr>
      <w:tr>
        <w:trPr>
          <w:trHeight w:val="136"/>
        </w:trPr>
        <w:tc>
          <w:tcPr>
            <w:tcW w:w="3260" w:type="dxa"/>
            <w:vAlign w:val="bottom"/>
          </w:tcPr>
          <w:p>
            <w:pPr>
              <w:ind w:left="80"/>
              <w:spacing w:after="0" w:line="136" w:lineRule="exact"/>
              <w:rPr>
                <w:sz w:val="20"/>
                <w:szCs w:val="20"/>
                <w:color w:val="auto"/>
              </w:rPr>
            </w:pPr>
            <w:r>
              <w:rPr>
                <w:rFonts w:ascii="Arial" w:cs="Arial" w:eastAsia="Arial" w:hAnsi="Arial"/>
                <w:sz w:val="12"/>
                <w:szCs w:val="12"/>
                <w:color w:val="auto"/>
              </w:rPr>
              <w:t>Kesimpta</w:t>
            </w:r>
          </w:p>
        </w:tc>
        <w:tc>
          <w:tcPr>
            <w:tcW w:w="4020" w:type="dxa"/>
            <w:vAlign w:val="bottom"/>
          </w:tcPr>
          <w:p>
            <w:pPr>
              <w:jc w:val="right"/>
              <w:ind w:right="860"/>
              <w:spacing w:after="0" w:line="136" w:lineRule="exact"/>
              <w:rPr>
                <w:sz w:val="20"/>
                <w:szCs w:val="20"/>
                <w:color w:val="auto"/>
              </w:rPr>
            </w:pPr>
            <w:r>
              <w:rPr>
                <w:rFonts w:ascii="Arial" w:cs="Arial" w:eastAsia="Arial" w:hAnsi="Arial"/>
                <w:sz w:val="12"/>
                <w:szCs w:val="12"/>
                <w:color w:val="auto"/>
              </w:rPr>
              <w:t>779</w:t>
            </w:r>
          </w:p>
        </w:tc>
        <w:tc>
          <w:tcPr>
            <w:tcW w:w="1680" w:type="dxa"/>
            <w:vAlign w:val="bottom"/>
          </w:tcPr>
          <w:p>
            <w:pPr>
              <w:jc w:val="right"/>
              <w:spacing w:after="0" w:line="136" w:lineRule="exact"/>
              <w:rPr>
                <w:sz w:val="20"/>
                <w:szCs w:val="20"/>
                <w:color w:val="auto"/>
              </w:rPr>
            </w:pPr>
            <w:r>
              <w:rPr>
                <w:rFonts w:ascii="Arial" w:cs="Arial" w:eastAsia="Arial" w:hAnsi="Arial"/>
                <w:sz w:val="12"/>
                <w:szCs w:val="12"/>
                <w:color w:val="auto"/>
              </w:rPr>
              <w:t>235</w:t>
            </w:r>
          </w:p>
        </w:tc>
      </w:tr>
      <w:tr>
        <w:trPr>
          <w:trHeight w:val="149"/>
        </w:trPr>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Other</w:t>
            </w:r>
          </w:p>
        </w:tc>
        <w:tc>
          <w:tcPr>
            <w:tcW w:w="402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rPr>
              <w:t>41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r>
      <w:tr>
        <w:trPr>
          <w:trHeight w:val="125"/>
        </w:trPr>
        <w:tc>
          <w:tcPr>
            <w:tcW w:w="3260" w:type="dxa"/>
            <w:vAlign w:val="bottom"/>
            <w:tcBorders>
              <w:bottom w:val="single" w:sz="8" w:color="auto"/>
            </w:tcBorders>
          </w:tcPr>
          <w:p>
            <w:pPr>
              <w:ind w:left="80"/>
              <w:spacing w:after="0" w:line="125" w:lineRule="exact"/>
              <w:rPr>
                <w:sz w:val="20"/>
                <w:szCs w:val="20"/>
                <w:color w:val="auto"/>
              </w:rPr>
            </w:pPr>
            <w:r>
              <w:rPr>
                <w:rFonts w:ascii="Arial" w:cs="Arial" w:eastAsia="Arial" w:hAnsi="Arial"/>
                <w:sz w:val="12"/>
                <w:szCs w:val="12"/>
                <w:b w:val="1"/>
                <w:bCs w:val="1"/>
                <w:color w:val="auto"/>
              </w:rPr>
              <w:t>Total royalties</w:t>
            </w:r>
          </w:p>
        </w:tc>
        <w:tc>
          <w:tcPr>
            <w:tcW w:w="4020" w:type="dxa"/>
            <w:vAlign w:val="bottom"/>
            <w:tcBorders>
              <w:bottom w:val="single" w:sz="8" w:color="auto"/>
            </w:tcBorders>
          </w:tcPr>
          <w:p>
            <w:pPr>
              <w:jc w:val="right"/>
              <w:ind w:right="860"/>
              <w:spacing w:after="0" w:line="125" w:lineRule="exact"/>
              <w:rPr>
                <w:sz w:val="20"/>
                <w:szCs w:val="20"/>
                <w:color w:val="auto"/>
              </w:rPr>
            </w:pPr>
            <w:r>
              <w:rPr>
                <w:rFonts w:ascii="Arial" w:cs="Arial" w:eastAsia="Arial" w:hAnsi="Arial"/>
                <w:sz w:val="12"/>
                <w:szCs w:val="12"/>
                <w:b w:val="1"/>
                <w:bCs w:val="1"/>
                <w:color w:val="auto"/>
              </w:rPr>
              <w:t>11,672</w:t>
            </w:r>
          </w:p>
        </w:tc>
        <w:tc>
          <w:tcPr>
            <w:tcW w:w="1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6,977</w:t>
            </w:r>
          </w:p>
        </w:tc>
      </w:tr>
    </w:tbl>
    <w:p>
      <w:pPr>
        <w:spacing w:after="0" w:line="268" w:lineRule="exact"/>
        <w:rPr>
          <w:sz w:val="20"/>
          <w:szCs w:val="20"/>
          <w:color w:val="auto"/>
        </w:rPr>
      </w:pPr>
    </w:p>
    <w:p>
      <w:pPr>
        <w:ind w:left="20" w:right="59"/>
        <w:spacing w:after="0" w:line="241" w:lineRule="auto"/>
        <w:rPr>
          <w:sz w:val="20"/>
          <w:szCs w:val="20"/>
          <w:color w:val="auto"/>
        </w:rPr>
      </w:pPr>
      <w:r>
        <w:rPr>
          <w:rFonts w:ascii="Arial" w:cs="Arial" w:eastAsia="Arial" w:hAnsi="Arial"/>
          <w:sz w:val="12"/>
          <w:szCs w:val="12"/>
          <w:color w:val="auto"/>
        </w:rPr>
        <w:t>Net sales of DARZALEX by Janssen were USD 7,977 million in 2022 compared to USD 6,023 million in 2021. The increase of USD 1,954 million, or 32%, was driven by share gains, continued strong market growth and uptake of the DARZALEX SC product. Royalty revenue on net sales of DARZALEX was DKK 10,056 million in 2022 compared to DKK 6,135 million in 2021, an increase of DKK 3,921 million. The percentage increase in royalties of 64% is higher than the percentage increase in the underlying net sales primarily due to the higher average exchange rate between the USD and DKK, other positive foreign exchange rate impacts, and a higher effective royalty rate for 2022, partly offset by the increase in Genmab’s share of Janssen’s royalty payments to Halozyme in connection with SC product net sales. Under our license agreement with Janssen for DARZALEX, for purposes of calculating royalties due to Genmab, DARZALEX net sales for non-U.S. dollar denominated currencies are translated to U.S. dollars at a specified annual Currency Hedge Rate. This contractual arrangement is the driver for the other foreign exchange impacts discussed above.</w:t>
      </w:r>
    </w:p>
    <w:p>
      <w:pPr>
        <w:spacing w:after="0" w:line="124"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Royalty revenue on net sales of TEPEZZA was DKK 796 million in 2022 compared to DKK 593 million in 2021, an increase of DKK 203 million, or 34%. TEPEZZA net sales in the first quarter of 2021 were negatively impacted by the U.S. government-mandated COVID-19 production interruption.</w:t>
      </w:r>
    </w:p>
    <w:p>
      <w:pPr>
        <w:spacing w:after="0" w:line="103" w:lineRule="exact"/>
        <w:rPr>
          <w:sz w:val="20"/>
          <w:szCs w:val="20"/>
          <w:color w:val="auto"/>
        </w:rPr>
      </w:pPr>
    </w:p>
    <w:p>
      <w:pPr>
        <w:jc w:val="both"/>
        <w:ind w:left="20" w:right="199"/>
        <w:spacing w:after="0" w:line="255" w:lineRule="auto"/>
        <w:rPr>
          <w:sz w:val="20"/>
          <w:szCs w:val="20"/>
          <w:color w:val="auto"/>
        </w:rPr>
      </w:pPr>
      <w:r>
        <w:rPr>
          <w:rFonts w:ascii="Arial" w:cs="Arial" w:eastAsia="Arial" w:hAnsi="Arial"/>
          <w:sz w:val="12"/>
          <w:szCs w:val="12"/>
          <w:color w:val="auto"/>
        </w:rPr>
        <w:t>Net sales of Kesimpta by Novartis were USD 1,092 million in 2022 compared to USD 372 million in 2021. The increase of USD 720 million was driven strong launch uptake, access and increased demand. Royalty revenue on net sales of Kesimpta was DKK 779 million in 2022 compared to DKK 235 million in 2021, an increase of DKK 544 million.</w:t>
      </w:r>
    </w:p>
    <w:p>
      <w:pPr>
        <w:spacing w:after="0" w:line="113"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Janssen was granted U.S. FDA approval for RYBREVANT during the second quarter of 2021, and Genmab subsequently started recognizing royalties on net sales of RYBREVANT. Royalties were not material for 2022 or 2021.</w:t>
      </w:r>
    </w:p>
    <w:p>
      <w:pPr>
        <w:spacing w:after="0" w:line="94"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Janssen was granted approval for TECVAYLI for the treatment of relapsed or refractory multiple myeloma during the third quarter of 2022 in Europe and in the fourth quarter of 2022 in the U.S. Royalties were not material for 2022.</w:t>
      </w:r>
    </w:p>
    <w:p>
      <w:pPr>
        <w:spacing w:after="0" w:line="94" w:lineRule="exact"/>
        <w:rPr>
          <w:sz w:val="20"/>
          <w:szCs w:val="20"/>
          <w:color w:val="auto"/>
        </w:rPr>
      </w:pPr>
    </w:p>
    <w:p>
      <w:pPr>
        <w:ind w:left="20" w:right="119"/>
        <w:spacing w:after="0" w:line="255" w:lineRule="auto"/>
        <w:rPr>
          <w:sz w:val="20"/>
          <w:szCs w:val="20"/>
          <w:color w:val="auto"/>
        </w:rPr>
      </w:pPr>
      <w:r>
        <w:rPr>
          <w:rFonts w:ascii="Arial" w:cs="Arial" w:eastAsia="Arial" w:hAnsi="Arial"/>
          <w:sz w:val="12"/>
          <w:szCs w:val="12"/>
          <w:color w:val="auto"/>
        </w:rPr>
        <w:t>Royalty revenue fluctuations from period to period are driven by the level of product net sales, foreign currency exchange rate movements and more specifically to DARZALEX, the contractual arrangement related to annual Currency Hedge Rate, and Genmab’s share of Janssen’s royalty payments to Halozyme in connection with SC product net sales.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Reimbursement Revenue</w:t>
      </w:r>
    </w:p>
    <w:p>
      <w:pPr>
        <w:spacing w:after="0" w:line="10" w:lineRule="exact"/>
        <w:rPr>
          <w:sz w:val="20"/>
          <w:szCs w:val="20"/>
          <w:color w:val="auto"/>
        </w:rPr>
      </w:pPr>
    </w:p>
    <w:p>
      <w:pPr>
        <w:ind w:left="20" w:right="179"/>
        <w:spacing w:after="0" w:line="244" w:lineRule="auto"/>
        <w:rPr>
          <w:sz w:val="20"/>
          <w:szCs w:val="20"/>
          <w:color w:val="auto"/>
        </w:rPr>
      </w:pPr>
      <w:r>
        <w:rPr>
          <w:rFonts w:ascii="Arial" w:cs="Arial" w:eastAsia="Arial" w:hAnsi="Arial"/>
          <w:sz w:val="12"/>
          <w:szCs w:val="12"/>
          <w:color w:val="auto"/>
        </w:rPr>
        <w:t>Reimbursement revenue, mainly comprised of the reimbursement of certain research and development costs related to the development work under Genmab’s collaboration agreements, amounted to DKK 818 million in 2022 compared to DKK 531 million in 2021. The increase of DKK 287 million, or 54%, was primarily driven by higher activities under our collaboration agreements with BioNTech for HexaBody-CD27 and DuoBody-CD40x4-1BB.</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Milestone Revenue</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49/158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Milestone revenue was DKK 1,767 million in 2022 compared to DKK 954 million in 2021, an increase of DKK 813 million, or 85%, primarily driven by the following:</w:t>
      </w:r>
    </w:p>
    <w:p>
      <w:pPr>
        <w:spacing w:after="0" w:line="134" w:lineRule="exact"/>
        <w:rPr>
          <w:sz w:val="20"/>
          <w:szCs w:val="20"/>
          <w:color w:val="auto"/>
        </w:rPr>
      </w:pPr>
    </w:p>
    <w:p>
      <w:pPr>
        <w:ind w:left="480" w:hanging="222"/>
        <w:spacing w:after="0"/>
        <w:tabs>
          <w:tab w:leader="none" w:pos="480" w:val="left"/>
        </w:tabs>
        <w:numPr>
          <w:ilvl w:val="0"/>
          <w:numId w:val="66"/>
        </w:numPr>
        <w:rPr>
          <w:rFonts w:ascii="Times New Roman" w:cs="Times New Roman" w:eastAsia="Times New Roman" w:hAnsi="Times New Roman"/>
          <w:sz w:val="12"/>
          <w:szCs w:val="12"/>
          <w:color w:val="auto"/>
        </w:rPr>
      </w:pPr>
      <w:r>
        <w:rPr>
          <w:rFonts w:ascii="Arial" w:cs="Arial" w:eastAsia="Arial" w:hAnsi="Arial"/>
          <w:sz w:val="12"/>
          <w:szCs w:val="12"/>
          <w:color w:val="auto"/>
        </w:rPr>
        <w:t>AbbVie milestone of DKK 577 million (USD 80 million) driven by the acceptance of the BLA by the U.S. FDA for epcoritamab,</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66"/>
        </w:numPr>
        <w:rPr>
          <w:rFonts w:ascii="Times New Roman" w:cs="Times New Roman" w:eastAsia="Times New Roman" w:hAnsi="Times New Roman"/>
          <w:sz w:val="12"/>
          <w:szCs w:val="12"/>
          <w:color w:val="auto"/>
        </w:rPr>
      </w:pPr>
      <w:r>
        <w:rPr>
          <w:rFonts w:ascii="Arial" w:cs="Arial" w:eastAsia="Arial" w:hAnsi="Arial"/>
          <w:sz w:val="12"/>
          <w:szCs w:val="12"/>
          <w:color w:val="auto"/>
        </w:rPr>
        <w:t>AbbVie milestone of DKK 444 million (USD 60 million) triggered by the validation of the MAA by the EMA in the EU for epcoritamab,</w:t>
      </w:r>
    </w:p>
    <w:p>
      <w:pPr>
        <w:spacing w:after="0" w:line="6" w:lineRule="exact"/>
        <w:rPr>
          <w:rFonts w:ascii="Times New Roman" w:cs="Times New Roman" w:eastAsia="Times New Roman" w:hAnsi="Times New Roman"/>
          <w:sz w:val="12"/>
          <w:szCs w:val="12"/>
          <w:color w:val="auto"/>
        </w:rPr>
      </w:pPr>
    </w:p>
    <w:p>
      <w:pPr>
        <w:ind w:left="480" w:right="219" w:hanging="222"/>
        <w:spacing w:after="0" w:line="236" w:lineRule="auto"/>
        <w:tabs>
          <w:tab w:leader="none" w:pos="480" w:val="left"/>
        </w:tabs>
        <w:numPr>
          <w:ilvl w:val="0"/>
          <w:numId w:val="66"/>
        </w:numPr>
        <w:rPr>
          <w:rFonts w:ascii="Times New Roman" w:cs="Times New Roman" w:eastAsia="Times New Roman" w:hAnsi="Times New Roman"/>
          <w:sz w:val="12"/>
          <w:szCs w:val="12"/>
          <w:color w:val="auto"/>
        </w:rPr>
      </w:pPr>
      <w:r>
        <w:rPr>
          <w:rFonts w:ascii="Arial" w:cs="Arial" w:eastAsia="Arial" w:hAnsi="Arial"/>
          <w:sz w:val="12"/>
          <w:szCs w:val="12"/>
          <w:color w:val="auto"/>
        </w:rPr>
        <w:t>Janssen milestones of DKK 189 million (USD 25 million) and DKK 112 million (USD 15 million) for the approval of TECVAYLI for the treatment of relapsed or refractory multiple myeloma in the U.S. and Europe, respectively, and</w:t>
      </w:r>
    </w:p>
    <w:p>
      <w:pPr>
        <w:ind w:left="480" w:right="399" w:hanging="222"/>
        <w:spacing w:after="0" w:line="251" w:lineRule="auto"/>
        <w:tabs>
          <w:tab w:leader="none" w:pos="480" w:val="left"/>
        </w:tabs>
        <w:numPr>
          <w:ilvl w:val="0"/>
          <w:numId w:val="66"/>
        </w:numPr>
        <w:rPr>
          <w:rFonts w:ascii="Times New Roman" w:cs="Times New Roman" w:eastAsia="Times New Roman" w:hAnsi="Times New Roman"/>
          <w:sz w:val="12"/>
          <w:szCs w:val="12"/>
          <w:color w:val="auto"/>
        </w:rPr>
      </w:pPr>
      <w:r>
        <w:rPr>
          <w:rFonts w:ascii="Arial" w:cs="Arial" w:eastAsia="Arial" w:hAnsi="Arial"/>
          <w:sz w:val="12"/>
          <w:szCs w:val="12"/>
          <w:color w:val="auto"/>
        </w:rPr>
        <w:t>AbbVie milestone of DKK 153 million (USD 20 million) driven by the initiation, or first patient dosed, of a pivotal trial (Phase 3) in the second indication for epcoritamab.</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increase in milestone revenue in 2022 was partly offset by milestones achieved in 2021 under our Janssen and AbbVie collaborations.</w:t>
      </w:r>
    </w:p>
    <w:p>
      <w:pPr>
        <w:spacing w:after="0" w:line="134"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Milestone revenue may fluctuate significantly from period to period due to both the timing of achievements and the varying amount of each individual milestone under our license and collaboration agreements.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Collaboration Revenue</w:t>
      </w:r>
    </w:p>
    <w:p>
      <w:pPr>
        <w:spacing w:after="0" w:line="10" w:lineRule="exact"/>
        <w:rPr>
          <w:sz w:val="20"/>
          <w:szCs w:val="20"/>
          <w:color w:val="auto"/>
        </w:rPr>
      </w:pPr>
    </w:p>
    <w:p>
      <w:pPr>
        <w:ind w:left="20" w:right="219"/>
        <w:spacing w:after="0"/>
        <w:rPr>
          <w:sz w:val="20"/>
          <w:szCs w:val="20"/>
          <w:color w:val="auto"/>
        </w:rPr>
      </w:pPr>
      <w:r>
        <w:rPr>
          <w:rFonts w:ascii="Arial" w:cs="Arial" w:eastAsia="Arial" w:hAnsi="Arial"/>
          <w:sz w:val="12"/>
          <w:szCs w:val="12"/>
          <w:color w:val="auto"/>
        </w:rPr>
        <w:t>In September 2021, Genmab and Seagen announced U.S. FDA accelerated approval for Tivdak in previously treated recurrent or metastatic cervical cancer. Collaboration revenue was DKK 332 million in 2022 compared to DKK 20 million in 2021. The increase of DKK 312 million was primarily driven by increased sales of Tivdak and also includes a one-off payment due from Seagen of DKK 112 million (approximately USD 15 million) which reflects Genmab’s share (50%) of payments received by Seagen in connection with the sublicense of its rights to develop and commercialize tisotumab vedotin in China to Zai Lab Hong Kong pursuant to Genmab’s Joint Commercialization Agreement with Seagen.</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2.1 for further details about revenue.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OPERATING EXPENSES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operating expenses increased by DKK 2,774 million, or 51%, from DKK 5,464 million in 2021 to DKK 8,238 million in 2022.</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Research and Development Expenses</w:t>
      </w:r>
    </w:p>
    <w:p>
      <w:pPr>
        <w:spacing w:after="0" w:line="10" w:lineRule="exact"/>
        <w:rPr>
          <w:sz w:val="20"/>
          <w:szCs w:val="20"/>
          <w:color w:val="auto"/>
        </w:rPr>
      </w:pPr>
    </w:p>
    <w:p>
      <w:pPr>
        <w:ind w:left="20" w:right="119"/>
        <w:spacing w:after="0" w:line="244" w:lineRule="auto"/>
        <w:rPr>
          <w:sz w:val="20"/>
          <w:szCs w:val="20"/>
          <w:color w:val="auto"/>
        </w:rPr>
      </w:pPr>
      <w:r>
        <w:rPr>
          <w:rFonts w:ascii="Arial" w:cs="Arial" w:eastAsia="Arial" w:hAnsi="Arial"/>
          <w:sz w:val="12"/>
          <w:szCs w:val="12"/>
          <w:color w:val="auto"/>
        </w:rPr>
        <w:t>Research and development expenses amounted to DKK 5,562 million in 2022 compared to DKK 4,181 million in 2021. The increase of DKK 1,381 million, or 33% was driven by the continued advancement of our product pipeline including epcoritamab under our collaboration with AbbVie, and DuoBody-CD40x4-1BB under our collaboration with BioNTech, and the increase in team members to support the expansion of our product pipeline.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Research and development costs accounted for 68% of the total operating expenses in 2022 compared to 77% in 2021.</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information regarding our research and development expenses for 2022 as compared to 2021.</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3" w:name="page54"/>
    <w:bookmarkEnd w:id="5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(DKK million)</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25"/>
        </w:trPr>
        <w:tc>
          <w:tcPr>
            <w:tcW w:w="4900" w:type="dxa"/>
            <w:vAlign w:val="bottom"/>
            <w:gridSpan w:val="2"/>
            <w:vMerge w:val="continue"/>
          </w:tcPr>
          <w:p>
            <w:pPr>
              <w:spacing w:after="0"/>
              <w:rPr>
                <w:sz w:val="10"/>
                <w:szCs w:val="10"/>
                <w:color w:val="auto"/>
              </w:rPr>
            </w:pPr>
          </w:p>
        </w:tc>
        <w:tc>
          <w:tcPr>
            <w:tcW w:w="1100" w:type="dxa"/>
            <w:vAlign w:val="bottom"/>
            <w:tcBorders>
              <w:top w:val="single" w:sz="8" w:color="auto"/>
            </w:tcBorders>
          </w:tcPr>
          <w:p>
            <w:pPr>
              <w:jc w:val="right"/>
              <w:ind w:right="360"/>
              <w:spacing w:after="0" w:line="125" w:lineRule="exact"/>
              <w:rPr>
                <w:sz w:val="20"/>
                <w:szCs w:val="20"/>
                <w:color w:val="auto"/>
              </w:rPr>
            </w:pPr>
            <w:r>
              <w:rPr>
                <w:rFonts w:ascii="Arial" w:cs="Arial" w:eastAsia="Arial" w:hAnsi="Arial"/>
                <w:sz w:val="12"/>
                <w:szCs w:val="12"/>
                <w:b w:val="1"/>
                <w:bCs w:val="1"/>
                <w:color w:val="auto"/>
              </w:rPr>
              <w:t>2022</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60"/>
              <w:spacing w:after="0" w:line="125"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rPr>
              <w:t>2022/2021</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12"/>
        </w:trPr>
        <w:tc>
          <w:tcPr>
            <w:tcW w:w="464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color w:val="auto"/>
              </w:rPr>
              <w:t>Research</w:t>
            </w:r>
            <w:r>
              <w:rPr>
                <w:rFonts w:ascii="Arial" w:cs="Arial" w:eastAsia="Arial" w:hAnsi="Arial"/>
                <w:sz w:val="12"/>
                <w:szCs w:val="12"/>
                <w:color w:val="231F20"/>
              </w:rPr>
              <w:t>(1)</w:t>
            </w:r>
          </w:p>
        </w:tc>
        <w:tc>
          <w:tcPr>
            <w:tcW w:w="260" w:type="dxa"/>
            <w:vAlign w:val="bottom"/>
          </w:tcPr>
          <w:p>
            <w:pPr>
              <w:spacing w:after="0"/>
              <w:rPr>
                <w:sz w:val="9"/>
                <w:szCs w:val="9"/>
                <w:color w:val="auto"/>
              </w:rPr>
            </w:pPr>
          </w:p>
        </w:tc>
        <w:tc>
          <w:tcPr>
            <w:tcW w:w="11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1,222</w:t>
            </w:r>
          </w:p>
        </w:tc>
        <w:tc>
          <w:tcPr>
            <w:tcW w:w="280" w:type="dxa"/>
            <w:vAlign w:val="bottom"/>
          </w:tcPr>
          <w:p>
            <w:pPr>
              <w:spacing w:after="0"/>
              <w:rPr>
                <w:sz w:val="9"/>
                <w:szCs w:val="9"/>
                <w:color w:val="auto"/>
              </w:rPr>
            </w:pPr>
          </w:p>
        </w:tc>
        <w:tc>
          <w:tcPr>
            <w:tcW w:w="11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958</w:t>
            </w:r>
          </w:p>
        </w:tc>
        <w:tc>
          <w:tcPr>
            <w:tcW w:w="260" w:type="dxa"/>
            <w:vAlign w:val="bottom"/>
          </w:tcPr>
          <w:p>
            <w:pPr>
              <w:spacing w:after="0"/>
              <w:rPr>
                <w:sz w:val="9"/>
                <w:szCs w:val="9"/>
                <w:color w:val="auto"/>
              </w:rPr>
            </w:pPr>
          </w:p>
        </w:tc>
        <w:tc>
          <w:tcPr>
            <w:tcW w:w="11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28</w:t>
            </w: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Development and contract manufacturing</w:t>
            </w:r>
            <w:r>
              <w:rPr>
                <w:rFonts w:ascii="Arial" w:cs="Arial" w:eastAsia="Arial" w:hAnsi="Arial"/>
                <w:sz w:val="12"/>
                <w:szCs w:val="12"/>
                <w:color w:val="231F20"/>
              </w:rPr>
              <w:t>(2)</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1,556</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1,374</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Clinical</w:t>
            </w:r>
            <w:r>
              <w:rPr>
                <w:rFonts w:ascii="Arial" w:cs="Arial" w:eastAsia="Arial" w:hAnsi="Arial"/>
                <w:sz w:val="12"/>
                <w:szCs w:val="12"/>
                <w:color w:val="231F20"/>
              </w:rPr>
              <w:t>(3)</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2,059</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1,360</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51 %</w:t>
            </w: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Upfront payments(4)</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155</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61</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154 %</w:t>
            </w:r>
          </w:p>
        </w:tc>
        <w:tc>
          <w:tcPr>
            <w:tcW w:w="0" w:type="dxa"/>
            <w:vAlign w:val="bottom"/>
          </w:tcPr>
          <w:p>
            <w:pPr>
              <w:spacing w:after="0"/>
              <w:rPr>
                <w:sz w:val="1"/>
                <w:szCs w:val="1"/>
                <w:color w:val="auto"/>
              </w:rPr>
            </w:pPr>
          </w:p>
        </w:tc>
      </w:tr>
      <w:tr>
        <w:trPr>
          <w:trHeight w:val="149"/>
        </w:trPr>
        <w:tc>
          <w:tcPr>
            <w:tcW w:w="4900" w:type="dxa"/>
            <w:vAlign w:val="bottom"/>
            <w:gridSpan w:val="2"/>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2"/>
                <w:szCs w:val="12"/>
                <w:color w:val="231F20"/>
              </w:rPr>
              <w:t>(5)</w:t>
            </w:r>
          </w:p>
        </w:tc>
        <w:tc>
          <w:tcPr>
            <w:tcW w:w="1100" w:type="dxa"/>
            <w:vAlign w:val="bottom"/>
          </w:tcPr>
          <w:p>
            <w:pPr>
              <w:jc w:val="right"/>
              <w:spacing w:after="0"/>
              <w:rPr>
                <w:sz w:val="20"/>
                <w:szCs w:val="20"/>
                <w:color w:val="auto"/>
              </w:rPr>
            </w:pPr>
            <w:r>
              <w:rPr>
                <w:rFonts w:ascii="Arial" w:cs="Arial" w:eastAsia="Arial" w:hAnsi="Arial"/>
                <w:sz w:val="12"/>
                <w:szCs w:val="12"/>
                <w:color w:val="auto"/>
              </w:rPr>
              <w:t>570</w:t>
            </w: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428</w:t>
            </w:r>
          </w:p>
        </w:tc>
        <w:tc>
          <w:tcPr>
            <w:tcW w:w="2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line="125" w:lineRule="exact"/>
              <w:rPr>
                <w:sz w:val="20"/>
                <w:szCs w:val="20"/>
                <w:color w:val="auto"/>
              </w:rPr>
            </w:pPr>
            <w:r>
              <w:rPr>
                <w:rFonts w:ascii="Arial" w:cs="Arial" w:eastAsia="Arial" w:hAnsi="Arial"/>
                <w:sz w:val="12"/>
                <w:szCs w:val="12"/>
                <w:b w:val="1"/>
                <w:bCs w:val="1"/>
                <w:color w:val="231F20"/>
              </w:rPr>
              <w:t>Total research and development expenses</w:t>
            </w: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5,562</w:t>
            </w:r>
          </w:p>
        </w:tc>
        <w:tc>
          <w:tcPr>
            <w:tcW w:w="28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4,181</w:t>
            </w:r>
          </w:p>
        </w:tc>
        <w:tc>
          <w:tcPr>
            <w:tcW w:w="2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33</w:t>
            </w:r>
          </w:p>
        </w:tc>
        <w:tc>
          <w:tcPr>
            <w:tcW w:w="1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0" w:right="239" w:firstLine="2"/>
        <w:spacing w:after="0" w:line="238" w:lineRule="auto"/>
        <w:tabs>
          <w:tab w:leader="none" w:pos="165" w:val="left"/>
        </w:tabs>
        <w:numPr>
          <w:ilvl w:val="0"/>
          <w:numId w:val="67"/>
        </w:numPr>
        <w:rPr>
          <w:rFonts w:ascii="Arial" w:cs="Arial" w:eastAsia="Arial" w:hAnsi="Arial"/>
          <w:sz w:val="10"/>
          <w:szCs w:val="10"/>
          <w:color w:val="auto"/>
        </w:rPr>
      </w:pPr>
      <w:r>
        <w:rPr>
          <w:rFonts w:ascii="Arial" w:cs="Arial" w:eastAsia="Arial" w:hAnsi="Arial"/>
          <w:sz w:val="10"/>
          <w:szCs w:val="10"/>
          <w:color w:val="auto"/>
        </w:rPr>
        <w:t>Research expenses include, among other things, personnel, occupancy and laboratory expenses, technology access fees associated with identification of new monoclonal antibodies (mAbs), expenses associated with the development of new proprietary technologies and research activities associated with our product candidates, such as in vitro and in vivo studies, translational research, and IND enabling toxicology studies.</w:t>
      </w:r>
    </w:p>
    <w:p>
      <w:pPr>
        <w:spacing w:after="0" w:line="129" w:lineRule="exact"/>
        <w:rPr>
          <w:rFonts w:ascii="Arial" w:cs="Arial" w:eastAsia="Arial" w:hAnsi="Arial"/>
          <w:sz w:val="10"/>
          <w:szCs w:val="10"/>
          <w:color w:val="auto"/>
        </w:rPr>
      </w:pPr>
    </w:p>
    <w:p>
      <w:pPr>
        <w:ind w:left="20" w:right="119" w:firstLine="2"/>
        <w:spacing w:after="0" w:line="238" w:lineRule="auto"/>
        <w:tabs>
          <w:tab w:leader="none" w:pos="165" w:val="left"/>
        </w:tabs>
        <w:numPr>
          <w:ilvl w:val="0"/>
          <w:numId w:val="67"/>
        </w:numPr>
        <w:rPr>
          <w:rFonts w:ascii="Arial" w:cs="Arial" w:eastAsia="Arial" w:hAnsi="Arial"/>
          <w:sz w:val="10"/>
          <w:szCs w:val="10"/>
          <w:color w:val="auto"/>
        </w:rPr>
      </w:pPr>
      <w:r>
        <w:rPr>
          <w:rFonts w:ascii="Arial" w:cs="Arial" w:eastAsia="Arial" w:hAnsi="Arial"/>
          <w:sz w:val="10"/>
          <w:szCs w:val="10"/>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the production of process validation batches to be used in potential future regulatory submissions, quality control and assurance activities, and storage and shipment of our product candidates.</w:t>
      </w:r>
    </w:p>
    <w:p>
      <w:pPr>
        <w:spacing w:after="0" w:line="129" w:lineRule="exact"/>
        <w:rPr>
          <w:rFonts w:ascii="Arial" w:cs="Arial" w:eastAsia="Arial" w:hAnsi="Arial"/>
          <w:sz w:val="10"/>
          <w:szCs w:val="10"/>
          <w:color w:val="auto"/>
        </w:rPr>
      </w:pPr>
    </w:p>
    <w:p>
      <w:pPr>
        <w:ind w:left="20" w:right="119" w:firstLine="2"/>
        <w:spacing w:after="0" w:line="248" w:lineRule="auto"/>
        <w:tabs>
          <w:tab w:leader="none" w:pos="165" w:val="left"/>
        </w:tabs>
        <w:numPr>
          <w:ilvl w:val="0"/>
          <w:numId w:val="67"/>
        </w:numPr>
        <w:rPr>
          <w:rFonts w:ascii="Arial" w:cs="Arial" w:eastAsia="Arial" w:hAnsi="Arial"/>
          <w:sz w:val="10"/>
          <w:szCs w:val="10"/>
          <w:color w:val="auto"/>
        </w:rPr>
      </w:pPr>
      <w:r>
        <w:rPr>
          <w:rFonts w:ascii="Arial" w:cs="Arial" w:eastAsia="Arial" w:hAnsi="Arial"/>
          <w:sz w:val="10"/>
          <w:szCs w:val="10"/>
          <w:color w:val="auto"/>
        </w:rPr>
        <w:t>Clinical expenses include personnel, travel, occupancy costs, and external clinical trial costs including contract research organizations (CROs), investigator fees, clinical site fees, contractors and regulatory activities associated with conducting human clinical trials.</w:t>
      </w:r>
    </w:p>
    <w:p>
      <w:pPr>
        <w:spacing w:after="0" w:line="124" w:lineRule="exact"/>
        <w:rPr>
          <w:rFonts w:ascii="Arial" w:cs="Arial" w:eastAsia="Arial" w:hAnsi="Arial"/>
          <w:sz w:val="10"/>
          <w:szCs w:val="10"/>
          <w:color w:val="auto"/>
        </w:rPr>
      </w:pPr>
    </w:p>
    <w:p>
      <w:pPr>
        <w:ind w:left="160" w:hanging="138"/>
        <w:spacing w:after="0"/>
        <w:tabs>
          <w:tab w:leader="none" w:pos="160" w:val="left"/>
        </w:tabs>
        <w:numPr>
          <w:ilvl w:val="0"/>
          <w:numId w:val="67"/>
        </w:numPr>
        <w:rPr>
          <w:rFonts w:ascii="Arial" w:cs="Arial" w:eastAsia="Arial" w:hAnsi="Arial"/>
          <w:sz w:val="10"/>
          <w:szCs w:val="10"/>
          <w:color w:val="auto"/>
        </w:rPr>
      </w:pPr>
      <w:r>
        <w:rPr>
          <w:rFonts w:ascii="Arial" w:cs="Arial" w:eastAsia="Arial" w:hAnsi="Arial"/>
          <w:sz w:val="10"/>
          <w:szCs w:val="10"/>
          <w:color w:val="auto"/>
        </w:rPr>
        <w:t>Upfront payments include payments made to third parties upon entering into R&amp;D license and collaboration agreements.</w:t>
      </w:r>
    </w:p>
    <w:p>
      <w:pPr>
        <w:spacing w:after="0" w:line="138" w:lineRule="exact"/>
        <w:rPr>
          <w:rFonts w:ascii="Arial" w:cs="Arial" w:eastAsia="Arial" w:hAnsi="Arial"/>
          <w:sz w:val="10"/>
          <w:szCs w:val="10"/>
          <w:color w:val="auto"/>
        </w:rPr>
      </w:pPr>
    </w:p>
    <w:p>
      <w:pPr>
        <w:ind w:left="160" w:hanging="138"/>
        <w:spacing w:after="0"/>
        <w:tabs>
          <w:tab w:leader="none" w:pos="160" w:val="left"/>
        </w:tabs>
        <w:numPr>
          <w:ilvl w:val="0"/>
          <w:numId w:val="67"/>
        </w:numPr>
        <w:rPr>
          <w:rFonts w:ascii="Arial" w:cs="Arial" w:eastAsia="Arial" w:hAnsi="Arial"/>
          <w:sz w:val="10"/>
          <w:szCs w:val="10"/>
          <w:color w:val="auto"/>
        </w:rPr>
      </w:pPr>
      <w:r>
        <w:rPr>
          <w:rFonts w:ascii="Arial" w:cs="Arial" w:eastAsia="Arial" w:hAnsi="Arial"/>
          <w:sz w:val="10"/>
          <w:szCs w:val="10"/>
          <w:color w:val="auto"/>
        </w:rPr>
        <w:t>Other research and development expenses primarily include share-based compensation, depreciation, amortization and impairment expenses.</w:t>
      </w:r>
    </w:p>
    <w:p>
      <w:pPr>
        <w:spacing w:after="0" w:line="131"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The following table shows third-party costs incurred for research, contract manufacturing of our product candidates and clinical and regulatory services for 2022 as compared to 2021. The table also presents unallocated costs and overhead consisting of third-party costs for our pre-clinical stage programs, personnel, facilities and other indirect costs not directly charged to development programs.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(DKK million)</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25"/>
        </w:trPr>
        <w:tc>
          <w:tcPr>
            <w:tcW w:w="4900" w:type="dxa"/>
            <w:vAlign w:val="bottom"/>
            <w:gridSpan w:val="2"/>
            <w:vMerge w:val="continue"/>
          </w:tcPr>
          <w:p>
            <w:pPr>
              <w:spacing w:after="0"/>
              <w:rPr>
                <w:sz w:val="10"/>
                <w:szCs w:val="10"/>
                <w:color w:val="auto"/>
              </w:rPr>
            </w:pPr>
          </w:p>
        </w:tc>
        <w:tc>
          <w:tcPr>
            <w:tcW w:w="1100" w:type="dxa"/>
            <w:vAlign w:val="bottom"/>
            <w:tcBorders>
              <w:top w:val="single" w:sz="8" w:color="auto"/>
            </w:tcBorders>
          </w:tcPr>
          <w:p>
            <w:pPr>
              <w:jc w:val="right"/>
              <w:ind w:right="360"/>
              <w:spacing w:after="0" w:line="125" w:lineRule="exact"/>
              <w:rPr>
                <w:sz w:val="20"/>
                <w:szCs w:val="20"/>
                <w:color w:val="auto"/>
              </w:rPr>
            </w:pPr>
            <w:r>
              <w:rPr>
                <w:rFonts w:ascii="Arial" w:cs="Arial" w:eastAsia="Arial" w:hAnsi="Arial"/>
                <w:sz w:val="12"/>
                <w:szCs w:val="12"/>
                <w:b w:val="1"/>
                <w:bCs w:val="1"/>
                <w:color w:val="auto"/>
              </w:rPr>
              <w:t>2022</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60"/>
              <w:spacing w:after="0" w:line="125"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rPr>
              <w:t>2022/2021</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12"/>
        </w:trPr>
        <w:tc>
          <w:tcPr>
            <w:tcW w:w="464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color w:val="auto"/>
              </w:rPr>
              <w:t>Epcoritamab</w:t>
            </w:r>
          </w:p>
        </w:tc>
        <w:tc>
          <w:tcPr>
            <w:tcW w:w="260" w:type="dxa"/>
            <w:vAlign w:val="bottom"/>
          </w:tcPr>
          <w:p>
            <w:pPr>
              <w:spacing w:after="0"/>
              <w:rPr>
                <w:sz w:val="9"/>
                <w:szCs w:val="9"/>
                <w:color w:val="auto"/>
              </w:rPr>
            </w:pPr>
          </w:p>
        </w:tc>
        <w:tc>
          <w:tcPr>
            <w:tcW w:w="11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1,115</w:t>
            </w:r>
          </w:p>
        </w:tc>
        <w:tc>
          <w:tcPr>
            <w:tcW w:w="280" w:type="dxa"/>
            <w:vAlign w:val="bottom"/>
          </w:tcPr>
          <w:p>
            <w:pPr>
              <w:spacing w:after="0"/>
              <w:rPr>
                <w:sz w:val="9"/>
                <w:szCs w:val="9"/>
                <w:color w:val="auto"/>
              </w:rPr>
            </w:pPr>
          </w:p>
        </w:tc>
        <w:tc>
          <w:tcPr>
            <w:tcW w:w="11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654</w:t>
            </w:r>
          </w:p>
        </w:tc>
        <w:tc>
          <w:tcPr>
            <w:tcW w:w="260" w:type="dxa"/>
            <w:vAlign w:val="bottom"/>
          </w:tcPr>
          <w:p>
            <w:pPr>
              <w:spacing w:after="0"/>
              <w:rPr>
                <w:sz w:val="9"/>
                <w:szCs w:val="9"/>
                <w:color w:val="auto"/>
              </w:rPr>
            </w:pPr>
          </w:p>
        </w:tc>
        <w:tc>
          <w:tcPr>
            <w:tcW w:w="11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70</w:t>
            </w: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Tisotumab vedotin</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319</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365</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DuoBody-PD-L1x4-1BB</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369</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371</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DuoBody-CD40x4-1BB</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242</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135</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79 %</w:t>
            </w:r>
          </w:p>
        </w:tc>
        <w:tc>
          <w:tcPr>
            <w:tcW w:w="0" w:type="dxa"/>
            <w:vAlign w:val="bottom"/>
          </w:tcPr>
          <w:p>
            <w:pPr>
              <w:spacing w:after="0"/>
              <w:rPr>
                <w:sz w:val="1"/>
                <w:szCs w:val="1"/>
                <w:color w:val="auto"/>
              </w:rPr>
            </w:pPr>
          </w:p>
        </w:tc>
      </w:tr>
      <w:tr>
        <w:trPr>
          <w:trHeight w:val="149"/>
        </w:trPr>
        <w:tc>
          <w:tcPr>
            <w:tcW w:w="4900" w:type="dxa"/>
            <w:vAlign w:val="bottom"/>
            <w:gridSpan w:val="2"/>
          </w:tcPr>
          <w:p>
            <w:pPr>
              <w:spacing w:after="0"/>
              <w:rPr>
                <w:sz w:val="20"/>
                <w:szCs w:val="20"/>
                <w:color w:val="auto"/>
              </w:rPr>
            </w:pPr>
            <w:r>
              <w:rPr>
                <w:rFonts w:ascii="Arial" w:cs="Arial" w:eastAsia="Arial" w:hAnsi="Arial"/>
                <w:sz w:val="12"/>
                <w:szCs w:val="12"/>
                <w:color w:val="auto"/>
              </w:rPr>
              <w:t>Other clinical stage programs</w:t>
            </w:r>
          </w:p>
        </w:tc>
        <w:tc>
          <w:tcPr>
            <w:tcW w:w="1100" w:type="dxa"/>
            <w:vAlign w:val="bottom"/>
          </w:tcPr>
          <w:p>
            <w:pPr>
              <w:jc w:val="right"/>
              <w:spacing w:after="0"/>
              <w:rPr>
                <w:sz w:val="20"/>
                <w:szCs w:val="20"/>
                <w:color w:val="auto"/>
              </w:rPr>
            </w:pPr>
            <w:r>
              <w:rPr>
                <w:rFonts w:ascii="Arial" w:cs="Arial" w:eastAsia="Arial" w:hAnsi="Arial"/>
                <w:sz w:val="12"/>
                <w:szCs w:val="12"/>
                <w:color w:val="auto"/>
              </w:rPr>
              <w:t>419</w:t>
            </w: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250</w:t>
            </w:r>
          </w:p>
        </w:tc>
        <w:tc>
          <w:tcPr>
            <w:tcW w:w="2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68 %</w:t>
            </w: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Total third-party costs for clinical stage programs</w:t>
            </w: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2,464</w:t>
            </w:r>
          </w:p>
        </w:tc>
        <w:tc>
          <w:tcPr>
            <w:tcW w:w="28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1,775</w:t>
            </w:r>
          </w:p>
        </w:tc>
        <w:tc>
          <w:tcPr>
            <w:tcW w:w="2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39</w:t>
            </w:r>
          </w:p>
        </w:tc>
        <w:tc>
          <w:tcPr>
            <w:tcW w:w="1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r>
        <w:trPr>
          <w:trHeight w:val="123"/>
        </w:trPr>
        <w:tc>
          <w:tcPr>
            <w:tcW w:w="4900" w:type="dxa"/>
            <w:vAlign w:val="bottom"/>
            <w:gridSpan w:val="2"/>
          </w:tcPr>
          <w:p>
            <w:pPr>
              <w:spacing w:after="0" w:line="124" w:lineRule="exact"/>
              <w:rPr>
                <w:sz w:val="20"/>
                <w:szCs w:val="20"/>
                <w:color w:val="auto"/>
              </w:rPr>
            </w:pPr>
            <w:r>
              <w:rPr>
                <w:rFonts w:ascii="Arial" w:cs="Arial" w:eastAsia="Arial" w:hAnsi="Arial"/>
                <w:sz w:val="12"/>
                <w:szCs w:val="12"/>
                <w:color w:val="auto"/>
              </w:rPr>
              <w:t>Pre-clinical projects</w:t>
            </w:r>
          </w:p>
        </w:tc>
        <w:tc>
          <w:tcPr>
            <w:tcW w:w="1100" w:type="dxa"/>
            <w:vAlign w:val="bottom"/>
          </w:tcPr>
          <w:p>
            <w:pPr>
              <w:jc w:val="right"/>
              <w:spacing w:after="0" w:line="124" w:lineRule="exact"/>
              <w:rPr>
                <w:sz w:val="20"/>
                <w:szCs w:val="20"/>
                <w:color w:val="auto"/>
              </w:rPr>
            </w:pPr>
            <w:r>
              <w:rPr>
                <w:rFonts w:ascii="Arial" w:cs="Arial" w:eastAsia="Arial" w:hAnsi="Arial"/>
                <w:sz w:val="12"/>
                <w:szCs w:val="12"/>
                <w:color w:val="auto"/>
              </w:rPr>
              <w:t>830</w:t>
            </w:r>
          </w:p>
        </w:tc>
        <w:tc>
          <w:tcPr>
            <w:tcW w:w="280" w:type="dxa"/>
            <w:vAlign w:val="bottom"/>
          </w:tcPr>
          <w:p>
            <w:pPr>
              <w:spacing w:after="0"/>
              <w:rPr>
                <w:sz w:val="10"/>
                <w:szCs w:val="10"/>
                <w:color w:val="auto"/>
              </w:rPr>
            </w:pPr>
          </w:p>
        </w:tc>
        <w:tc>
          <w:tcPr>
            <w:tcW w:w="1100" w:type="dxa"/>
            <w:vAlign w:val="bottom"/>
          </w:tcPr>
          <w:p>
            <w:pPr>
              <w:jc w:val="right"/>
              <w:spacing w:after="0" w:line="124" w:lineRule="exact"/>
              <w:rPr>
                <w:sz w:val="20"/>
                <w:szCs w:val="20"/>
                <w:color w:val="auto"/>
              </w:rPr>
            </w:pPr>
            <w:r>
              <w:rPr>
                <w:rFonts w:ascii="Arial" w:cs="Arial" w:eastAsia="Arial" w:hAnsi="Arial"/>
                <w:sz w:val="12"/>
                <w:szCs w:val="12"/>
                <w:color w:val="auto"/>
              </w:rPr>
              <w:t>779</w:t>
            </w:r>
          </w:p>
        </w:tc>
        <w:tc>
          <w:tcPr>
            <w:tcW w:w="2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2"/>
                <w:szCs w:val="12"/>
                <w:color w:val="auto"/>
              </w:rPr>
              <w:t>7</w:t>
            </w:r>
          </w:p>
        </w:tc>
        <w:tc>
          <w:tcPr>
            <w:tcW w:w="120" w:type="dxa"/>
            <w:vAlign w:val="bottom"/>
          </w:tcPr>
          <w:p>
            <w:pPr>
              <w:jc w:val="right"/>
              <w:spacing w:after="0" w:line="124"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Upfront payments</w:t>
            </w: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155</w:t>
            </w:r>
          </w:p>
        </w:tc>
        <w:tc>
          <w:tcPr>
            <w:tcW w:w="28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61</w:t>
            </w:r>
          </w:p>
        </w:tc>
        <w:tc>
          <w:tcPr>
            <w:tcW w:w="260" w:type="dxa"/>
            <w:vAlign w:val="bottom"/>
          </w:tcPr>
          <w:p>
            <w:pPr>
              <w:spacing w:after="0"/>
              <w:rPr>
                <w:sz w:val="11"/>
                <w:szCs w:val="11"/>
                <w:color w:val="auto"/>
              </w:rPr>
            </w:pPr>
          </w:p>
        </w:tc>
        <w:tc>
          <w:tcPr>
            <w:tcW w:w="1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154 %</w:t>
            </w:r>
          </w:p>
        </w:tc>
        <w:tc>
          <w:tcPr>
            <w:tcW w:w="0" w:type="dxa"/>
            <w:vAlign w:val="bottom"/>
          </w:tcPr>
          <w:p>
            <w:pPr>
              <w:spacing w:after="0"/>
              <w:rPr>
                <w:sz w:val="1"/>
                <w:szCs w:val="1"/>
                <w:color w:val="auto"/>
              </w:rPr>
            </w:pPr>
          </w:p>
        </w:tc>
      </w:tr>
      <w:tr>
        <w:trPr>
          <w:trHeight w:val="149"/>
        </w:trPr>
        <w:tc>
          <w:tcPr>
            <w:tcW w:w="4900" w:type="dxa"/>
            <w:vAlign w:val="bottom"/>
            <w:gridSpan w:val="2"/>
          </w:tcPr>
          <w:p>
            <w:pPr>
              <w:spacing w:after="0"/>
              <w:rPr>
                <w:sz w:val="20"/>
                <w:szCs w:val="20"/>
                <w:color w:val="auto"/>
              </w:rPr>
            </w:pPr>
            <w:r>
              <w:rPr>
                <w:rFonts w:ascii="Arial" w:cs="Arial" w:eastAsia="Arial" w:hAnsi="Arial"/>
                <w:sz w:val="12"/>
                <w:szCs w:val="12"/>
                <w:color w:val="auto"/>
              </w:rPr>
              <w:t>Personnel, unallocated costs and overhead</w:t>
            </w:r>
          </w:p>
        </w:tc>
        <w:tc>
          <w:tcPr>
            <w:tcW w:w="1100" w:type="dxa"/>
            <w:vAlign w:val="bottom"/>
          </w:tcPr>
          <w:p>
            <w:pPr>
              <w:jc w:val="right"/>
              <w:spacing w:after="0"/>
              <w:rPr>
                <w:sz w:val="20"/>
                <w:szCs w:val="20"/>
                <w:color w:val="auto"/>
              </w:rPr>
            </w:pPr>
            <w:r>
              <w:rPr>
                <w:rFonts w:ascii="Arial" w:cs="Arial" w:eastAsia="Arial" w:hAnsi="Arial"/>
                <w:sz w:val="12"/>
                <w:szCs w:val="12"/>
                <w:color w:val="auto"/>
              </w:rPr>
              <w:t>2,113</w:t>
            </w: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1,566</w:t>
            </w:r>
          </w:p>
        </w:tc>
        <w:tc>
          <w:tcPr>
            <w:tcW w:w="2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35 %</w:t>
            </w: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Total research and development expenses</w:t>
            </w: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5,562</w:t>
            </w:r>
          </w:p>
        </w:tc>
        <w:tc>
          <w:tcPr>
            <w:tcW w:w="28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4,181</w:t>
            </w:r>
          </w:p>
        </w:tc>
        <w:tc>
          <w:tcPr>
            <w:tcW w:w="2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33</w:t>
            </w:r>
          </w:p>
        </w:tc>
        <w:tc>
          <w:tcPr>
            <w:tcW w:w="1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Third-party costs for epcoritamab increased by DKK 461 million, or 70%, in 2022 as compared to 2021, primarily due to the advancement of the program to late-stage development under Genmab’s collaboration with AbbVie.</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4" w:name="page55"/>
    <w:bookmarkEnd w:id="5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Third-party costs for tisotumab vedotin decreased by DKK 46 million, or 13%, in 2022 as compared to 2021, primarily due to the completion of some clinical studies in 2022.</w:t>
      </w:r>
    </w:p>
    <w:p>
      <w:pPr>
        <w:spacing w:after="0" w:line="103"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Third-party costs for DuoBody-PD-L1x4-1BB remained flat in 2022 compared to 2021 as development of this program continues under Genmab’s collaboration with BioNTech.</w:t>
      </w:r>
    </w:p>
    <w:p>
      <w:pPr>
        <w:spacing w:after="0" w:line="103" w:lineRule="exact"/>
        <w:rPr>
          <w:sz w:val="20"/>
          <w:szCs w:val="20"/>
          <w:color w:val="auto"/>
        </w:rPr>
      </w:pPr>
    </w:p>
    <w:p>
      <w:pPr>
        <w:ind w:left="20" w:right="299"/>
        <w:spacing w:after="0" w:line="273" w:lineRule="auto"/>
        <w:rPr>
          <w:sz w:val="20"/>
          <w:szCs w:val="20"/>
          <w:color w:val="auto"/>
        </w:rPr>
      </w:pPr>
      <w:r>
        <w:rPr>
          <w:rFonts w:ascii="Arial" w:cs="Arial" w:eastAsia="Arial" w:hAnsi="Arial"/>
          <w:sz w:val="12"/>
          <w:szCs w:val="12"/>
          <w:color w:val="auto"/>
        </w:rPr>
        <w:t>Third-party costs for DuoBody-CD40x4-1BB increased by DKK 107 million, or 79%, in 2022 as compared to 2021, primarily due to the continued advancement and expansion of the program under Genmab’s collaboration with BioNTech.</w:t>
      </w:r>
    </w:p>
    <w:p>
      <w:pPr>
        <w:spacing w:after="0" w:line="103" w:lineRule="exact"/>
        <w:rPr>
          <w:sz w:val="20"/>
          <w:szCs w:val="20"/>
          <w:color w:val="auto"/>
        </w:rPr>
      </w:pPr>
    </w:p>
    <w:p>
      <w:pPr>
        <w:ind w:left="20" w:right="39"/>
        <w:spacing w:after="0" w:line="273" w:lineRule="auto"/>
        <w:rPr>
          <w:sz w:val="20"/>
          <w:szCs w:val="20"/>
          <w:color w:val="auto"/>
        </w:rPr>
      </w:pPr>
      <w:r>
        <w:rPr>
          <w:rFonts w:ascii="Arial" w:cs="Arial" w:eastAsia="Arial" w:hAnsi="Arial"/>
          <w:sz w:val="12"/>
          <w:szCs w:val="12"/>
          <w:color w:val="auto"/>
        </w:rPr>
        <w:t>Third-party costs for Genmab’s other clinical stage programs increased by DKK 169 million, or 68%, in 2022 as compared to 2021, primarily related to HexaBody-CD27, DuoBody-CD3xB7H4 and GEN1056 entering the clinical stage in 2022.</w:t>
      </w:r>
    </w:p>
    <w:p>
      <w:pPr>
        <w:spacing w:after="0" w:line="103"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Research and development expenses related to our pre-clinical projects increased by DKK 51 million, or 7%, in 2022 as compared to 2021, driven by the continued investment in and number of pre-clinical programs.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Upfront payments increased by DKK 94 million, or 154%, driven by an increase in the number of R&amp;D license payments in 2022 as compared to 2021.</w:t>
      </w:r>
    </w:p>
    <w:p>
      <w:pPr>
        <w:spacing w:after="0" w:line="14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Personnel, unallocated costs and overhead increased by DKK 547 million, or 35%, in 2022 as compared to 2021, primarily due to an increase in staffing levels and the expansion of our facilities to accommodate our growth. Our research and development FTEs increased from 927 at the end of 2021 to 1,193 at the end of 2022.</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0" w:lineRule="exact"/>
        <w:rPr>
          <w:sz w:val="20"/>
          <w:szCs w:val="20"/>
          <w:color w:val="auto"/>
        </w:rPr>
      </w:pPr>
    </w:p>
    <w:p>
      <w:pPr>
        <w:ind w:left="20" w:right="59"/>
        <w:spacing w:after="0" w:line="244" w:lineRule="auto"/>
        <w:rPr>
          <w:sz w:val="20"/>
          <w:szCs w:val="20"/>
          <w:color w:val="auto"/>
        </w:rPr>
      </w:pPr>
      <w:r>
        <w:rPr>
          <w:rFonts w:ascii="Arial" w:cs="Arial" w:eastAsia="Arial" w:hAnsi="Arial"/>
          <w:sz w:val="12"/>
          <w:szCs w:val="12"/>
          <w:color w:val="auto"/>
        </w:rPr>
        <w:t>Selling, general and administrative expenses were DKK 2,676 million in 2022 compared to DKK 1,283 million in 2021. The increase of DKK 1,393 million, or 109%, was driven by the increase in team members to support Tivdak post launch, continued expansion of Genmab’s commercialization capabilities in support of future launches including the potential launch of epcoritamab, and investment in broader organizational infrastructure, including our technology portfolio.</w:t>
      </w:r>
    </w:p>
    <w:p>
      <w:pPr>
        <w:spacing w:after="0" w:line="111" w:lineRule="exact"/>
        <w:rPr>
          <w:sz w:val="20"/>
          <w:szCs w:val="20"/>
          <w:color w:val="auto"/>
        </w:rPr>
      </w:pPr>
    </w:p>
    <w:p>
      <w:pPr>
        <w:ind w:left="20" w:right="79"/>
        <w:spacing w:after="0" w:line="273" w:lineRule="auto"/>
        <w:rPr>
          <w:sz w:val="20"/>
          <w:szCs w:val="20"/>
          <w:color w:val="auto"/>
        </w:rPr>
      </w:pPr>
      <w:r>
        <w:rPr>
          <w:rFonts w:ascii="Arial" w:cs="Arial" w:eastAsia="Arial" w:hAnsi="Arial"/>
          <w:sz w:val="12"/>
          <w:szCs w:val="12"/>
          <w:color w:val="auto"/>
        </w:rPr>
        <w:t>DKK 1,065 million, or 40% of selling, general and administrative expenses in 2022, was related to compensation of Genmab team members involved in selling, general and administrative activities, as compared to DKK 529 million, or 41% in 2021.</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Selling, general and administrative expenses accounted for 32% of the total operating expenses in 2022 compared to 23% in 2021.</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OPERATING PROFIT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profit was DKK 6,357 million in 2022 compared to DKK 3,018 million in 2021, an increase of DKK 3,339 million, or 111%.</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5" w:name="page56"/>
    <w:bookmarkEnd w:id="5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NET FINANCIAL ITEMS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financial items were comprised of the following:</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6100" w:type="dxa"/>
            <w:vAlign w:val="bottom"/>
          </w:tcPr>
          <w:p>
            <w:pPr>
              <w:spacing w:after="0"/>
              <w:rPr>
                <w:sz w:val="20"/>
                <w:szCs w:val="20"/>
                <w:color w:val="auto"/>
              </w:rPr>
            </w:pPr>
            <w:r>
              <w:rPr>
                <w:rFonts w:ascii="Arial" w:cs="Arial" w:eastAsia="Arial" w:hAnsi="Arial"/>
                <w:sz w:val="11"/>
                <w:szCs w:val="11"/>
                <w:b w:val="1"/>
                <w:bCs w:val="1"/>
                <w:color w:val="auto"/>
              </w:rPr>
              <w:t>(DKK million)</w:t>
            </w:r>
          </w:p>
        </w:tc>
        <w:tc>
          <w:tcPr>
            <w:tcW w:w="140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1"/>
                <w:szCs w:val="11"/>
                <w:color w:val="auto"/>
              </w:rPr>
            </w:pPr>
          </w:p>
        </w:tc>
        <w:tc>
          <w:tcPr>
            <w:tcW w:w="140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2021</w:t>
            </w:r>
          </w:p>
        </w:tc>
      </w:tr>
      <w:tr>
        <w:trPr>
          <w:trHeight w:val="107"/>
        </w:trPr>
        <w:tc>
          <w:tcPr>
            <w:tcW w:w="6100" w:type="dxa"/>
            <w:vAlign w:val="bottom"/>
          </w:tcPr>
          <w:p>
            <w:pPr>
              <w:spacing w:after="0" w:line="107" w:lineRule="exact"/>
              <w:rPr>
                <w:sz w:val="20"/>
                <w:szCs w:val="20"/>
                <w:color w:val="auto"/>
              </w:rPr>
            </w:pPr>
            <w:r>
              <w:rPr>
                <w:rFonts w:ascii="Arial" w:cs="Arial" w:eastAsia="Arial" w:hAnsi="Arial"/>
                <w:sz w:val="11"/>
                <w:szCs w:val="11"/>
                <w:b w:val="1"/>
                <w:bCs w:val="1"/>
                <w:color w:val="auto"/>
              </w:rPr>
              <w:t>Financial income:</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27"/>
        </w:trPr>
        <w:tc>
          <w:tcPr>
            <w:tcW w:w="6100" w:type="dxa"/>
            <w:vAlign w:val="bottom"/>
          </w:tcPr>
          <w:p>
            <w:pPr>
              <w:spacing w:after="0"/>
              <w:rPr>
                <w:sz w:val="20"/>
                <w:szCs w:val="20"/>
                <w:color w:val="auto"/>
              </w:rPr>
            </w:pPr>
            <w:r>
              <w:rPr>
                <w:rFonts w:ascii="Arial" w:cs="Arial" w:eastAsia="Arial" w:hAnsi="Arial"/>
                <w:sz w:val="11"/>
                <w:szCs w:val="11"/>
                <w:color w:val="auto"/>
              </w:rPr>
              <w:t>Interest and other financial income</w:t>
            </w:r>
          </w:p>
        </w:tc>
        <w:tc>
          <w:tcPr>
            <w:tcW w:w="1400" w:type="dxa"/>
            <w:vAlign w:val="bottom"/>
          </w:tcPr>
          <w:p>
            <w:pPr>
              <w:jc w:val="right"/>
              <w:spacing w:after="0"/>
              <w:rPr>
                <w:sz w:val="20"/>
                <w:szCs w:val="20"/>
                <w:color w:val="auto"/>
              </w:rPr>
            </w:pPr>
            <w:r>
              <w:rPr>
                <w:rFonts w:ascii="Arial" w:cs="Arial" w:eastAsia="Arial" w:hAnsi="Arial"/>
                <w:sz w:val="11"/>
                <w:szCs w:val="11"/>
                <w:color w:val="auto"/>
              </w:rPr>
              <w:t>324</w:t>
            </w: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197</w:t>
            </w:r>
          </w:p>
        </w:tc>
      </w:tr>
      <w:tr>
        <w:trPr>
          <w:trHeight w:val="136"/>
        </w:trPr>
        <w:tc>
          <w:tcPr>
            <w:tcW w:w="6100" w:type="dxa"/>
            <w:vAlign w:val="bottom"/>
          </w:tcPr>
          <w:p>
            <w:pPr>
              <w:spacing w:after="0"/>
              <w:rPr>
                <w:sz w:val="20"/>
                <w:szCs w:val="20"/>
                <w:color w:val="auto"/>
              </w:rPr>
            </w:pPr>
            <w:r>
              <w:rPr>
                <w:rFonts w:ascii="Arial" w:cs="Arial" w:eastAsia="Arial" w:hAnsi="Arial"/>
                <w:sz w:val="11"/>
                <w:szCs w:val="11"/>
                <w:color w:val="auto"/>
              </w:rPr>
              <w:t>Foreign exchange rate gain, net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1,034</w:t>
            </w:r>
          </w:p>
        </w:tc>
        <w:tc>
          <w:tcPr>
            <w:tcW w:w="60" w:type="dxa"/>
            <w:vAlign w:val="bottom"/>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w:t>
            </w:r>
          </w:p>
        </w:tc>
      </w:tr>
      <w:tr>
        <w:trPr>
          <w:trHeight w:val="243"/>
        </w:trPr>
        <w:tc>
          <w:tcPr>
            <w:tcW w:w="6100" w:type="dxa"/>
            <w:vAlign w:val="bottom"/>
          </w:tcPr>
          <w:p>
            <w:pPr>
              <w:spacing w:after="0"/>
              <w:rPr>
                <w:sz w:val="20"/>
                <w:szCs w:val="20"/>
                <w:color w:val="auto"/>
              </w:rPr>
            </w:pPr>
            <w:r>
              <w:rPr>
                <w:rFonts w:ascii="Arial" w:cs="Arial" w:eastAsia="Arial" w:hAnsi="Arial"/>
                <w:sz w:val="11"/>
                <w:szCs w:val="11"/>
                <w:b w:val="1"/>
                <w:bCs w:val="1"/>
                <w:color w:val="auto"/>
              </w:rPr>
              <w:t>Total financial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1,358</w:t>
            </w:r>
          </w:p>
        </w:tc>
        <w:tc>
          <w:tcPr>
            <w:tcW w:w="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1,667</w:t>
            </w:r>
          </w:p>
        </w:tc>
      </w:tr>
      <w:tr>
        <w:trPr>
          <w:trHeight w:val="361"/>
        </w:trPr>
        <w:tc>
          <w:tcPr>
            <w:tcW w:w="6100" w:type="dxa"/>
            <w:vAlign w:val="bottom"/>
          </w:tcPr>
          <w:p>
            <w:pPr>
              <w:spacing w:after="0"/>
              <w:rPr>
                <w:sz w:val="20"/>
                <w:szCs w:val="20"/>
                <w:color w:val="auto"/>
              </w:rPr>
            </w:pPr>
            <w:r>
              <w:rPr>
                <w:rFonts w:ascii="Arial" w:cs="Arial" w:eastAsia="Arial" w:hAnsi="Arial"/>
                <w:sz w:val="11"/>
                <w:szCs w:val="11"/>
                <w:b w:val="1"/>
                <w:bCs w:val="1"/>
                <w:color w:val="auto"/>
              </w:rPr>
              <w:t>Financial expenses: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27"/>
        </w:trPr>
        <w:tc>
          <w:tcPr>
            <w:tcW w:w="6100" w:type="dxa"/>
            <w:vAlign w:val="bottom"/>
          </w:tcPr>
          <w:p>
            <w:pPr>
              <w:spacing w:after="0"/>
              <w:rPr>
                <w:sz w:val="20"/>
                <w:szCs w:val="20"/>
                <w:color w:val="auto"/>
              </w:rPr>
            </w:pPr>
            <w:r>
              <w:rPr>
                <w:rFonts w:ascii="Arial" w:cs="Arial" w:eastAsia="Arial" w:hAnsi="Arial"/>
                <w:sz w:val="11"/>
                <w:szCs w:val="11"/>
                <w:color w:val="auto"/>
              </w:rPr>
              <w:t>Interest and other financial expenses</w:t>
            </w:r>
          </w:p>
        </w:tc>
        <w:tc>
          <w:tcPr>
            <w:tcW w:w="1460" w:type="dxa"/>
            <w:vAlign w:val="bottom"/>
            <w:gridSpan w:val="2"/>
          </w:tcPr>
          <w:p>
            <w:pPr>
              <w:jc w:val="right"/>
              <w:ind w:right="60"/>
              <w:spacing w:after="0"/>
              <w:rPr>
                <w:sz w:val="20"/>
                <w:szCs w:val="20"/>
                <w:color w:val="auto"/>
              </w:rPr>
            </w:pPr>
            <w:r>
              <w:rPr>
                <w:rFonts w:ascii="Arial" w:cs="Arial" w:eastAsia="Arial" w:hAnsi="Arial"/>
                <w:sz w:val="11"/>
                <w:szCs w:val="11"/>
                <w:color w:val="auto"/>
              </w:rPr>
              <w:t>(21)</w:t>
            </w:r>
          </w:p>
        </w:tc>
        <w:tc>
          <w:tcPr>
            <w:tcW w:w="140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27"/>
        </w:trPr>
        <w:tc>
          <w:tcPr>
            <w:tcW w:w="6100" w:type="dxa"/>
            <w:vAlign w:val="bottom"/>
          </w:tcPr>
          <w:p>
            <w:pPr>
              <w:spacing w:after="0"/>
              <w:rPr>
                <w:sz w:val="20"/>
                <w:szCs w:val="20"/>
                <w:color w:val="auto"/>
              </w:rPr>
            </w:pPr>
            <w:r>
              <w:rPr>
                <w:rFonts w:ascii="Arial" w:cs="Arial" w:eastAsia="Arial" w:hAnsi="Arial"/>
                <w:sz w:val="11"/>
                <w:szCs w:val="11"/>
                <w:color w:val="auto"/>
              </w:rPr>
              <w:t>Loss on marketable securities, net</w:t>
            </w:r>
          </w:p>
        </w:tc>
        <w:tc>
          <w:tcPr>
            <w:tcW w:w="1460" w:type="dxa"/>
            <w:vAlign w:val="bottom"/>
            <w:gridSpan w:val="2"/>
          </w:tcPr>
          <w:p>
            <w:pPr>
              <w:jc w:val="right"/>
              <w:ind w:right="60"/>
              <w:spacing w:after="0"/>
              <w:rPr>
                <w:sz w:val="20"/>
                <w:szCs w:val="20"/>
                <w:color w:val="auto"/>
              </w:rPr>
            </w:pPr>
            <w:r>
              <w:rPr>
                <w:rFonts w:ascii="Arial" w:cs="Arial" w:eastAsia="Arial" w:hAnsi="Arial"/>
                <w:sz w:val="11"/>
                <w:szCs w:val="11"/>
                <w:color w:val="auto"/>
              </w:rPr>
              <w:t>(361)</w:t>
            </w:r>
          </w:p>
        </w:tc>
        <w:tc>
          <w:tcPr>
            <w:tcW w:w="1400" w:type="dxa"/>
            <w:vAlign w:val="bottom"/>
          </w:tcPr>
          <w:p>
            <w:pPr>
              <w:jc w:val="right"/>
              <w:spacing w:after="0"/>
              <w:rPr>
                <w:sz w:val="20"/>
                <w:szCs w:val="20"/>
                <w:color w:val="auto"/>
              </w:rPr>
            </w:pPr>
            <w:r>
              <w:rPr>
                <w:rFonts w:ascii="Arial" w:cs="Arial" w:eastAsia="Arial" w:hAnsi="Arial"/>
                <w:sz w:val="11"/>
                <w:szCs w:val="11"/>
                <w:color w:val="auto"/>
              </w:rPr>
              <w:t>(246)</w:t>
            </w:r>
          </w:p>
        </w:tc>
      </w:tr>
      <w:tr>
        <w:trPr>
          <w:trHeight w:val="136"/>
        </w:trPr>
        <w:tc>
          <w:tcPr>
            <w:tcW w:w="6100" w:type="dxa"/>
            <w:vAlign w:val="bottom"/>
          </w:tcPr>
          <w:p>
            <w:pPr>
              <w:spacing w:after="0"/>
              <w:rPr>
                <w:sz w:val="20"/>
                <w:szCs w:val="20"/>
                <w:color w:val="auto"/>
              </w:rPr>
            </w:pPr>
            <w:r>
              <w:rPr>
                <w:rFonts w:ascii="Arial" w:cs="Arial" w:eastAsia="Arial" w:hAnsi="Arial"/>
                <w:sz w:val="11"/>
                <w:szCs w:val="11"/>
                <w:color w:val="auto"/>
              </w:rPr>
              <w:t>Loss on other investments, net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c>
          <w:tcPr>
            <w:tcW w:w="60" w:type="dxa"/>
            <w:vAlign w:val="bottom"/>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w:t>
            </w:r>
          </w:p>
        </w:tc>
      </w:tr>
      <w:tr>
        <w:trPr>
          <w:trHeight w:val="243"/>
        </w:trPr>
        <w:tc>
          <w:tcPr>
            <w:tcW w:w="6100" w:type="dxa"/>
            <w:vAlign w:val="bottom"/>
          </w:tcPr>
          <w:p>
            <w:pPr>
              <w:spacing w:after="0"/>
              <w:rPr>
                <w:sz w:val="20"/>
                <w:szCs w:val="20"/>
                <w:color w:val="auto"/>
              </w:rPr>
            </w:pPr>
            <w:r>
              <w:rPr>
                <w:rFonts w:ascii="Arial" w:cs="Arial" w:eastAsia="Arial" w:hAnsi="Arial"/>
                <w:sz w:val="11"/>
                <w:szCs w:val="11"/>
                <w:b w:val="1"/>
                <w:bCs w:val="1"/>
                <w:color w:val="auto"/>
              </w:rPr>
              <w:t>Total financial expenses</w:t>
            </w:r>
          </w:p>
        </w:tc>
        <w:tc>
          <w:tcPr>
            <w:tcW w:w="14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(680)</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(702)</w:t>
            </w:r>
          </w:p>
        </w:tc>
      </w:tr>
      <w:tr>
        <w:trPr>
          <w:trHeight w:val="243"/>
        </w:trPr>
        <w:tc>
          <w:tcPr>
            <w:tcW w:w="6100" w:type="dxa"/>
            <w:vAlign w:val="bottom"/>
          </w:tcPr>
          <w:p>
            <w:pPr>
              <w:spacing w:after="0"/>
              <w:rPr>
                <w:sz w:val="20"/>
                <w:szCs w:val="20"/>
                <w:color w:val="auto"/>
              </w:rPr>
            </w:pPr>
            <w:r>
              <w:rPr>
                <w:rFonts w:ascii="Arial" w:cs="Arial" w:eastAsia="Arial" w:hAnsi="Arial"/>
                <w:sz w:val="11"/>
                <w:szCs w:val="11"/>
                <w:b w:val="1"/>
                <w:bCs w:val="1"/>
                <w:color w:val="auto"/>
              </w:rPr>
              <w:t>Net financial items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678</w:t>
            </w:r>
          </w:p>
        </w:tc>
        <w:tc>
          <w:tcPr>
            <w:tcW w:w="6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965</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financial items decreased by DKK 287 million, or 30%, which were primarily driven by:</w:t>
      </w:r>
    </w:p>
    <w:p>
      <w:pPr>
        <w:spacing w:after="0" w:line="143" w:lineRule="exact"/>
        <w:rPr>
          <w:sz w:val="20"/>
          <w:szCs w:val="20"/>
          <w:color w:val="auto"/>
        </w:rPr>
      </w:pPr>
    </w:p>
    <w:p>
      <w:pPr>
        <w:ind w:left="480" w:right="399" w:hanging="222"/>
        <w:spacing w:after="0" w:line="272" w:lineRule="auto"/>
        <w:tabs>
          <w:tab w:leader="none" w:pos="480" w:val="left"/>
        </w:tabs>
        <w:numPr>
          <w:ilvl w:val="0"/>
          <w:numId w:val="68"/>
        </w:numPr>
        <w:rPr>
          <w:rFonts w:ascii="Times New Roman" w:cs="Times New Roman" w:eastAsia="Times New Roman" w:hAnsi="Times New Roman"/>
          <w:sz w:val="12"/>
          <w:szCs w:val="12"/>
          <w:color w:val="auto"/>
        </w:rPr>
      </w:pPr>
      <w:r>
        <w:rPr>
          <w:rFonts w:ascii="Arial" w:cs="Arial" w:eastAsia="Arial" w:hAnsi="Arial"/>
          <w:sz w:val="12"/>
          <w:szCs w:val="12"/>
          <w:color w:val="auto"/>
        </w:rPr>
        <w:t>Foreign exchange movements impacting Genmab’s USD denominated marketable securities and cash and cash equivalents; in particular, the USD/DKK foreign exchange rate increased 8% from year-end 2020 to year-end 2021 as compared to only 6% from year-end 2021 to year-end 2022,</w:t>
      </w:r>
    </w:p>
    <w:p>
      <w:pPr>
        <w:spacing w:after="0" w:line="103"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68"/>
        </w:numPr>
        <w:rPr>
          <w:rFonts w:ascii="Times New Roman" w:cs="Times New Roman" w:eastAsia="Times New Roman" w:hAnsi="Times New Roman"/>
          <w:sz w:val="12"/>
          <w:szCs w:val="12"/>
          <w:color w:val="auto"/>
        </w:rPr>
      </w:pPr>
      <w:r>
        <w:rPr>
          <w:rFonts w:ascii="Arial" w:cs="Arial" w:eastAsia="Arial" w:hAnsi="Arial"/>
          <w:sz w:val="12"/>
          <w:szCs w:val="12"/>
          <w:color w:val="auto"/>
        </w:rPr>
        <w:t>Loss on marketable securities driven by higher interest rates on Genmab’s Danish mortgage investments in 2022 as compared to 2021, partly offset by,</w:t>
      </w:r>
    </w:p>
    <w:p>
      <w:pPr>
        <w:spacing w:after="0" w:line="151" w:lineRule="exact"/>
        <w:rPr>
          <w:rFonts w:ascii="Times New Roman" w:cs="Times New Roman" w:eastAsia="Times New Roman" w:hAnsi="Times New Roman"/>
          <w:sz w:val="12"/>
          <w:szCs w:val="12"/>
          <w:color w:val="auto"/>
        </w:rPr>
      </w:pPr>
    </w:p>
    <w:p>
      <w:pPr>
        <w:ind w:left="480" w:right="319" w:hanging="222"/>
        <w:spacing w:after="0" w:line="272" w:lineRule="auto"/>
        <w:tabs>
          <w:tab w:leader="none" w:pos="480" w:val="left"/>
        </w:tabs>
        <w:numPr>
          <w:ilvl w:val="0"/>
          <w:numId w:val="68"/>
        </w:numPr>
        <w:rPr>
          <w:rFonts w:ascii="Times New Roman" w:cs="Times New Roman" w:eastAsia="Times New Roman" w:hAnsi="Times New Roman"/>
          <w:sz w:val="12"/>
          <w:szCs w:val="12"/>
          <w:color w:val="auto"/>
        </w:rPr>
      </w:pPr>
      <w:r>
        <w:rPr>
          <w:rFonts w:ascii="Arial" w:cs="Arial" w:eastAsia="Arial" w:hAnsi="Arial"/>
          <w:sz w:val="12"/>
          <w:szCs w:val="12"/>
          <w:color w:val="auto"/>
        </w:rPr>
        <w:t>Lower loss on other investments in 2022 as compared to 2021 driven primarily by the decrease in fair value of Genmab’s investment in common shares of CureVac, and</w:t>
      </w:r>
    </w:p>
    <w:p>
      <w:pPr>
        <w:spacing w:after="0" w:line="103"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68"/>
        </w:numPr>
        <w:rPr>
          <w:rFonts w:ascii="Times New Roman" w:cs="Times New Roman" w:eastAsia="Times New Roman" w:hAnsi="Times New Roman"/>
          <w:sz w:val="12"/>
          <w:szCs w:val="12"/>
          <w:color w:val="auto"/>
        </w:rPr>
      </w:pPr>
      <w:r>
        <w:rPr>
          <w:rFonts w:ascii="Arial" w:cs="Arial" w:eastAsia="Arial" w:hAnsi="Arial"/>
          <w:sz w:val="12"/>
          <w:szCs w:val="12"/>
          <w:color w:val="auto"/>
        </w:rPr>
        <w:t>Increase in interest income due to higher effective interest rates in the U.S., Europe and Denmark in 2022 as compared to 2021.</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Notes 4.2 and 4.5 for further details regarding foreign currency risk and net financial items, respectively.</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CORPORATE TAX</w:t>
      </w:r>
    </w:p>
    <w:p>
      <w:pPr>
        <w:spacing w:after="0" w:line="10" w:lineRule="exact"/>
        <w:rPr>
          <w:sz w:val="20"/>
          <w:szCs w:val="20"/>
          <w:color w:val="auto"/>
        </w:rPr>
      </w:pPr>
    </w:p>
    <w:p>
      <w:pPr>
        <w:ind w:left="20" w:right="179"/>
        <w:spacing w:after="0" w:line="241" w:lineRule="auto"/>
        <w:rPr>
          <w:sz w:val="20"/>
          <w:szCs w:val="20"/>
          <w:color w:val="auto"/>
        </w:rPr>
      </w:pPr>
      <w:r>
        <w:rPr>
          <w:rFonts w:ascii="Arial" w:cs="Arial" w:eastAsia="Arial" w:hAnsi="Arial"/>
          <w:sz w:val="12"/>
          <w:szCs w:val="12"/>
          <w:color w:val="auto"/>
        </w:rPr>
        <w:t>Corporate tax expense for 2022 was DKK 1,513 million compared to DKK 975 million for 2021. The increase in corporate tax expense is primarily the result of Genmab’s higher net profit before tax. The effective tax rate in 2022 was 21.5% compared to 24.5% in 2021. The decrease in Genmab’s effective tax rate was mainly driven by the ability to offset current taxable income through the deduction of capitalized R&amp;D costs in the Netherlands and utilization of U.S. net operating loss carryforwards.</w:t>
      </w:r>
    </w:p>
    <w:p>
      <w:pPr>
        <w:spacing w:after="0" w:line="114" w:lineRule="exact"/>
        <w:rPr>
          <w:sz w:val="20"/>
          <w:szCs w:val="20"/>
          <w:color w:val="auto"/>
        </w:rPr>
      </w:pPr>
    </w:p>
    <w:p>
      <w:pPr>
        <w:ind w:left="20" w:right="559"/>
        <w:spacing w:after="0" w:line="365" w:lineRule="auto"/>
        <w:rPr>
          <w:sz w:val="20"/>
          <w:szCs w:val="20"/>
          <w:color w:val="auto"/>
        </w:rPr>
      </w:pPr>
      <w:r>
        <w:rPr>
          <w:rFonts w:ascii="Arial" w:cs="Arial" w:eastAsia="Arial" w:hAnsi="Arial"/>
          <w:sz w:val="12"/>
          <w:szCs w:val="12"/>
          <w:color w:val="029C93"/>
        </w:rPr>
        <w:t xml:space="preserve">Refer to Note 2.4 for additional information regarding the corporate tax and deferred tax assets including management’s significant judgements and estimates. </w:t>
      </w:r>
      <w:r>
        <w:rPr>
          <w:rFonts w:ascii="Arial" w:cs="Arial" w:eastAsia="Arial" w:hAnsi="Arial"/>
          <w:sz w:val="12"/>
          <w:szCs w:val="12"/>
          <w:b w:val="1"/>
          <w:bCs w:val="1"/>
          <w:color w:val="029C93"/>
        </w:rPr>
        <w:t>NET PROFIT</w:t>
      </w:r>
    </w:p>
    <w:p>
      <w:pPr>
        <w:ind w:left="20" w:right="419"/>
        <w:spacing w:after="0" w:line="252" w:lineRule="auto"/>
        <w:rPr>
          <w:sz w:val="20"/>
          <w:szCs w:val="20"/>
          <w:color w:val="auto"/>
        </w:rPr>
      </w:pPr>
      <w:r>
        <w:rPr>
          <w:rFonts w:ascii="Arial" w:cs="Arial" w:eastAsia="Arial" w:hAnsi="Arial"/>
          <w:sz w:val="12"/>
          <w:szCs w:val="12"/>
          <w:color w:val="auto"/>
        </w:rPr>
        <w:t>Net profit for 2022 was DKK 5,522 million compared to DKK 3,008 million in 2021. The increase of DKK 2,514 million, or 84%, was driven by the items described above.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6" w:name="page57"/>
    <w:bookmarkEnd w:id="5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4920" w:type="dxa"/>
            <w:vAlign w:val="bottom"/>
          </w:tcPr>
          <w:p>
            <w:pPr>
              <w:spacing w:after="0"/>
              <w:rPr>
                <w:sz w:val="20"/>
                <w:szCs w:val="20"/>
                <w:color w:val="auto"/>
              </w:rPr>
            </w:pPr>
            <w:r>
              <w:rPr>
                <w:rFonts w:ascii="Arial" w:cs="Arial" w:eastAsia="Arial" w:hAnsi="Arial"/>
                <w:sz w:val="12"/>
                <w:szCs w:val="12"/>
                <w:b w:val="1"/>
                <w:bCs w:val="1"/>
                <w:color w:val="029C93"/>
              </w:rPr>
              <w:t>LIQUIDITY AND CAPITAL RESOURCES</w:t>
            </w: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4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(DKK million)</w:t>
            </w:r>
          </w:p>
        </w:tc>
        <w:tc>
          <w:tcPr>
            <w:tcW w:w="2660" w:type="dxa"/>
            <w:vAlign w:val="bottom"/>
            <w:gridSpan w:val="2"/>
          </w:tcPr>
          <w:p>
            <w:pPr>
              <w:ind w:left="1620"/>
              <w:spacing w:after="0"/>
              <w:rPr>
                <w:sz w:val="20"/>
                <w:szCs w:val="20"/>
                <w:color w:val="auto"/>
              </w:rPr>
            </w:pPr>
            <w:r>
              <w:rPr>
                <w:rFonts w:ascii="Arial" w:cs="Arial" w:eastAsia="Arial" w:hAnsi="Arial"/>
                <w:sz w:val="12"/>
                <w:szCs w:val="12"/>
                <w:b w:val="1"/>
                <w:bCs w:val="1"/>
                <w:color w:val="auto"/>
              </w:rPr>
              <w:t>December 31,</w:t>
            </w:r>
          </w:p>
        </w:tc>
        <w:tc>
          <w:tcPr>
            <w:tcW w:w="1380" w:type="dxa"/>
            <w:vAlign w:val="bottom"/>
            <w:vMerge w:val="restart"/>
          </w:tcPr>
          <w:p>
            <w:pPr>
              <w:jc w:val="right"/>
              <w:ind w:right="80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6"/>
        </w:trPr>
        <w:tc>
          <w:tcPr>
            <w:tcW w:w="4920" w:type="dxa"/>
            <w:vAlign w:val="bottom"/>
            <w:tcBorders>
              <w:bottom w:val="single" w:sz="8" w:color="auto"/>
            </w:tcBorders>
            <w:vMerge w:val="continue"/>
          </w:tcPr>
          <w:p>
            <w:pPr>
              <w:spacing w:after="0"/>
              <w:rPr>
                <w:sz w:val="11"/>
                <w:szCs w:val="11"/>
                <w:color w:val="auto"/>
              </w:rPr>
            </w:pPr>
          </w:p>
        </w:tc>
        <w:tc>
          <w:tcPr>
            <w:tcW w:w="2040" w:type="dxa"/>
            <w:vAlign w:val="bottom"/>
            <w:tcBorders>
              <w:bottom w:val="single" w:sz="8" w:color="auto"/>
            </w:tcBorders>
            <w:shd w:val="clear" w:color="auto" w:fill="E6E6E6"/>
          </w:tcPr>
          <w:p>
            <w:pPr>
              <w:jc w:val="right"/>
              <w:ind w:right="840"/>
              <w:spacing w:after="0" w:line="136" w:lineRule="exact"/>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920" w:type="dxa"/>
            <w:vAlign w:val="bottom"/>
          </w:tcPr>
          <w:p>
            <w:pPr>
              <w:ind w:left="80"/>
              <w:spacing w:after="0" w:line="113" w:lineRule="exact"/>
              <w:rPr>
                <w:sz w:val="20"/>
                <w:szCs w:val="20"/>
                <w:color w:val="auto"/>
              </w:rPr>
            </w:pPr>
            <w:r>
              <w:rPr>
                <w:rFonts w:ascii="Arial" w:cs="Arial" w:eastAsia="Arial" w:hAnsi="Arial"/>
                <w:sz w:val="12"/>
                <w:szCs w:val="12"/>
                <w:color w:val="auto"/>
              </w:rPr>
              <w:t>Marketable securities</w:t>
            </w:r>
          </w:p>
        </w:tc>
        <w:tc>
          <w:tcPr>
            <w:tcW w:w="2040" w:type="dxa"/>
            <w:vAlign w:val="bottom"/>
            <w:shd w:val="clear" w:color="auto" w:fill="E6E6E6"/>
          </w:tcPr>
          <w:p>
            <w:pPr>
              <w:jc w:val="right"/>
              <w:spacing w:after="0" w:line="113" w:lineRule="exact"/>
              <w:rPr>
                <w:sz w:val="20"/>
                <w:szCs w:val="20"/>
                <w:color w:val="auto"/>
              </w:rPr>
            </w:pPr>
            <w:r>
              <w:rPr>
                <w:rFonts w:ascii="Arial" w:cs="Arial" w:eastAsia="Arial" w:hAnsi="Arial"/>
                <w:sz w:val="12"/>
                <w:szCs w:val="12"/>
                <w:color w:val="auto"/>
              </w:rPr>
              <w:t>12,431</w:t>
            </w:r>
          </w:p>
        </w:tc>
        <w:tc>
          <w:tcPr>
            <w:tcW w:w="620" w:type="dxa"/>
            <w:vAlign w:val="bottom"/>
          </w:tcPr>
          <w:p>
            <w:pPr>
              <w:spacing w:after="0"/>
              <w:rPr>
                <w:sz w:val="9"/>
                <w:szCs w:val="9"/>
                <w:color w:val="auto"/>
              </w:rPr>
            </w:pPr>
          </w:p>
        </w:tc>
        <w:tc>
          <w:tcPr>
            <w:tcW w:w="1380" w:type="dxa"/>
            <w:vAlign w:val="bottom"/>
          </w:tcPr>
          <w:p>
            <w:pPr>
              <w:jc w:val="right"/>
              <w:spacing w:after="0" w:line="113" w:lineRule="exact"/>
              <w:rPr>
                <w:sz w:val="20"/>
                <w:szCs w:val="20"/>
                <w:color w:val="auto"/>
              </w:rPr>
            </w:pPr>
            <w:r>
              <w:rPr>
                <w:rFonts w:ascii="Arial" w:cs="Arial" w:eastAsia="Arial" w:hAnsi="Arial"/>
                <w:sz w:val="12"/>
                <w:szCs w:val="12"/>
                <w:color w:val="auto"/>
              </w:rPr>
              <w:t>10,381</w:t>
            </w:r>
          </w:p>
        </w:tc>
        <w:tc>
          <w:tcPr>
            <w:tcW w:w="0" w:type="dxa"/>
            <w:vAlign w:val="bottom"/>
          </w:tcPr>
          <w:p>
            <w:pPr>
              <w:spacing w:after="0"/>
              <w:rPr>
                <w:sz w:val="1"/>
                <w:szCs w:val="1"/>
                <w:color w:val="auto"/>
              </w:rPr>
            </w:pPr>
          </w:p>
        </w:tc>
      </w:tr>
      <w:tr>
        <w:trPr>
          <w:trHeight w:val="136"/>
        </w:trPr>
        <w:tc>
          <w:tcPr>
            <w:tcW w:w="4920" w:type="dxa"/>
            <w:vAlign w:val="bottom"/>
          </w:tcPr>
          <w:p>
            <w:pPr>
              <w:ind w:left="80"/>
              <w:spacing w:after="0" w:line="136" w:lineRule="exact"/>
              <w:rPr>
                <w:sz w:val="20"/>
                <w:szCs w:val="20"/>
                <w:color w:val="auto"/>
              </w:rPr>
            </w:pPr>
            <w:r>
              <w:rPr>
                <w:rFonts w:ascii="Arial" w:cs="Arial" w:eastAsia="Arial" w:hAnsi="Arial"/>
                <w:sz w:val="12"/>
                <w:szCs w:val="12"/>
                <w:color w:val="auto"/>
              </w:rPr>
              <w:t>Cash and cash equivalents</w:t>
            </w:r>
          </w:p>
        </w:tc>
        <w:tc>
          <w:tcPr>
            <w:tcW w:w="2040" w:type="dxa"/>
            <w:vAlign w:val="bottom"/>
            <w:shd w:val="clear" w:color="auto" w:fill="E6E6E6"/>
          </w:tcPr>
          <w:p>
            <w:pPr>
              <w:jc w:val="right"/>
              <w:spacing w:after="0" w:line="136" w:lineRule="exact"/>
              <w:rPr>
                <w:sz w:val="20"/>
                <w:szCs w:val="20"/>
                <w:color w:val="auto"/>
              </w:rPr>
            </w:pPr>
            <w:r>
              <w:rPr>
                <w:rFonts w:ascii="Arial" w:cs="Arial" w:eastAsia="Arial" w:hAnsi="Arial"/>
                <w:sz w:val="12"/>
                <w:szCs w:val="12"/>
                <w:color w:val="auto"/>
              </w:rPr>
              <w:t>9,893</w:t>
            </w:r>
          </w:p>
        </w:tc>
        <w:tc>
          <w:tcPr>
            <w:tcW w:w="62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8,957</w:t>
            </w:r>
          </w:p>
        </w:tc>
        <w:tc>
          <w:tcPr>
            <w:tcW w:w="0" w:type="dxa"/>
            <w:vAlign w:val="bottom"/>
          </w:tcPr>
          <w:p>
            <w:pPr>
              <w:spacing w:after="0"/>
              <w:rPr>
                <w:sz w:val="1"/>
                <w:szCs w:val="1"/>
                <w:color w:val="auto"/>
              </w:rPr>
            </w:pPr>
          </w:p>
        </w:tc>
      </w:tr>
      <w:tr>
        <w:trPr>
          <w:trHeight w:val="149"/>
        </w:trPr>
        <w:tc>
          <w:tcPr>
            <w:tcW w:w="49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Shareholders' equity</w:t>
            </w:r>
          </w:p>
        </w:tc>
        <w:tc>
          <w:tcPr>
            <w:tcW w:w="2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2"/>
                <w:szCs w:val="12"/>
                <w:color w:val="auto"/>
              </w:rPr>
              <w:t>27,441</w:t>
            </w:r>
          </w:p>
        </w:tc>
        <w:tc>
          <w:tcPr>
            <w:tcW w:w="6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22,196</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 w:right="319"/>
        <w:spacing w:after="0" w:line="273" w:lineRule="auto"/>
        <w:rPr>
          <w:sz w:val="20"/>
          <w:szCs w:val="20"/>
          <w:color w:val="auto"/>
        </w:rPr>
      </w:pPr>
      <w:r>
        <w:rPr>
          <w:rFonts w:ascii="Arial" w:cs="Arial" w:eastAsia="Arial" w:hAnsi="Arial"/>
          <w:sz w:val="12"/>
          <w:szCs w:val="12"/>
          <w:color w:val="auto"/>
        </w:rPr>
        <w:t>As of December 31, 2022 and December 31, 2021, cash and cash equivalents and marketable securities denominated in USD represented 86% of Genmab’s total cash and cash equivalents and marketable securities.</w:t>
      </w:r>
    </w:p>
    <w:p>
      <w:pPr>
        <w:spacing w:after="0" w:line="103" w:lineRule="exact"/>
        <w:rPr>
          <w:sz w:val="20"/>
          <w:szCs w:val="20"/>
          <w:color w:val="auto"/>
        </w:rPr>
      </w:pPr>
    </w:p>
    <w:p>
      <w:pPr>
        <w:ind w:left="20" w:right="379"/>
        <w:spacing w:after="0" w:line="273" w:lineRule="auto"/>
        <w:rPr>
          <w:sz w:val="20"/>
          <w:szCs w:val="20"/>
          <w:color w:val="auto"/>
        </w:rPr>
      </w:pPr>
      <w:r>
        <w:rPr>
          <w:rFonts w:ascii="Arial" w:cs="Arial" w:eastAsia="Arial" w:hAnsi="Arial"/>
          <w:sz w:val="12"/>
          <w:szCs w:val="12"/>
          <w:color w:val="auto"/>
        </w:rPr>
        <w:t>Marketable securities are invested in highly secure and liquid investments with short effective maturities. As of December 31, 2022, 75% of Genmab’s marketable securities were long-term A rated or higher, or short-term rated A-1 / P-1 by S&amp;P, Moody’s or Fitch compared to 68% as of December 31, 2021.</w:t>
      </w:r>
    </w:p>
    <w:p>
      <w:pPr>
        <w:spacing w:after="0" w:line="10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As of December 31, 2022, DKK 9,893 million, as compared to DKK 8,957 million as of December 31, 2021, was held as cash and cash equivalents, and DKK 12,431 million, as compared to DKK 10,381 million as of December 31, 2021, was held as liquid investments in short-term government and other debt instruments.</w:t>
      </w:r>
    </w:p>
    <w:p>
      <w:pPr>
        <w:spacing w:after="0" w:line="103" w:lineRule="exact"/>
        <w:rPr>
          <w:sz w:val="20"/>
          <w:szCs w:val="20"/>
          <w:color w:val="auto"/>
        </w:rPr>
      </w:pPr>
    </w:p>
    <w:p>
      <w:pPr>
        <w:ind w:left="20" w:right="199"/>
        <w:spacing w:after="0" w:line="255" w:lineRule="auto"/>
        <w:rPr>
          <w:sz w:val="20"/>
          <w:szCs w:val="20"/>
          <w:color w:val="auto"/>
        </w:rPr>
      </w:pPr>
      <w:r>
        <w:rPr>
          <w:rFonts w:ascii="Arial" w:cs="Arial" w:eastAsia="Arial" w:hAnsi="Arial"/>
          <w:sz w:val="12"/>
          <w:szCs w:val="12"/>
          <w:color w:val="auto"/>
        </w:rPr>
        <w:t>Cash and cash equivalents included short-term marketable securities of DKK 594 million at the end of December 2022, compared to DKK 296 million at the end of December 2021. In accordance with Genmab’s accounting policy, securities purchased with a maturity of less than 90 days at the date of acquisition are classified as cash and cash equivalents.</w:t>
      </w:r>
    </w:p>
    <w:p>
      <w:pPr>
        <w:spacing w:after="0" w:line="113" w:lineRule="exact"/>
        <w:rPr>
          <w:sz w:val="20"/>
          <w:szCs w:val="20"/>
          <w:color w:val="auto"/>
        </w:rPr>
      </w:pPr>
    </w:p>
    <w:p>
      <w:pPr>
        <w:ind w:left="20" w:right="199"/>
        <w:spacing w:after="0" w:line="248" w:lineRule="auto"/>
        <w:rPr>
          <w:sz w:val="20"/>
          <w:szCs w:val="20"/>
          <w:color w:val="auto"/>
        </w:rPr>
      </w:pPr>
      <w:r>
        <w:rPr>
          <w:rFonts w:ascii="Arial" w:cs="Arial" w:eastAsia="Arial" w:hAnsi="Arial"/>
          <w:sz w:val="12"/>
          <w:szCs w:val="12"/>
          <w:color w:val="auto"/>
        </w:rPr>
        <w:t>Genmab requires cash to meet our operating expenses and capital expenditures. We have funded our cash requirements since inception, including through December 31, 2022, primarily with royalty and milestone payments from our partners, upfront payments and equity financing. Genmab expects to continue to fund a significant portion of our development costs for proprietary product candidates as well as commercialization activities with cash received from royalties and milestone payments from partners.</w:t>
      </w:r>
    </w:p>
    <w:p>
      <w:pPr>
        <w:spacing w:after="0" w:line="119" w:lineRule="exact"/>
        <w:rPr>
          <w:sz w:val="20"/>
          <w:szCs w:val="20"/>
          <w:color w:val="auto"/>
        </w:rPr>
      </w:pPr>
    </w:p>
    <w:p>
      <w:pPr>
        <w:ind w:left="20" w:right="119"/>
        <w:spacing w:after="0" w:line="242" w:lineRule="auto"/>
        <w:rPr>
          <w:sz w:val="20"/>
          <w:szCs w:val="20"/>
          <w:color w:val="auto"/>
        </w:rPr>
      </w:pPr>
      <w:r>
        <w:rPr>
          <w:rFonts w:ascii="Arial" w:cs="Arial" w:eastAsia="Arial" w:hAnsi="Arial"/>
          <w:sz w:val="12"/>
          <w:szCs w:val="12"/>
          <w:color w:val="auto"/>
        </w:rPr>
        <w:t>Genmab’s expenditures on current and future pre-clinical and clinical development programs are subject to numerous uncertainties in timing and cost to completion. In order to advance our product candidates toward commercialization, the product candidates are tested in numerous pre-clinical safety, toxicology and efficacy studies. Genmab then conducts clinical trials for those product candidates that take several years or more to complete. The length of time varies substantially based upon the type, complexity, novelty and intended use of a product candidate. The cost of clinical trials may vary significantly over the life of a project as a result of a variety of factors, including: the number of patients required in the clinical trials; the length of time required to enroll trial participants; the number and location of sites included in the trials; the costs of producing supplies of the product candidates needed for clinical trials and regulatory submissions; the safety and efficacy profile of the product candidate; the use of CROs to assist with the management of the trials; and the costs and timing of, and the ability to secure, regulatory approvals.</w:t>
      </w:r>
    </w:p>
    <w:p>
      <w:pPr>
        <w:spacing w:after="0" w:line="123" w:lineRule="exact"/>
        <w:rPr>
          <w:sz w:val="20"/>
          <w:szCs w:val="20"/>
          <w:color w:val="auto"/>
        </w:rPr>
      </w:pPr>
    </w:p>
    <w:p>
      <w:pPr>
        <w:ind w:left="20" w:right="179"/>
        <w:spacing w:after="0" w:line="245" w:lineRule="auto"/>
        <w:rPr>
          <w:sz w:val="20"/>
          <w:szCs w:val="20"/>
          <w:color w:val="auto"/>
        </w:rPr>
      </w:pPr>
      <w:r>
        <w:rPr>
          <w:rFonts w:ascii="Arial" w:cs="Arial" w:eastAsia="Arial" w:hAnsi="Arial"/>
          <w:sz w:val="12"/>
          <w:szCs w:val="12"/>
          <w:color w:val="auto"/>
        </w:rPr>
        <w:t>Genmab’s expenses also fluctuate from period to period based on the degree of collaborative activities, timing of manufacturing campaigns, numbers of patients enrolled in clinical trials and the outcome of each clinical trial event. As a result, the Company is unable to determine with any degree of certainty the anticipated completion dates, duration and completion costs of research and development projects, or when and to what extent Genmab will receive cash inflows from the commercialization and sale of any product candidates. The Company also cannot predict the actual amount or timing of future royalties and milestone payments, and these may differ from estimates. Further, as the global COVID-19 pandemic has continued to</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7" w:name="page58"/>
    <w:bookmarkEnd w:id="5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evolve, there may be long-term impacts on the development, regulatory approval and commercialization of our product candidates and on net sales of our approved products by our collaboration partners.</w:t>
      </w:r>
    </w:p>
    <w:p>
      <w:pPr>
        <w:spacing w:after="0" w:line="103" w:lineRule="exact"/>
        <w:rPr>
          <w:sz w:val="20"/>
          <w:szCs w:val="20"/>
          <w:color w:val="auto"/>
        </w:rPr>
      </w:pPr>
    </w:p>
    <w:p>
      <w:pPr>
        <w:ind w:left="20" w:right="59"/>
        <w:spacing w:after="0" w:line="242" w:lineRule="auto"/>
        <w:rPr>
          <w:sz w:val="20"/>
          <w:szCs w:val="20"/>
          <w:color w:val="auto"/>
        </w:rPr>
      </w:pPr>
      <w:r>
        <w:rPr>
          <w:rFonts w:ascii="Arial" w:cs="Arial" w:eastAsia="Arial" w:hAnsi="Arial"/>
          <w:sz w:val="12"/>
          <w:szCs w:val="12"/>
          <w:color w:val="auto"/>
        </w:rPr>
        <w:t>Genmab expects to make additional capital outlays and to increase operating expenditures over the next several years as the Company hires additional employees, supports pre-clinical development, manufacturing, clinical trial activities, product collaborations and commercialization activities. As spending increases on research, development and commercialization activities related to product collaborations, Genmab may be required to make certain capital outlays against which Genmab expects to receive reimbursement to the extent the outlay exceeds Genmab’s share under the applicable collaboration agreement. The Company expects that the time-lag between the expenditure by us, on the one hand, and the reimbursement by a partner of its relevant share, on the other hand, will increase Genmab’s working capital needs. To the extent the Company’s capital resources are insufficient to meet future capital requirements, Genmab will need to finance operating requirements and cash needs through public or private equity offerings, debt financings, or additional corporate collaboration and licensing arrangements.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Notes 4.2 and 4.4 for additional information regarding our financial risks and marketable securities, respectively.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provides information regarding Genmab’s cash flow for 2022 and 2021.</w:t>
      </w:r>
    </w:p>
    <w:p>
      <w:pPr>
        <w:spacing w:after="0" w:line="133" w:lineRule="exact"/>
        <w:rPr>
          <w:sz w:val="20"/>
          <w:szCs w:val="20"/>
          <w:color w:val="auto"/>
        </w:rPr>
      </w:pPr>
    </w:p>
    <w:tbl>
      <w:tblPr>
        <w:tblLayout w:type="fixed"/>
        <w:tblInd w:w="30" w:type="dxa"/>
        <w:tblCellMar>
          <w:top w:w="0" w:type="dxa"/>
          <w:left w:w="0" w:type="dxa"/>
          <w:bottom w:w="0" w:type="dxa"/>
          <w:right w:w="0" w:type="dxa"/>
        </w:tblCellMar>
      </w:tblPr>
      <w:tr>
        <w:trPr>
          <w:trHeight w:val="132"/>
        </w:trPr>
        <w:tc>
          <w:tcPr>
            <w:tcW w:w="5920" w:type="dxa"/>
            <w:vAlign w:val="bottom"/>
            <w:tcBorders>
              <w:top w:val="single" w:sz="8" w:color="auto"/>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b w:val="1"/>
                <w:bCs w:val="1"/>
                <w:color w:val="auto"/>
              </w:rPr>
              <w:t>Cash Flow</w:t>
            </w:r>
          </w:p>
        </w:tc>
        <w:tc>
          <w:tcPr>
            <w:tcW w:w="1640" w:type="dxa"/>
            <w:vAlign w:val="bottom"/>
            <w:tcBorders>
              <w:top w:val="single" w:sz="8" w:color="auto"/>
              <w:right w:val="single" w:sz="8" w:color="auto"/>
            </w:tcBorders>
            <w:vMerge w:val="restart"/>
          </w:tcPr>
          <w:p>
            <w:pPr>
              <w:jc w:val="right"/>
              <w:ind w:right="640"/>
              <w:spacing w:after="0"/>
              <w:rPr>
                <w:sz w:val="20"/>
                <w:szCs w:val="20"/>
                <w:color w:val="auto"/>
              </w:rPr>
            </w:pPr>
            <w:r>
              <w:rPr>
                <w:rFonts w:ascii="Arial" w:cs="Arial" w:eastAsia="Arial" w:hAnsi="Arial"/>
                <w:sz w:val="12"/>
                <w:szCs w:val="12"/>
                <w:b w:val="1"/>
                <w:bCs w:val="1"/>
                <w:color w:val="auto"/>
              </w:rPr>
              <w:t>2022</w:t>
            </w:r>
          </w:p>
        </w:tc>
        <w:tc>
          <w:tcPr>
            <w:tcW w:w="1420" w:type="dxa"/>
            <w:vAlign w:val="bottom"/>
            <w:tcBorders>
              <w:top w:val="single" w:sz="8" w:color="auto"/>
              <w:right w:val="single" w:sz="8" w:color="auto"/>
            </w:tcBorders>
            <w:vMerge w:val="restart"/>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93"/>
        </w:trPr>
        <w:tc>
          <w:tcPr>
            <w:tcW w:w="59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(DKK million)</w:t>
            </w:r>
          </w:p>
        </w:tc>
        <w:tc>
          <w:tcPr>
            <w:tcW w:w="16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92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Cash provided by operating activities</w:t>
            </w:r>
          </w:p>
        </w:tc>
        <w:tc>
          <w:tcPr>
            <w:tcW w:w="164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3,912</w:t>
            </w:r>
          </w:p>
        </w:tc>
        <w:tc>
          <w:tcPr>
            <w:tcW w:w="14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2,228</w:t>
            </w: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Cash (used in) investing activities</w:t>
            </w:r>
          </w:p>
        </w:tc>
        <w:tc>
          <w:tcPr>
            <w:tcW w:w="164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(2,761)</w:t>
            </w:r>
          </w:p>
        </w:tc>
        <w:tc>
          <w:tcPr>
            <w:tcW w:w="14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(961)</w:t>
            </w: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Cash (used in) / provided by financing activities</w:t>
            </w:r>
          </w:p>
        </w:tc>
        <w:tc>
          <w:tcPr>
            <w:tcW w:w="164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(789)</w:t>
            </w:r>
          </w:p>
        </w:tc>
        <w:tc>
          <w:tcPr>
            <w:tcW w:w="14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(420)</w:t>
            </w: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Increase in cash and cash equivalents</w:t>
            </w:r>
          </w:p>
        </w:tc>
        <w:tc>
          <w:tcPr>
            <w:tcW w:w="164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9"/>
              </w:rPr>
              <w:t>362</w:t>
            </w:r>
          </w:p>
        </w:tc>
        <w:tc>
          <w:tcPr>
            <w:tcW w:w="14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9"/>
              </w:rPr>
              <w:t>847</w:t>
            </w: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Exchange rate adjustments</w:t>
            </w:r>
          </w:p>
        </w:tc>
        <w:tc>
          <w:tcPr>
            <w:tcW w:w="164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574</w:t>
            </w:r>
          </w:p>
        </w:tc>
        <w:tc>
          <w:tcPr>
            <w:tcW w:w="14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9"/>
              </w:rPr>
              <w:t>850</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 w:right="219"/>
        <w:spacing w:after="0" w:line="248" w:lineRule="auto"/>
        <w:rPr>
          <w:sz w:val="20"/>
          <w:szCs w:val="20"/>
          <w:color w:val="auto"/>
        </w:rPr>
      </w:pPr>
      <w:r>
        <w:rPr>
          <w:rFonts w:ascii="Arial" w:cs="Arial" w:eastAsia="Arial" w:hAnsi="Arial"/>
          <w:sz w:val="12"/>
          <w:szCs w:val="12"/>
          <w:color w:val="auto"/>
        </w:rPr>
        <w:t>Net cash provided by operating activities is primarily related to our operating profit, changes in operating assets and liabilities, reversal of net financial items, and adjustments related to non-cash transactions. Cash provided by operating activities increased compared to 2021 primarily driven by an increase in operating profit of DKK 3,339 million, partly offset by AbbVie milestones achieved during the fourth quarter of 2022 that were uncollected at year-end 2022 of DKK 1.1 billion, and an increase in corporate tax payments of DKK 841 million due to higher net profit before tax.</w:t>
      </w:r>
    </w:p>
    <w:p>
      <w:pPr>
        <w:spacing w:after="0" w:line="109" w:lineRule="exact"/>
        <w:rPr>
          <w:sz w:val="20"/>
          <w:szCs w:val="20"/>
          <w:color w:val="auto"/>
        </w:rPr>
      </w:pPr>
    </w:p>
    <w:p>
      <w:pPr>
        <w:jc w:val="both"/>
        <w:ind w:left="20" w:right="59"/>
        <w:spacing w:after="0" w:line="255" w:lineRule="auto"/>
        <w:rPr>
          <w:sz w:val="20"/>
          <w:szCs w:val="20"/>
          <w:color w:val="auto"/>
        </w:rPr>
      </w:pPr>
      <w:r>
        <w:rPr>
          <w:rFonts w:ascii="Arial" w:cs="Arial" w:eastAsia="Arial" w:hAnsi="Arial"/>
          <w:sz w:val="12"/>
          <w:szCs w:val="12"/>
          <w:color w:val="auto"/>
        </w:rPr>
        <w:t>Net cash (used in) investing activities primarily reflects differences between the proceeds received from the sale and maturity of our investments and amounts invested, and the cash paid for investments in tangible assets. Purchases of marketable securities exceeded sales and maturities to a greater extent in 2022 compared to 2021. In 2021, investing activities also include the proceeds from the sale of CureVac shares of DKK 438 million. There were no sales of other investments in 2022.</w:t>
      </w:r>
    </w:p>
    <w:p>
      <w:pPr>
        <w:spacing w:after="0" w:line="104" w:lineRule="exact"/>
        <w:rPr>
          <w:sz w:val="20"/>
          <w:szCs w:val="20"/>
          <w:color w:val="auto"/>
        </w:rPr>
      </w:pPr>
    </w:p>
    <w:p>
      <w:pPr>
        <w:ind w:left="20" w:right="199"/>
        <w:spacing w:after="0" w:line="255" w:lineRule="auto"/>
        <w:rPr>
          <w:sz w:val="20"/>
          <w:szCs w:val="20"/>
          <w:color w:val="auto"/>
        </w:rPr>
      </w:pPr>
      <w:r>
        <w:rPr>
          <w:rFonts w:ascii="Arial" w:cs="Arial" w:eastAsia="Arial" w:hAnsi="Arial"/>
          <w:sz w:val="12"/>
          <w:szCs w:val="12"/>
          <w:color w:val="auto"/>
        </w:rPr>
        <w:t>Net cash (used in) financing activities is primarily related to the purchase of treasury shares, exercise of warrants, lease payments, and payment of withholding taxes on behalf of employees on net settled Restricted Stock Units (RSUs). The increase in cash used in financing activities for the periods is primarily driven by cash payments for the purchase of treasury shares of DKK 908 million in 2022 compared to DKK 447 million in 2021.</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8" w:name="page59"/>
    <w:bookmarkEnd w:id="5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339"/>
        <w:spacing w:after="0" w:line="273" w:lineRule="auto"/>
        <w:rPr>
          <w:sz w:val="20"/>
          <w:szCs w:val="20"/>
          <w:color w:val="auto"/>
        </w:rPr>
      </w:pPr>
      <w:r>
        <w:rPr>
          <w:rFonts w:ascii="Arial" w:cs="Arial" w:eastAsia="Arial" w:hAnsi="Arial"/>
          <w:sz w:val="12"/>
          <w:szCs w:val="12"/>
          <w:color w:val="auto"/>
        </w:rPr>
        <w:t>Exchange rate adjustments represent foreign currency gains or losses on Genmab’s cash and cash equivalents, primarily driven by our cash and cash equivalents holdings denominated in USD. The USD/DKK foreign exchange rate increased 8% in 2021 as compared to only 6% in 2022.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BALANCE SHEET</w:t>
      </w:r>
    </w:p>
    <w:p>
      <w:pPr>
        <w:spacing w:after="0" w:line="10" w:lineRule="exact"/>
        <w:rPr>
          <w:sz w:val="20"/>
          <w:szCs w:val="20"/>
          <w:color w:val="auto"/>
        </w:rPr>
      </w:pPr>
    </w:p>
    <w:p>
      <w:pPr>
        <w:ind w:left="20" w:right="159"/>
        <w:spacing w:after="0" w:line="241" w:lineRule="auto"/>
        <w:rPr>
          <w:sz w:val="20"/>
          <w:szCs w:val="20"/>
          <w:color w:val="auto"/>
        </w:rPr>
      </w:pPr>
      <w:r>
        <w:rPr>
          <w:rFonts w:ascii="Arial" w:cs="Arial" w:eastAsia="Arial" w:hAnsi="Arial"/>
          <w:sz w:val="12"/>
          <w:szCs w:val="12"/>
          <w:color w:val="auto"/>
        </w:rPr>
        <w:t>As of December 31, 2022, total assets were DKK 30,278 million, compared to DKK 24,627 million as of December 31, 2021. As of December 31, 2022, assets are mainly comprised of marketable securities of DKK 12,431 million, cash and cash equivalents of DKK 9,893 million, and current receivables of DKK 5,910 million. The receivables consist primarily of amounts related to royalties, milestones, and reimbursement revenue from our collaboration agreements. The credit risk related to our receivables is not significant based on the high-quality nature of Genmab’s collaboration partners.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3.5 for additional information regarding receivables.</w:t>
      </w:r>
    </w:p>
    <w:p>
      <w:pPr>
        <w:spacing w:after="0" w:line="143"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As of December 31, 2022, total liabilities were DKK 2,837 million compared to DKK 2,431 million as of December 31, 2021. The increase in total liabilities of DKK 406 million, or 17%, was driven by an increase in other payables of DKK 234 million primarily related to accrued compensation as a result of team growth from 2021 to 2022, and lease liabilities of DKK 172 million related to the commencement of leases in the Netherlands in 2022.</w:t>
      </w:r>
    </w:p>
    <w:p>
      <w:pPr>
        <w:spacing w:after="0" w:line="104"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Shareholders’ equity as of December 31, 2022 was DKK 27,441 million compared to DKK 22,196 million as of December 31, 2021. The increase of DKK 5,245 million, or 24%, was driven primarily by Genmab’s net profit and share-based compensation expense related to the issuance of shares under Genmab’s warrant and RSU programs, partly offset by the purchase of treasury shares during the period. Genmab’s equity ratio was 91% as of December 31, 2022 compared to 90% as of December 31, 2021.</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LEGAL MATTERS – JANSSEN BINDING ARBITRATIONS</w:t>
      </w:r>
    </w:p>
    <w:p>
      <w:pPr>
        <w:spacing w:after="0" w:line="10" w:lineRule="exact"/>
        <w:rPr>
          <w:sz w:val="20"/>
          <w:szCs w:val="20"/>
          <w:color w:val="auto"/>
        </w:rPr>
      </w:pPr>
    </w:p>
    <w:p>
      <w:pPr>
        <w:ind w:left="20" w:right="79"/>
        <w:spacing w:after="0" w:line="241" w:lineRule="auto"/>
        <w:rPr>
          <w:sz w:val="20"/>
          <w:szCs w:val="20"/>
          <w:color w:val="auto"/>
        </w:rPr>
      </w:pPr>
      <w:r>
        <w:rPr>
          <w:rFonts w:ascii="Arial" w:cs="Arial" w:eastAsia="Arial" w:hAnsi="Arial"/>
          <w:sz w:val="12"/>
          <w:szCs w:val="12"/>
          <w:color w:val="auto"/>
        </w:rPr>
        <w:t xml:space="preserve">In September 2020, Genmab commenced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and as DARZALEX SC in Europe for SC administration). In April 2022, the arbitral tribunal issued an award in the binding arbitration of the two matters. Genmab did not seek a review of the award, and the award is now final.</w:t>
      </w:r>
    </w:p>
    <w:p>
      <w:pPr>
        <w:spacing w:after="0" w:line="114" w:lineRule="exact"/>
        <w:rPr>
          <w:sz w:val="20"/>
          <w:szCs w:val="20"/>
          <w:color w:val="auto"/>
        </w:rPr>
      </w:pPr>
    </w:p>
    <w:p>
      <w:pPr>
        <w:ind w:left="20" w:right="159"/>
        <w:spacing w:after="0" w:line="243" w:lineRule="auto"/>
        <w:rPr>
          <w:sz w:val="20"/>
          <w:szCs w:val="20"/>
          <w:color w:val="auto"/>
        </w:rPr>
      </w:pPr>
      <w:r>
        <w:rPr>
          <w:rFonts w:ascii="Arial" w:cs="Arial" w:eastAsia="Arial" w:hAnsi="Arial"/>
          <w:sz w:val="12"/>
          <w:szCs w:val="12"/>
          <w:color w:val="auto"/>
        </w:rPr>
        <w:t>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 2020s and early 2030s.</w:t>
      </w:r>
    </w:p>
    <w:p>
      <w:pPr>
        <w:spacing w:after="0" w:line="113"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 xml:space="preserve">The second matter concerned the question as to whether Genmab is required to share in Janssen’s royalty payments to Halozyme for the Halozyme enzyme technology used in the SC formulation of daratumumab (marketed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9" w:name="page60"/>
    <w:bookmarkEnd w:id="5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 xml:space="preserve">On June 9, 2022, Genmab announced the commencement of a second arbitration under the daratumumab license agreement with Janssen. This second arbitration follows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constitutes a new licensed product under the license agreement.</w:t>
      </w:r>
    </w:p>
    <w:p>
      <w:pPr>
        <w:spacing w:after="0" w:line="109"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 xml:space="preserve">In this second arbitration, Genmab is consequently seeking an award of USD 405 million plus interest in accrued milestone payments for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and a declaration that it is entitled to a new 13-year royalty term from the date of DARZALEX </w:t>
      </w:r>
      <w:r>
        <w:rPr>
          <w:rFonts w:ascii="Arial" w:cs="Arial" w:eastAsia="Arial" w:hAnsi="Arial"/>
          <w:sz w:val="12"/>
          <w:szCs w:val="12"/>
          <w:i w:val="1"/>
          <w:iCs w:val="1"/>
          <w:color w:val="auto"/>
        </w:rPr>
        <w:t>FASPRO</w:t>
      </w:r>
      <w:r>
        <w:rPr>
          <w:rFonts w:ascii="Arial" w:cs="Arial" w:eastAsia="Arial" w:hAnsi="Arial"/>
          <w:sz w:val="12"/>
          <w:szCs w:val="12"/>
          <w:color w:val="auto"/>
        </w:rPr>
        <w:t>’s first commercial sale. See Company Announcement no. 21/2022.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0" w:name="page61"/>
    <w:bookmarkEnd w:id="6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Risk Management</w:t>
      </w:r>
    </w:p>
    <w:p>
      <w:pPr>
        <w:spacing w:after="0" w:line="151" w:lineRule="exact"/>
        <w:rPr>
          <w:sz w:val="20"/>
          <w:szCs w:val="20"/>
          <w:color w:val="auto"/>
        </w:rPr>
      </w:pPr>
    </w:p>
    <w:p>
      <w:pPr>
        <w:ind w:left="20" w:right="99"/>
        <w:spacing w:after="0" w:line="241" w:lineRule="auto"/>
        <w:rPr>
          <w:sz w:val="20"/>
          <w:szCs w:val="20"/>
          <w:color w:val="auto"/>
        </w:rPr>
      </w:pPr>
      <w:r>
        <w:rPr>
          <w:rFonts w:ascii="Arial" w:cs="Arial" w:eastAsia="Arial" w:hAnsi="Arial"/>
          <w:sz w:val="12"/>
          <w:szCs w:val="12"/>
          <w:color w:val="auto"/>
        </w:rPr>
        <w:t>Genmab has core facilities in four countries and performs research and development activities with clinical trials conducted around the globe. We have also begun to commercialize medicines. Through our activities, we are exposed to a variety of risks, some of which are inherent in our business and/or beyond our control. These risks may have a significant impact on our business if not properly assessed and controlled. Maintaining a strong control environment, with adequate procedures for identification and assessment of risks and adhering to operational policies designed to reduce such risks to an acceptable level, is essential for the continued evolution of Genmab. It is our policy to identify and reduce the risks derived from our operations and to establish insurance coverage and other risk reduction and resilience mechanisms to mitigate any residual risk, wherever considered practicable. The Audit and Finance Committee of the Board of Directors performs a yearly review of Genmab’s Enterprise Risk Program and relevant insurance coverage to ensure that they are appropriate. For further information about the risks and uncertainties that Genmab faces, refer to the current Form 20-F filed with the SEC.</w:t>
      </w:r>
    </w:p>
    <w:p>
      <w:pPr>
        <w:spacing w:after="0" w:line="124"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The use of Data, as defined in the Danish Financial Statements Act, both personal and non-personal, is essential to fulfilling Genmab’s core purpose; and Genmab is committed to handling Data with integrity and in an ethical and compliant manner considering the impact our actions may have on individuals and society.</w:t>
      </w:r>
    </w:p>
    <w:p>
      <w:pPr>
        <w:spacing w:after="0" w:line="10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During 2022, Genmab has developed a policy for Data Ethics in light of Section 99d of the Danish Financial Statements Act in which Genmab adopts the Data Ethics principles of the International Federation of Pharmaceutical Manufacturers &amp; Associations (IFPMA).</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principles complement and strengthen already existing Genmab policies and procedures, and they focus on the following areas:</w:t>
      </w:r>
    </w:p>
    <w:p>
      <w:pPr>
        <w:spacing w:after="0" w:line="143" w:lineRule="exact"/>
        <w:rPr>
          <w:sz w:val="20"/>
          <w:szCs w:val="20"/>
          <w:color w:val="auto"/>
        </w:rPr>
      </w:pPr>
    </w:p>
    <w:p>
      <w:pPr>
        <w:ind w:left="480" w:hanging="222"/>
        <w:spacing w:after="0"/>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Autonomy: </w:t>
      </w:r>
      <w:r>
        <w:rPr>
          <w:rFonts w:ascii="Arial" w:cs="Arial" w:eastAsia="Arial" w:hAnsi="Arial"/>
          <w:sz w:val="12"/>
          <w:szCs w:val="12"/>
          <w:color w:val="auto"/>
        </w:rPr>
        <w:t>Respect individuals’ privacy, protect their rights, and honor confidentiality</w:t>
      </w:r>
    </w:p>
    <w:p>
      <w:pPr>
        <w:spacing w:after="0" w:line="9" w:lineRule="exact"/>
        <w:rPr>
          <w:rFonts w:ascii="Arial" w:cs="Arial" w:eastAsia="Arial" w:hAnsi="Arial"/>
          <w:sz w:val="12"/>
          <w:szCs w:val="12"/>
          <w:color w:val="auto"/>
        </w:rPr>
      </w:pPr>
    </w:p>
    <w:p>
      <w:pPr>
        <w:ind w:left="480" w:hanging="222"/>
        <w:spacing w:after="0" w:line="236"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Transparency: </w:t>
      </w:r>
      <w:r>
        <w:rPr>
          <w:rFonts w:ascii="Arial" w:cs="Arial" w:eastAsia="Arial" w:hAnsi="Arial"/>
          <w:sz w:val="12"/>
          <w:szCs w:val="12"/>
          <w:color w:val="auto"/>
        </w:rPr>
        <w:t>Individuals should be able to understand how their personal Data is used</w:t>
      </w:r>
    </w:p>
    <w:p>
      <w:pPr>
        <w:ind w:left="480" w:hanging="222"/>
        <w:spacing w:after="0" w:line="236"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Data Quality: </w:t>
      </w:r>
      <w:r>
        <w:rPr>
          <w:rFonts w:ascii="Arial" w:cs="Arial" w:eastAsia="Arial" w:hAnsi="Arial"/>
          <w:sz w:val="12"/>
          <w:szCs w:val="12"/>
          <w:color w:val="auto"/>
        </w:rPr>
        <w:t>The best quality Data available should be used to make decisions</w:t>
      </w:r>
    </w:p>
    <w:p>
      <w:pPr>
        <w:ind w:left="480" w:right="59" w:hanging="222"/>
        <w:spacing w:after="0" w:line="236"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Fairness and Non-discrimination: </w:t>
      </w:r>
      <w:r>
        <w:rPr>
          <w:rFonts w:ascii="Arial" w:cs="Arial" w:eastAsia="Arial" w:hAnsi="Arial"/>
          <w:sz w:val="12"/>
          <w:szCs w:val="12"/>
          <w:color w:val="auto"/>
        </w:rPr>
        <w:t>Data acquisition should be inclusive, equitable, and seek to support the industry’s mission of responding to the needs of all</w:t>
      </w:r>
      <w:r>
        <w:rPr>
          <w:rFonts w:ascii="Arial" w:cs="Arial" w:eastAsia="Arial" w:hAnsi="Arial"/>
          <w:sz w:val="12"/>
          <w:szCs w:val="12"/>
          <w:b w:val="1"/>
          <w:bCs w:val="1"/>
          <w:color w:val="auto"/>
        </w:rPr>
        <w:t xml:space="preserve"> </w:t>
      </w:r>
      <w:r>
        <w:rPr>
          <w:rFonts w:ascii="Arial" w:cs="Arial" w:eastAsia="Arial" w:hAnsi="Arial"/>
          <w:sz w:val="12"/>
          <w:szCs w:val="12"/>
          <w:color w:val="auto"/>
        </w:rPr>
        <w:t>patients</w:t>
      </w:r>
    </w:p>
    <w:p>
      <w:pPr>
        <w:ind w:left="480" w:hanging="222"/>
        <w:spacing w:after="0" w:line="236"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Ethics by Design: </w:t>
      </w:r>
      <w:r>
        <w:rPr>
          <w:rFonts w:ascii="Arial" w:cs="Arial" w:eastAsia="Arial" w:hAnsi="Arial"/>
          <w:sz w:val="12"/>
          <w:szCs w:val="12"/>
          <w:color w:val="auto"/>
        </w:rPr>
        <w:t>Controls to prevent harm and risks to individuals should be built into the design of Data architecture and Data processing</w:t>
      </w:r>
    </w:p>
    <w:p>
      <w:pPr>
        <w:ind w:left="480" w:hanging="222"/>
        <w:spacing w:after="0" w:line="236"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Responsible Data Sharing: </w:t>
      </w:r>
      <w:r>
        <w:rPr>
          <w:rFonts w:ascii="Arial" w:cs="Arial" w:eastAsia="Arial" w:hAnsi="Arial"/>
          <w:sz w:val="12"/>
          <w:szCs w:val="12"/>
          <w:color w:val="auto"/>
        </w:rPr>
        <w:t>Data sharing should be based on processes that actively and consistently consider, prioritize, and protect individual rights</w:t>
      </w:r>
    </w:p>
    <w:p>
      <w:pPr>
        <w:ind w:left="480" w:right="359" w:hanging="222"/>
        <w:spacing w:after="0" w:line="252"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Responsibility and Accountability: </w:t>
      </w:r>
      <w:r>
        <w:rPr>
          <w:rFonts w:ascii="Arial" w:cs="Arial" w:eastAsia="Arial" w:hAnsi="Arial"/>
          <w:sz w:val="12"/>
          <w:szCs w:val="12"/>
          <w:color w:val="auto"/>
        </w:rPr>
        <w:t>Data Ethics Principles should be operationalized through effective governance, clear standards, training, monitoring</w:t>
      </w:r>
      <w:r>
        <w:rPr>
          <w:rFonts w:ascii="Arial" w:cs="Arial" w:eastAsia="Arial" w:hAnsi="Arial"/>
          <w:sz w:val="12"/>
          <w:szCs w:val="12"/>
          <w:b w:val="1"/>
          <w:bCs w:val="1"/>
          <w:color w:val="auto"/>
        </w:rPr>
        <w:t xml:space="preserve"> </w:t>
      </w:r>
      <w:r>
        <w:rPr>
          <w:rFonts w:ascii="Arial" w:cs="Arial" w:eastAsia="Arial" w:hAnsi="Arial"/>
          <w:sz w:val="12"/>
          <w:szCs w:val="12"/>
          <w:color w:val="auto"/>
        </w:rPr>
        <w:t>activities, and disciplinary sanctions</w:t>
      </w:r>
    </w:p>
    <w:p>
      <w:pPr>
        <w:spacing w:after="0" w:line="106" w:lineRule="exact"/>
        <w:rPr>
          <w:sz w:val="20"/>
          <w:szCs w:val="20"/>
          <w:color w:val="auto"/>
        </w:rPr>
      </w:pPr>
    </w:p>
    <w:p>
      <w:pPr>
        <w:ind w:left="20" w:right="219"/>
        <w:spacing w:after="0" w:line="245" w:lineRule="auto"/>
        <w:rPr>
          <w:sz w:val="20"/>
          <w:szCs w:val="20"/>
          <w:color w:val="auto"/>
        </w:rPr>
      </w:pPr>
      <w:r>
        <w:rPr>
          <w:rFonts w:ascii="Arial" w:cs="Arial" w:eastAsia="Arial" w:hAnsi="Arial"/>
          <w:sz w:val="12"/>
          <w:szCs w:val="12"/>
          <w:color w:val="auto"/>
        </w:rPr>
        <w:t>The Genmab Data Ethics policy has been communicated to our management for further distribution and consideration within Genmab’s various departments. During 2023, Genmab will focus on further embedding these principles into its operations, particularly in the areas of data privacy, DE&amp;I, clinical trials, and the application of new technologies (e.g., Artificial Intelligence and Machine Learning), where policies, processes, and training materials will be aligned with the above-mentioned principles. Going forward, the Genmab Data Ethics policy and its principles will be anchored in the Genmab Code of Conduct as part of the overall Genmab Compliance program.</w:t>
      </w:r>
    </w:p>
    <w:p>
      <w:pPr>
        <w:spacing w:after="0" w:line="111"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The following is a summary of Genmab’s key risk areas and how we address and mitigate such risks. Environmental and ethical risks are also covered in Genmab’s statutory report on Corporate Responsibility.</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58/158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1" w:name="page62"/>
    <w:bookmarkEnd w:id="6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1280" w:type="dxa"/>
            <w:vAlign w:val="bottom"/>
            <w:tcBorders>
              <w:left w:val="single" w:sz="8" w:color="029C93"/>
              <w:right w:val="single" w:sz="8" w:color="029C93"/>
            </w:tcBorders>
            <w:shd w:val="clear" w:color="auto" w:fill="029C93"/>
          </w:tcPr>
          <w:p>
            <w:pPr>
              <w:ind w:left="80"/>
              <w:spacing w:after="0"/>
              <w:rPr>
                <w:sz w:val="20"/>
                <w:szCs w:val="20"/>
                <w:color w:val="auto"/>
              </w:rPr>
            </w:pPr>
            <w:r>
              <w:rPr>
                <w:rFonts w:ascii="Arial" w:cs="Arial" w:eastAsia="Arial" w:hAnsi="Arial"/>
                <w:sz w:val="10"/>
                <w:szCs w:val="10"/>
                <w:b w:val="1"/>
                <w:bCs w:val="1"/>
                <w:color w:val="FFFFFF"/>
              </w:rPr>
              <w:t>Risk related to</w:t>
            </w:r>
          </w:p>
        </w:tc>
        <w:tc>
          <w:tcPr>
            <w:tcW w:w="1720" w:type="dxa"/>
            <w:vAlign w:val="bottom"/>
            <w:shd w:val="clear" w:color="auto" w:fill="029C93"/>
          </w:tcPr>
          <w:p>
            <w:pPr>
              <w:ind w:left="40"/>
              <w:spacing w:after="0"/>
              <w:rPr>
                <w:sz w:val="20"/>
                <w:szCs w:val="20"/>
                <w:color w:val="auto"/>
              </w:rPr>
            </w:pPr>
            <w:r>
              <w:rPr>
                <w:rFonts w:ascii="Arial" w:cs="Arial" w:eastAsia="Arial" w:hAnsi="Arial"/>
                <w:sz w:val="10"/>
                <w:szCs w:val="10"/>
                <w:b w:val="1"/>
                <w:bCs w:val="1"/>
                <w:color w:val="FFFFFF"/>
              </w:rPr>
              <w:t>Risk areas</w:t>
            </w:r>
          </w:p>
        </w:tc>
        <w:tc>
          <w:tcPr>
            <w:tcW w:w="140" w:type="dxa"/>
            <w:vAlign w:val="bottom"/>
            <w:shd w:val="clear" w:color="auto" w:fill="029C93"/>
          </w:tcPr>
          <w:p>
            <w:pPr>
              <w:spacing w:after="0"/>
              <w:rPr>
                <w:sz w:val="10"/>
                <w:szCs w:val="10"/>
                <w:color w:val="auto"/>
              </w:rPr>
            </w:pPr>
          </w:p>
        </w:tc>
        <w:tc>
          <w:tcPr>
            <w:tcW w:w="660" w:type="dxa"/>
            <w:vAlign w:val="bottom"/>
            <w:tcBorders>
              <w:right w:val="single" w:sz="8" w:color="029C93"/>
            </w:tcBorders>
            <w:shd w:val="clear" w:color="auto" w:fill="029C93"/>
          </w:tcPr>
          <w:p>
            <w:pPr>
              <w:spacing w:after="0"/>
              <w:rPr>
                <w:sz w:val="10"/>
                <w:szCs w:val="10"/>
                <w:color w:val="auto"/>
              </w:rPr>
            </w:pPr>
          </w:p>
        </w:tc>
        <w:tc>
          <w:tcPr>
            <w:tcW w:w="3720" w:type="dxa"/>
            <w:vAlign w:val="bottom"/>
            <w:gridSpan w:val="2"/>
            <w:shd w:val="clear" w:color="auto" w:fill="029C93"/>
          </w:tcPr>
          <w:p>
            <w:pPr>
              <w:ind w:left="60"/>
              <w:spacing w:after="0"/>
              <w:rPr>
                <w:sz w:val="20"/>
                <w:szCs w:val="20"/>
                <w:color w:val="auto"/>
              </w:rPr>
            </w:pPr>
            <w:r>
              <w:rPr>
                <w:rFonts w:ascii="Arial" w:cs="Arial" w:eastAsia="Arial" w:hAnsi="Arial"/>
                <w:sz w:val="10"/>
                <w:szCs w:val="10"/>
                <w:b w:val="1"/>
                <w:bCs w:val="1"/>
                <w:color w:val="FFFFFF"/>
              </w:rPr>
              <w:t>Mitigation</w:t>
            </w:r>
          </w:p>
        </w:tc>
        <w:tc>
          <w:tcPr>
            <w:tcW w:w="860" w:type="dxa"/>
            <w:vAlign w:val="bottom"/>
            <w:tcBorders>
              <w:right w:val="single" w:sz="8" w:color="029C93"/>
            </w:tcBorders>
            <w:shd w:val="clear" w:color="auto" w:fill="029C93"/>
          </w:tcPr>
          <w:p>
            <w:pPr>
              <w:spacing w:after="0"/>
              <w:rPr>
                <w:sz w:val="10"/>
                <w:szCs w:val="10"/>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Risk</w:t>
            </w:r>
          </w:p>
        </w:tc>
      </w:tr>
      <w:tr>
        <w:trPr>
          <w:trHeight w:val="143"/>
        </w:trPr>
        <w:tc>
          <w:tcPr>
            <w:tcW w:w="1280" w:type="dxa"/>
            <w:vAlign w:val="bottom"/>
            <w:tcBorders>
              <w:left w:val="single" w:sz="8" w:color="029C93"/>
              <w:right w:val="single" w:sz="8" w:color="029C93"/>
            </w:tcBorders>
            <w:shd w:val="clear" w:color="auto" w:fill="029C93"/>
          </w:tcPr>
          <w:p>
            <w:pPr>
              <w:spacing w:after="0"/>
              <w:rPr>
                <w:sz w:val="12"/>
                <w:szCs w:val="12"/>
                <w:color w:val="auto"/>
              </w:rPr>
            </w:pPr>
          </w:p>
        </w:tc>
        <w:tc>
          <w:tcPr>
            <w:tcW w:w="1720" w:type="dxa"/>
            <w:vAlign w:val="bottom"/>
            <w:shd w:val="clear" w:color="auto" w:fill="029C93"/>
          </w:tcPr>
          <w:p>
            <w:pPr>
              <w:spacing w:after="0"/>
              <w:rPr>
                <w:sz w:val="12"/>
                <w:szCs w:val="12"/>
                <w:color w:val="auto"/>
              </w:rPr>
            </w:pPr>
          </w:p>
        </w:tc>
        <w:tc>
          <w:tcPr>
            <w:tcW w:w="140" w:type="dxa"/>
            <w:vAlign w:val="bottom"/>
            <w:shd w:val="clear" w:color="auto" w:fill="029C93"/>
          </w:tcPr>
          <w:p>
            <w:pPr>
              <w:spacing w:after="0"/>
              <w:rPr>
                <w:sz w:val="12"/>
                <w:szCs w:val="12"/>
                <w:color w:val="auto"/>
              </w:rPr>
            </w:pPr>
          </w:p>
        </w:tc>
        <w:tc>
          <w:tcPr>
            <w:tcW w:w="660" w:type="dxa"/>
            <w:vAlign w:val="bottom"/>
            <w:tcBorders>
              <w:right w:val="single" w:sz="8" w:color="029C93"/>
            </w:tcBorders>
            <w:shd w:val="clear" w:color="auto" w:fill="029C93"/>
          </w:tcPr>
          <w:p>
            <w:pPr>
              <w:spacing w:after="0"/>
              <w:rPr>
                <w:sz w:val="12"/>
                <w:szCs w:val="12"/>
                <w:color w:val="auto"/>
              </w:rPr>
            </w:pPr>
          </w:p>
        </w:tc>
        <w:tc>
          <w:tcPr>
            <w:tcW w:w="120" w:type="dxa"/>
            <w:vAlign w:val="bottom"/>
            <w:shd w:val="clear" w:color="auto" w:fill="029C93"/>
          </w:tcPr>
          <w:p>
            <w:pPr>
              <w:spacing w:after="0"/>
              <w:rPr>
                <w:sz w:val="12"/>
                <w:szCs w:val="12"/>
                <w:color w:val="auto"/>
              </w:rPr>
            </w:pPr>
          </w:p>
        </w:tc>
        <w:tc>
          <w:tcPr>
            <w:tcW w:w="3600" w:type="dxa"/>
            <w:vAlign w:val="bottom"/>
            <w:shd w:val="clear" w:color="auto" w:fill="029C93"/>
          </w:tcPr>
          <w:p>
            <w:pPr>
              <w:spacing w:after="0"/>
              <w:rPr>
                <w:sz w:val="12"/>
                <w:szCs w:val="12"/>
                <w:color w:val="auto"/>
              </w:rPr>
            </w:pPr>
          </w:p>
        </w:tc>
        <w:tc>
          <w:tcPr>
            <w:tcW w:w="860" w:type="dxa"/>
            <w:vAlign w:val="bottom"/>
            <w:tcBorders>
              <w:right w:val="single" w:sz="8" w:color="029C93"/>
            </w:tcBorders>
            <w:shd w:val="clear" w:color="auto" w:fill="029C93"/>
          </w:tcPr>
          <w:p>
            <w:pPr>
              <w:spacing w:after="0"/>
              <w:rPr>
                <w:sz w:val="12"/>
                <w:szCs w:val="12"/>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trend</w:t>
            </w:r>
          </w:p>
        </w:tc>
      </w:tr>
      <w:tr>
        <w:trPr>
          <w:trHeight w:val="131"/>
        </w:trPr>
        <w:tc>
          <w:tcPr>
            <w:tcW w:w="1280" w:type="dxa"/>
            <w:vAlign w:val="bottom"/>
            <w:tcBorders>
              <w:left w:val="single" w:sz="8" w:color="029C93"/>
              <w:right w:val="single" w:sz="8" w:color="029C93"/>
            </w:tcBorders>
          </w:tcPr>
          <w:p>
            <w:pPr>
              <w:ind w:left="80"/>
              <w:spacing w:after="0"/>
              <w:rPr>
                <w:sz w:val="20"/>
                <w:szCs w:val="20"/>
                <w:color w:val="auto"/>
              </w:rPr>
            </w:pPr>
            <w:r>
              <w:rPr>
                <w:rFonts w:ascii="Arial" w:cs="Arial" w:eastAsia="Arial" w:hAnsi="Arial"/>
                <w:sz w:val="10"/>
                <w:szCs w:val="10"/>
                <w:b w:val="1"/>
                <w:bCs w:val="1"/>
                <w:color w:val="auto"/>
              </w:rPr>
              <w:t>Business and Products</w:t>
            </w: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The identification and development of successful</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rPr>
              <w:t>Genmab has a disciplined approach to investment, focusing on areas with the potential to maximize</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products is expensive and includes time-consuming</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success, including new technologies and formats, scaling up to expand from early- to late-stage</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clinical trials with uncertain outcomes and the risk of</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development and commercialization. Genmab has established various committees to ensure optimal</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failure to obtain regulatory approval in one or more</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selection of disease targets and formats of our antibody candidates, and to monitor progress of pre-</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tcPr>
          <w:p>
            <w:pPr>
              <w:ind w:left="40"/>
              <w:spacing w:after="0" w:line="109" w:lineRule="exact"/>
              <w:rPr>
                <w:sz w:val="20"/>
                <w:szCs w:val="20"/>
                <w:color w:val="auto"/>
              </w:rPr>
            </w:pPr>
            <w:r>
              <w:rPr>
                <w:rFonts w:ascii="Arial" w:cs="Arial" w:eastAsia="Arial" w:hAnsi="Arial"/>
                <w:sz w:val="10"/>
                <w:szCs w:val="10"/>
                <w:color w:val="auto"/>
              </w:rPr>
              <w:t>jurisdictions.</w:t>
            </w:r>
          </w:p>
        </w:tc>
        <w:tc>
          <w:tcPr>
            <w:tcW w:w="1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clinical and clinical development. We strive to have a well-balanced product pipeline and continue to</w:t>
            </w: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720" w:type="dxa"/>
            <w:vAlign w:val="bottom"/>
            <w:tcBorders>
              <w:bottom w:val="single" w:sz="8" w:color="029C93"/>
            </w:tcBorders>
          </w:tcPr>
          <w:p>
            <w:pPr>
              <w:spacing w:after="0"/>
              <w:rPr>
                <w:sz w:val="11"/>
                <w:szCs w:val="11"/>
                <w:color w:val="auto"/>
              </w:rPr>
            </w:pPr>
          </w:p>
        </w:tc>
        <w:tc>
          <w:tcPr>
            <w:tcW w:w="140" w:type="dxa"/>
            <w:vAlign w:val="bottom"/>
            <w:tcBorders>
              <w:bottom w:val="single" w:sz="8" w:color="029C93"/>
            </w:tcBorders>
          </w:tcPr>
          <w:p>
            <w:pPr>
              <w:spacing w:after="0"/>
              <w:rPr>
                <w:sz w:val="11"/>
                <w:szCs w:val="11"/>
                <w:color w:val="auto"/>
              </w:rPr>
            </w:pPr>
          </w:p>
        </w:tc>
        <w:tc>
          <w:tcPr>
            <w:tcW w:w="660" w:type="dxa"/>
            <w:vAlign w:val="bottom"/>
            <w:tcBorders>
              <w:bottom w:val="single" w:sz="8" w:color="029C93"/>
              <w:right w:val="single" w:sz="8" w:color="029C93"/>
            </w:tcBorders>
          </w:tcPr>
          <w:p>
            <w:pPr>
              <w:spacing w:after="0"/>
              <w:rPr>
                <w:sz w:val="11"/>
                <w:szCs w:val="11"/>
                <w:color w:val="auto"/>
              </w:rPr>
            </w:pPr>
          </w:p>
        </w:tc>
        <w:tc>
          <w:tcPr>
            <w:tcW w:w="3720" w:type="dxa"/>
            <w:vAlign w:val="bottom"/>
            <w:tcBorders>
              <w:bottom w:val="single" w:sz="8" w:color="029C93"/>
            </w:tcBorders>
            <w:gridSpan w:val="2"/>
          </w:tcPr>
          <w:p>
            <w:pPr>
              <w:ind w:left="60"/>
              <w:spacing w:after="0"/>
              <w:rPr>
                <w:sz w:val="20"/>
                <w:szCs w:val="20"/>
                <w:color w:val="auto"/>
              </w:rPr>
            </w:pPr>
            <w:r>
              <w:rPr>
                <w:rFonts w:ascii="Arial" w:cs="Arial" w:eastAsia="Arial" w:hAnsi="Arial"/>
                <w:sz w:val="10"/>
                <w:szCs w:val="10"/>
                <w:color w:val="auto"/>
              </w:rPr>
              <w:t>identify and search for new product candidates and closely follow the market.</w:t>
            </w:r>
          </w:p>
        </w:tc>
        <w:tc>
          <w:tcPr>
            <w:tcW w:w="86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shd w:val="clear" w:color="auto" w:fill="F2F2F2"/>
          </w:tcPr>
          <w:p>
            <w:pPr>
              <w:ind w:left="40"/>
              <w:spacing w:after="0"/>
              <w:rPr>
                <w:sz w:val="20"/>
                <w:szCs w:val="20"/>
                <w:color w:val="auto"/>
              </w:rPr>
            </w:pPr>
            <w:r>
              <w:rPr>
                <w:rFonts w:ascii="Arial" w:cs="Arial" w:eastAsia="Arial" w:hAnsi="Arial"/>
                <w:sz w:val="10"/>
                <w:szCs w:val="10"/>
                <w:color w:val="auto"/>
              </w:rPr>
              <w:t>Genmab is dependent on the identification and</w:t>
            </w:r>
          </w:p>
        </w:tc>
        <w:tc>
          <w:tcPr>
            <w:tcW w:w="4580" w:type="dxa"/>
            <w:vAlign w:val="bottom"/>
            <w:tcBorders>
              <w:right w:val="single" w:sz="8" w:color="029C93"/>
            </w:tcBorders>
            <w:gridSpan w:val="3"/>
            <w:shd w:val="clear" w:color="auto" w:fill="F2F2F2"/>
          </w:tcPr>
          <w:p>
            <w:pPr>
              <w:ind w:left="60"/>
              <w:spacing w:after="0"/>
              <w:rPr>
                <w:sz w:val="20"/>
                <w:szCs w:val="20"/>
                <w:color w:val="auto"/>
              </w:rPr>
            </w:pPr>
            <w:r>
              <w:rPr>
                <w:rFonts w:ascii="Arial" w:cs="Arial" w:eastAsia="Arial" w:hAnsi="Arial"/>
                <w:sz w:val="10"/>
                <w:szCs w:val="10"/>
                <w:color w:val="auto"/>
                <w:w w:val="97"/>
              </w:rPr>
              <w:t>Genmab continually strives to identify and develop new technologies, such as the DuoBody, HexaBody,</w:t>
            </w:r>
          </w:p>
        </w:tc>
        <w:tc>
          <w:tcPr>
            <w:tcW w:w="600" w:type="dxa"/>
            <w:vAlign w:val="bottom"/>
            <w:tcBorders>
              <w:right w:val="single" w:sz="8" w:color="029C93"/>
            </w:tcBorders>
            <w:shd w:val="clear" w:color="auto" w:fill="F2F2F2"/>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F2F2F2"/>
          </w:tcPr>
          <w:p>
            <w:pPr>
              <w:ind w:left="40"/>
              <w:spacing w:after="0" w:line="109" w:lineRule="exact"/>
              <w:rPr>
                <w:sz w:val="20"/>
                <w:szCs w:val="20"/>
                <w:color w:val="auto"/>
              </w:rPr>
            </w:pPr>
            <w:r>
              <w:rPr>
                <w:rFonts w:ascii="Arial" w:cs="Arial" w:eastAsia="Arial" w:hAnsi="Arial"/>
                <w:sz w:val="10"/>
                <w:szCs w:val="10"/>
                <w:color w:val="auto"/>
              </w:rPr>
              <w:t>development of new proprietary technologies and</w:t>
            </w:r>
          </w:p>
        </w:tc>
        <w:tc>
          <w:tcPr>
            <w:tcW w:w="4580" w:type="dxa"/>
            <w:vAlign w:val="bottom"/>
            <w:tcBorders>
              <w:right w:val="single" w:sz="8" w:color="029C93"/>
            </w:tcBorders>
            <w:gridSpan w:val="3"/>
            <w:shd w:val="clear" w:color="auto" w:fill="F2F2F2"/>
          </w:tcPr>
          <w:p>
            <w:pPr>
              <w:ind w:left="60"/>
              <w:spacing w:after="0" w:line="109" w:lineRule="exact"/>
              <w:rPr>
                <w:sz w:val="20"/>
                <w:szCs w:val="20"/>
                <w:color w:val="auto"/>
              </w:rPr>
            </w:pPr>
            <w:r>
              <w:rPr>
                <w:rFonts w:ascii="Arial" w:cs="Arial" w:eastAsia="Arial" w:hAnsi="Arial"/>
                <w:sz w:val="10"/>
                <w:szCs w:val="10"/>
                <w:color w:val="auto"/>
                <w:w w:val="98"/>
              </w:rPr>
              <w:t>DuoHexaBody and HexElect technology platforms, and gain access to competitive and complementary</w:t>
            </w:r>
          </w:p>
        </w:tc>
        <w:tc>
          <w:tcPr>
            <w:tcW w:w="600" w:type="dxa"/>
            <w:vAlign w:val="bottom"/>
            <w:tcBorders>
              <w:right w:val="single" w:sz="8" w:color="029C93"/>
            </w:tcBorders>
            <w:shd w:val="clear" w:color="auto" w:fill="F2F2F2"/>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F2F2F2"/>
          </w:tcPr>
          <w:p>
            <w:pPr>
              <w:ind w:left="40"/>
              <w:spacing w:after="0" w:line="109" w:lineRule="exact"/>
              <w:rPr>
                <w:sz w:val="20"/>
                <w:szCs w:val="20"/>
                <w:color w:val="auto"/>
              </w:rPr>
            </w:pPr>
            <w:r>
              <w:rPr>
                <w:rFonts w:ascii="Arial" w:cs="Arial" w:eastAsia="Arial" w:hAnsi="Arial"/>
                <w:sz w:val="10"/>
                <w:szCs w:val="10"/>
                <w:color w:val="auto"/>
              </w:rPr>
              <w:t>access to new third-party technologies. This exposes</w:t>
            </w:r>
          </w:p>
        </w:tc>
        <w:tc>
          <w:tcPr>
            <w:tcW w:w="4580" w:type="dxa"/>
            <w:vAlign w:val="bottom"/>
            <w:tcBorders>
              <w:right w:val="single" w:sz="8" w:color="029C93"/>
            </w:tcBorders>
            <w:gridSpan w:val="3"/>
            <w:shd w:val="clear" w:color="auto" w:fill="F2F2F2"/>
          </w:tcPr>
          <w:p>
            <w:pPr>
              <w:ind w:left="60"/>
              <w:spacing w:after="0" w:line="109" w:lineRule="exact"/>
              <w:rPr>
                <w:sz w:val="20"/>
                <w:szCs w:val="20"/>
                <w:color w:val="auto"/>
              </w:rPr>
            </w:pPr>
            <w:r>
              <w:rPr>
                <w:rFonts w:ascii="Arial" w:cs="Arial" w:eastAsia="Arial" w:hAnsi="Arial"/>
                <w:sz w:val="10"/>
                <w:szCs w:val="10"/>
                <w:color w:val="auto"/>
              </w:rPr>
              <w:t>new third-party technologies such as ADC technology and messenger ribonucleic acid (mRNA)</w:t>
            </w:r>
          </w:p>
        </w:tc>
        <w:tc>
          <w:tcPr>
            <w:tcW w:w="600" w:type="dxa"/>
            <w:vAlign w:val="bottom"/>
            <w:tcBorders>
              <w:right w:val="single" w:sz="8" w:color="029C93"/>
            </w:tcBorders>
            <w:shd w:val="clear" w:color="auto" w:fill="F2F2F2"/>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F2F2F2"/>
          </w:tcPr>
          <w:p>
            <w:pPr>
              <w:ind w:left="40"/>
              <w:spacing w:after="0" w:line="109" w:lineRule="exact"/>
              <w:rPr>
                <w:sz w:val="20"/>
                <w:szCs w:val="20"/>
                <w:color w:val="auto"/>
              </w:rPr>
            </w:pPr>
            <w:r>
              <w:rPr>
                <w:rFonts w:ascii="Arial" w:cs="Arial" w:eastAsia="Arial" w:hAnsi="Arial"/>
                <w:sz w:val="10"/>
                <w:szCs w:val="10"/>
                <w:color w:val="auto"/>
              </w:rPr>
              <w:t>us to safety issues as well as other failures and</w:t>
            </w:r>
          </w:p>
        </w:tc>
        <w:tc>
          <w:tcPr>
            <w:tcW w:w="4580" w:type="dxa"/>
            <w:vAlign w:val="bottom"/>
            <w:tcBorders>
              <w:right w:val="single" w:sz="8" w:color="029C93"/>
            </w:tcBorders>
            <w:gridSpan w:val="3"/>
            <w:shd w:val="clear" w:color="auto" w:fill="F2F2F2"/>
          </w:tcPr>
          <w:p>
            <w:pPr>
              <w:ind w:left="60"/>
              <w:spacing w:after="0" w:line="109" w:lineRule="exact"/>
              <w:rPr>
                <w:sz w:val="20"/>
                <w:szCs w:val="20"/>
                <w:color w:val="auto"/>
              </w:rPr>
            </w:pPr>
            <w:r>
              <w:rPr>
                <w:rFonts w:ascii="Arial" w:cs="Arial" w:eastAsia="Arial" w:hAnsi="Arial"/>
                <w:sz w:val="10"/>
                <w:szCs w:val="10"/>
                <w:color w:val="auto"/>
              </w:rPr>
              <w:t>technology. We closely monitor our pre-clinical programs and clinical trials to mitigate any unforeseen</w:t>
            </w:r>
          </w:p>
        </w:tc>
        <w:tc>
          <w:tcPr>
            <w:tcW w:w="600" w:type="dxa"/>
            <w:vAlign w:val="bottom"/>
            <w:tcBorders>
              <w:right w:val="single" w:sz="8" w:color="029C93"/>
            </w:tcBorders>
            <w:shd w:val="clear" w:color="auto" w:fill="F2F2F2"/>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F2F2F2"/>
          </w:tcPr>
          <w:p>
            <w:pPr>
              <w:ind w:left="40"/>
              <w:spacing w:after="0" w:line="109" w:lineRule="exact"/>
              <w:rPr>
                <w:sz w:val="20"/>
                <w:szCs w:val="20"/>
                <w:color w:val="auto"/>
              </w:rPr>
            </w:pPr>
            <w:r>
              <w:rPr>
                <w:rFonts w:ascii="Arial" w:cs="Arial" w:eastAsia="Arial" w:hAnsi="Arial"/>
                <w:sz w:val="10"/>
                <w:szCs w:val="10"/>
                <w:color w:val="auto"/>
              </w:rPr>
              <w:t>setbacks related to use of such new or existing</w:t>
            </w:r>
          </w:p>
        </w:tc>
        <w:tc>
          <w:tcPr>
            <w:tcW w:w="4580" w:type="dxa"/>
            <w:vAlign w:val="bottom"/>
            <w:tcBorders>
              <w:right w:val="single" w:sz="8" w:color="029C93"/>
            </w:tcBorders>
            <w:gridSpan w:val="3"/>
            <w:shd w:val="clear" w:color="auto" w:fill="F2F2F2"/>
          </w:tcPr>
          <w:p>
            <w:pPr>
              <w:ind w:left="60"/>
              <w:spacing w:after="0" w:line="109" w:lineRule="exact"/>
              <w:rPr>
                <w:sz w:val="20"/>
                <w:szCs w:val="20"/>
                <w:color w:val="auto"/>
              </w:rPr>
            </w:pPr>
            <w:r>
              <w:rPr>
                <w:rFonts w:ascii="Arial" w:cs="Arial" w:eastAsia="Arial" w:hAnsi="Arial"/>
                <w:sz w:val="10"/>
                <w:szCs w:val="10"/>
                <w:color w:val="auto"/>
              </w:rPr>
              <w:t>safety issues or other failures, or setbacks associated with the use of our proprietary technology</w:t>
            </w:r>
          </w:p>
        </w:tc>
        <w:tc>
          <w:tcPr>
            <w:tcW w:w="600" w:type="dxa"/>
            <w:vAlign w:val="bottom"/>
            <w:tcBorders>
              <w:right w:val="single" w:sz="8" w:color="029C93"/>
            </w:tcBorders>
            <w:shd w:val="clear" w:color="auto" w:fill="F2F2F2"/>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720" w:type="dxa"/>
            <w:vAlign w:val="bottom"/>
            <w:tcBorders>
              <w:bottom w:val="single" w:sz="8" w:color="029C93"/>
            </w:tcBorders>
            <w:shd w:val="clear" w:color="auto" w:fill="F2F2F2"/>
          </w:tcPr>
          <w:p>
            <w:pPr>
              <w:ind w:left="40"/>
              <w:spacing w:after="0"/>
              <w:rPr>
                <w:sz w:val="20"/>
                <w:szCs w:val="20"/>
                <w:color w:val="auto"/>
              </w:rPr>
            </w:pPr>
            <w:r>
              <w:rPr>
                <w:rFonts w:ascii="Arial" w:cs="Arial" w:eastAsia="Arial" w:hAnsi="Arial"/>
                <w:sz w:val="10"/>
                <w:szCs w:val="10"/>
                <w:color w:val="auto"/>
              </w:rPr>
              <w:t>technologies.</w:t>
            </w:r>
          </w:p>
        </w:tc>
        <w:tc>
          <w:tcPr>
            <w:tcW w:w="140" w:type="dxa"/>
            <w:vAlign w:val="bottom"/>
            <w:tcBorders>
              <w:bottom w:val="single" w:sz="8" w:color="029C93"/>
            </w:tcBorders>
            <w:shd w:val="clear" w:color="auto" w:fill="F2F2F2"/>
          </w:tcPr>
          <w:p>
            <w:pPr>
              <w:spacing w:after="0"/>
              <w:rPr>
                <w:sz w:val="11"/>
                <w:szCs w:val="11"/>
                <w:color w:val="auto"/>
              </w:rPr>
            </w:pPr>
          </w:p>
        </w:tc>
        <w:tc>
          <w:tcPr>
            <w:tcW w:w="660" w:type="dxa"/>
            <w:vAlign w:val="bottom"/>
            <w:tcBorders>
              <w:bottom w:val="single" w:sz="8" w:color="029C93"/>
              <w:right w:val="single" w:sz="8" w:color="029C93"/>
            </w:tcBorders>
            <w:shd w:val="clear" w:color="auto" w:fill="F2F2F2"/>
          </w:tcPr>
          <w:p>
            <w:pPr>
              <w:spacing w:after="0"/>
              <w:rPr>
                <w:sz w:val="11"/>
                <w:szCs w:val="11"/>
                <w:color w:val="auto"/>
              </w:rPr>
            </w:pPr>
          </w:p>
        </w:tc>
        <w:tc>
          <w:tcPr>
            <w:tcW w:w="3720" w:type="dxa"/>
            <w:vAlign w:val="bottom"/>
            <w:tcBorders>
              <w:bottom w:val="single" w:sz="8" w:color="029C93"/>
            </w:tcBorders>
            <w:gridSpan w:val="2"/>
            <w:shd w:val="clear" w:color="auto" w:fill="F2F2F2"/>
          </w:tcPr>
          <w:p>
            <w:pPr>
              <w:ind w:left="60"/>
              <w:spacing w:after="0"/>
              <w:rPr>
                <w:sz w:val="20"/>
                <w:szCs w:val="20"/>
                <w:color w:val="auto"/>
              </w:rPr>
            </w:pPr>
            <w:r>
              <w:rPr>
                <w:rFonts w:ascii="Arial" w:cs="Arial" w:eastAsia="Arial" w:hAnsi="Arial"/>
                <w:sz w:val="10"/>
                <w:szCs w:val="10"/>
                <w:color w:val="auto"/>
              </w:rPr>
              <w:t>platforms, ADC technology or mRNA technology.</w:t>
            </w:r>
          </w:p>
        </w:tc>
        <w:tc>
          <w:tcPr>
            <w:tcW w:w="860" w:type="dxa"/>
            <w:vAlign w:val="bottom"/>
            <w:tcBorders>
              <w:bottom w:val="single" w:sz="8" w:color="029C93"/>
              <w:right w:val="single" w:sz="8" w:color="029C93"/>
            </w:tcBorders>
            <w:shd w:val="clear" w:color="auto" w:fill="F2F2F2"/>
          </w:tcPr>
          <w:p>
            <w:pPr>
              <w:spacing w:after="0"/>
              <w:rPr>
                <w:sz w:val="11"/>
                <w:szCs w:val="11"/>
                <w:color w:val="auto"/>
              </w:rPr>
            </w:pPr>
          </w:p>
        </w:tc>
        <w:tc>
          <w:tcPr>
            <w:tcW w:w="600" w:type="dxa"/>
            <w:vAlign w:val="bottom"/>
            <w:tcBorders>
              <w:bottom w:val="single" w:sz="8" w:color="029C93"/>
              <w:right w:val="single" w:sz="8" w:color="029C93"/>
            </w:tcBorders>
            <w:shd w:val="clear" w:color="auto" w:fill="F2F2F2"/>
          </w:tcPr>
          <w:p>
            <w:pPr>
              <w:spacing w:after="0"/>
              <w:rPr>
                <w:sz w:val="11"/>
                <w:szCs w:val="1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Genmab faces ongoing uncertainty about the</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rPr>
              <w:t>From early in the research phase and throughout development, commercial potential and product</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&gt;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successful commercialization of product candidates.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commercialization, associated risks are assessed to ensure that final products have the potential to be</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This is a result of factors including immense</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commercially viable. Genmab attempts to control commercial risks in part by regularly monitoring and</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competition on the basis of cost and efficacy as well as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evaluating current market conditions, competing products and new technologies, to potentially gain</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rapid technological change, which may result in others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access to new technologies and products that may supplement our pipeline. Genmab also strives to</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discovering, developing or commercializing competing</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ensure market exclusivity for its own technologies and products by seeking patent protection.</w:t>
            </w: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2520" w:type="dxa"/>
            <w:vAlign w:val="bottom"/>
            <w:tcBorders>
              <w:bottom w:val="single" w:sz="8" w:color="029C93"/>
              <w:right w:val="single" w:sz="8" w:color="029C93"/>
            </w:tcBorders>
            <w:gridSpan w:val="3"/>
          </w:tcPr>
          <w:p>
            <w:pPr>
              <w:ind w:left="40"/>
              <w:spacing w:after="0"/>
              <w:rPr>
                <w:sz w:val="20"/>
                <w:szCs w:val="20"/>
                <w:color w:val="auto"/>
              </w:rPr>
            </w:pPr>
            <w:r>
              <w:rPr>
                <w:rFonts w:ascii="Arial" w:cs="Arial" w:eastAsia="Arial" w:hAnsi="Arial"/>
                <w:sz w:val="10"/>
                <w:szCs w:val="10"/>
                <w:color w:val="auto"/>
              </w:rPr>
              <w:t>products before and/or more successfully than us.</w:t>
            </w:r>
          </w:p>
        </w:tc>
        <w:tc>
          <w:tcPr>
            <w:tcW w:w="120" w:type="dxa"/>
            <w:vAlign w:val="bottom"/>
            <w:tcBorders>
              <w:bottom w:val="single" w:sz="8" w:color="029C93"/>
            </w:tcBorders>
          </w:tcPr>
          <w:p>
            <w:pPr>
              <w:spacing w:after="0"/>
              <w:rPr>
                <w:sz w:val="11"/>
                <w:szCs w:val="11"/>
                <w:color w:val="auto"/>
              </w:rPr>
            </w:pPr>
          </w:p>
        </w:tc>
        <w:tc>
          <w:tcPr>
            <w:tcW w:w="3600" w:type="dxa"/>
            <w:vAlign w:val="bottom"/>
            <w:tcBorders>
              <w:bottom w:val="single" w:sz="8" w:color="029C93"/>
            </w:tcBorders>
          </w:tcPr>
          <w:p>
            <w:pPr>
              <w:spacing w:after="0"/>
              <w:rPr>
                <w:sz w:val="11"/>
                <w:szCs w:val="11"/>
                <w:color w:val="auto"/>
              </w:rPr>
            </w:pPr>
          </w:p>
        </w:tc>
        <w:tc>
          <w:tcPr>
            <w:tcW w:w="86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104"/>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5E5E6"/>
          </w:tcPr>
          <w:p>
            <w:pPr>
              <w:ind w:left="40"/>
              <w:spacing w:after="0" w:line="104" w:lineRule="exact"/>
              <w:rPr>
                <w:sz w:val="20"/>
                <w:szCs w:val="20"/>
                <w:color w:val="auto"/>
              </w:rPr>
            </w:pPr>
            <w:r>
              <w:rPr>
                <w:rFonts w:ascii="Arial" w:cs="Arial" w:eastAsia="Arial" w:hAnsi="Arial"/>
                <w:sz w:val="10"/>
                <w:szCs w:val="10"/>
                <w:color w:val="auto"/>
              </w:rPr>
              <w:t>Genmab’s near- and mid-term prospects are</w:t>
            </w:r>
          </w:p>
        </w:tc>
        <w:tc>
          <w:tcPr>
            <w:tcW w:w="4580" w:type="dxa"/>
            <w:vAlign w:val="bottom"/>
            <w:tcBorders>
              <w:right w:val="single" w:sz="8" w:color="029C93"/>
            </w:tcBorders>
            <w:gridSpan w:val="3"/>
            <w:shd w:val="clear" w:color="auto" w:fill="E5E5E6"/>
          </w:tcPr>
          <w:p>
            <w:pPr>
              <w:ind w:left="60"/>
              <w:spacing w:after="0" w:line="104" w:lineRule="exact"/>
              <w:rPr>
                <w:sz w:val="20"/>
                <w:szCs w:val="20"/>
                <w:color w:val="auto"/>
              </w:rPr>
            </w:pPr>
            <w:r>
              <w:rPr>
                <w:rFonts w:ascii="Arial" w:cs="Arial" w:eastAsia="Arial" w:hAnsi="Arial"/>
                <w:sz w:val="10"/>
                <w:szCs w:val="10"/>
                <w:color w:val="auto"/>
                <w:w w:val="97"/>
              </w:rPr>
              <w:t>Genmab focuses on its three-pronged strategy of focusing on our core competence, turning science into</w:t>
            </w:r>
          </w:p>
        </w:tc>
        <w:tc>
          <w:tcPr>
            <w:tcW w:w="600" w:type="dxa"/>
            <w:vAlign w:val="bottom"/>
            <w:tcBorders>
              <w:right w:val="single" w:sz="8" w:color="029C93"/>
            </w:tcBorders>
            <w:shd w:val="clear" w:color="auto" w:fill="E5E5E6"/>
          </w:tcPr>
          <w:p>
            <w:pPr>
              <w:ind w:left="60"/>
              <w:spacing w:after="0" w:line="104" w:lineRule="exact"/>
              <w:rPr>
                <w:sz w:val="20"/>
                <w:szCs w:val="20"/>
                <w:color w:val="auto"/>
              </w:rPr>
            </w:pPr>
            <w:r>
              <w:rPr>
                <w:rFonts w:ascii="Arial" w:cs="Arial" w:eastAsia="Arial" w:hAnsi="Arial"/>
                <w:sz w:val="10"/>
                <w:szCs w:val="10"/>
                <w:color w:val="auto"/>
              </w:rPr>
              <w:t>=</w:t>
            </w:r>
          </w:p>
        </w:tc>
      </w:tr>
      <w:tr>
        <w:trPr>
          <w:trHeight w:val="101"/>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gridSpan w:val="3"/>
            <w:shd w:val="clear" w:color="auto" w:fill="E5E5E6"/>
          </w:tcPr>
          <w:p>
            <w:pPr>
              <w:ind w:left="40"/>
              <w:spacing w:after="0" w:line="101" w:lineRule="exact"/>
              <w:rPr>
                <w:sz w:val="20"/>
                <w:szCs w:val="20"/>
                <w:color w:val="auto"/>
              </w:rPr>
            </w:pPr>
            <w:r>
              <w:rPr>
                <w:rFonts w:ascii="Arial" w:cs="Arial" w:eastAsia="Arial" w:hAnsi="Arial"/>
                <w:sz w:val="10"/>
                <w:szCs w:val="10"/>
                <w:color w:val="auto"/>
              </w:rPr>
              <w:t>substantially dependent on continued clinical and</w:t>
            </w:r>
          </w:p>
        </w:tc>
        <w:tc>
          <w:tcPr>
            <w:tcW w:w="4580" w:type="dxa"/>
            <w:vAlign w:val="bottom"/>
            <w:tcBorders>
              <w:right w:val="single" w:sz="8" w:color="029C93"/>
            </w:tcBorders>
            <w:gridSpan w:val="3"/>
            <w:shd w:val="clear" w:color="auto" w:fill="E5E5E6"/>
          </w:tcPr>
          <w:p>
            <w:pPr>
              <w:ind w:left="60"/>
              <w:spacing w:after="0" w:line="101" w:lineRule="exact"/>
              <w:rPr>
                <w:sz w:val="20"/>
                <w:szCs w:val="20"/>
                <w:color w:val="auto"/>
              </w:rPr>
            </w:pPr>
            <w:r>
              <w:rPr>
                <w:rFonts w:ascii="Arial" w:cs="Arial" w:eastAsia="Arial" w:hAnsi="Arial"/>
                <w:sz w:val="10"/>
                <w:szCs w:val="10"/>
                <w:color w:val="auto"/>
                <w:w w:val="98"/>
              </w:rPr>
              <w:t>medicine and building a profitable and successful biotech to develop a broad pipeline of unique best-in-</w:t>
            </w:r>
          </w:p>
        </w:tc>
        <w:tc>
          <w:tcPr>
            <w:tcW w:w="600" w:type="dxa"/>
            <w:vAlign w:val="bottom"/>
            <w:tcBorders>
              <w:right w:val="single" w:sz="8" w:color="029C93"/>
            </w:tcBorders>
            <w:shd w:val="clear" w:color="auto" w:fill="E5E5E6"/>
          </w:tcPr>
          <w:p>
            <w:pPr>
              <w:spacing w:after="0"/>
              <w:rPr>
                <w:sz w:val="8"/>
                <w:szCs w:val="8"/>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ind w:left="40"/>
              <w:spacing w:after="0" w:line="109" w:lineRule="exact"/>
              <w:rPr>
                <w:sz w:val="20"/>
                <w:szCs w:val="20"/>
                <w:color w:val="auto"/>
              </w:rPr>
            </w:pPr>
            <w:r>
              <w:rPr>
                <w:rFonts w:ascii="Arial" w:cs="Arial" w:eastAsia="Arial" w:hAnsi="Arial"/>
                <w:sz w:val="10"/>
                <w:szCs w:val="10"/>
                <w:color w:val="auto"/>
              </w:rPr>
              <w:t>commercial success of DARZALEX.</w:t>
            </w: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rPr>
              <w:t>class or first-in-class antibody products with significant commercial potential. In addition, Genmab</w:t>
            </w:r>
          </w:p>
        </w:tc>
        <w:tc>
          <w:tcPr>
            <w:tcW w:w="600" w:type="dxa"/>
            <w:vAlign w:val="bottom"/>
            <w:tcBorders>
              <w:right w:val="single" w:sz="8" w:color="029C93"/>
            </w:tcBorders>
            <w:shd w:val="clear" w:color="auto" w:fill="E5E5E6"/>
          </w:tcPr>
          <w:p>
            <w:pPr>
              <w:spacing w:after="0"/>
              <w:rPr>
                <w:sz w:val="9"/>
                <w:szCs w:val="9"/>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shd w:val="clear" w:color="auto" w:fill="E5E5E6"/>
          </w:tcPr>
          <w:p>
            <w:pPr>
              <w:ind w:left="40"/>
              <w:spacing w:after="0"/>
              <w:rPr>
                <w:sz w:val="20"/>
                <w:szCs w:val="20"/>
                <w:color w:val="auto"/>
              </w:rPr>
            </w:pPr>
            <w:r>
              <w:rPr>
                <w:rFonts w:ascii="Arial" w:cs="Arial" w:eastAsia="Arial" w:hAnsi="Arial"/>
                <w:sz w:val="10"/>
                <w:szCs w:val="10"/>
                <w:color w:val="auto"/>
              </w:rPr>
              <w:t>DARZALEX is subject to intense competition in the</w:t>
            </w:r>
          </w:p>
        </w:tc>
        <w:tc>
          <w:tcPr>
            <w:tcW w:w="4580" w:type="dxa"/>
            <w:vAlign w:val="bottom"/>
            <w:tcBorders>
              <w:right w:val="single" w:sz="8" w:color="029C93"/>
            </w:tcBorders>
            <w:gridSpan w:val="3"/>
            <w:shd w:val="clear" w:color="auto" w:fill="E5E5E6"/>
          </w:tcPr>
          <w:p>
            <w:pPr>
              <w:ind w:left="60"/>
              <w:spacing w:after="0"/>
              <w:rPr>
                <w:sz w:val="20"/>
                <w:szCs w:val="20"/>
                <w:color w:val="auto"/>
              </w:rPr>
            </w:pPr>
            <w:r>
              <w:rPr>
                <w:rFonts w:ascii="Arial" w:cs="Arial" w:eastAsia="Arial" w:hAnsi="Arial"/>
                <w:sz w:val="10"/>
                <w:szCs w:val="10"/>
                <w:color w:val="auto"/>
                <w:w w:val="99"/>
              </w:rPr>
              <w:t>maintains a strong cash position, disciplined financial management, and a flexible and capital efficient</w:t>
            </w:r>
          </w:p>
        </w:tc>
        <w:tc>
          <w:tcPr>
            <w:tcW w:w="600" w:type="dxa"/>
            <w:vAlign w:val="bottom"/>
            <w:tcBorders>
              <w:right w:val="single" w:sz="8" w:color="029C93"/>
            </w:tcBorders>
            <w:shd w:val="clear" w:color="auto" w:fill="E5E5E6"/>
          </w:tcPr>
          <w:p>
            <w:pPr>
              <w:spacing w:after="0"/>
              <w:rPr>
                <w:sz w:val="10"/>
                <w:szCs w:val="10"/>
                <w:color w:val="auto"/>
              </w:rPr>
            </w:pPr>
          </w:p>
        </w:tc>
      </w:tr>
      <w:tr>
        <w:trPr>
          <w:trHeight w:val="122"/>
        </w:trPr>
        <w:tc>
          <w:tcPr>
            <w:tcW w:w="1280" w:type="dxa"/>
            <w:vAlign w:val="bottom"/>
            <w:tcBorders>
              <w:left w:val="single" w:sz="8" w:color="029C93"/>
              <w:right w:val="single" w:sz="8" w:color="029C93"/>
            </w:tcBorders>
          </w:tcPr>
          <w:p>
            <w:pPr>
              <w:spacing w:after="0"/>
              <w:rPr>
                <w:sz w:val="10"/>
                <w:szCs w:val="10"/>
                <w:color w:val="auto"/>
              </w:rPr>
            </w:pPr>
          </w:p>
        </w:tc>
        <w:tc>
          <w:tcPr>
            <w:tcW w:w="1720" w:type="dxa"/>
            <w:vAlign w:val="bottom"/>
            <w:shd w:val="clear" w:color="auto" w:fill="E5E5E6"/>
          </w:tcPr>
          <w:p>
            <w:pPr>
              <w:ind w:left="40"/>
              <w:spacing w:after="0"/>
              <w:rPr>
                <w:sz w:val="20"/>
                <w:szCs w:val="20"/>
                <w:color w:val="auto"/>
              </w:rPr>
            </w:pPr>
            <w:r>
              <w:rPr>
                <w:rFonts w:ascii="Arial" w:cs="Arial" w:eastAsia="Arial" w:hAnsi="Arial"/>
                <w:sz w:val="10"/>
                <w:szCs w:val="10"/>
                <w:color w:val="auto"/>
              </w:rPr>
              <w:t>multiple myeloma therapy market.</w:t>
            </w:r>
          </w:p>
        </w:tc>
        <w:tc>
          <w:tcPr>
            <w:tcW w:w="140" w:type="dxa"/>
            <w:vAlign w:val="bottom"/>
            <w:shd w:val="clear" w:color="auto" w:fill="E5E5E6"/>
          </w:tcPr>
          <w:p>
            <w:pPr>
              <w:spacing w:after="0"/>
              <w:rPr>
                <w:sz w:val="10"/>
                <w:szCs w:val="10"/>
                <w:color w:val="auto"/>
              </w:rPr>
            </w:pPr>
          </w:p>
        </w:tc>
        <w:tc>
          <w:tcPr>
            <w:tcW w:w="660" w:type="dxa"/>
            <w:vAlign w:val="bottom"/>
            <w:tcBorders>
              <w:right w:val="single" w:sz="8" w:color="029C93"/>
            </w:tcBorders>
            <w:shd w:val="clear" w:color="auto" w:fill="E5E5E6"/>
          </w:tcPr>
          <w:p>
            <w:pPr>
              <w:spacing w:after="0"/>
              <w:rPr>
                <w:sz w:val="10"/>
                <w:szCs w:val="10"/>
                <w:color w:val="auto"/>
              </w:rPr>
            </w:pPr>
          </w:p>
        </w:tc>
        <w:tc>
          <w:tcPr>
            <w:tcW w:w="3720" w:type="dxa"/>
            <w:vAlign w:val="bottom"/>
            <w:gridSpan w:val="2"/>
            <w:shd w:val="clear" w:color="auto" w:fill="E5E5E6"/>
          </w:tcPr>
          <w:p>
            <w:pPr>
              <w:ind w:left="60"/>
              <w:spacing w:after="0"/>
              <w:rPr>
                <w:sz w:val="20"/>
                <w:szCs w:val="20"/>
                <w:color w:val="auto"/>
              </w:rPr>
            </w:pPr>
            <w:r>
              <w:rPr>
                <w:rFonts w:ascii="Arial" w:cs="Arial" w:eastAsia="Arial" w:hAnsi="Arial"/>
                <w:sz w:val="10"/>
                <w:szCs w:val="10"/>
                <w:color w:val="auto"/>
              </w:rPr>
              <w:t>business model to mitigate potential setbacks related to DARZALEX.</w:t>
            </w:r>
          </w:p>
        </w:tc>
        <w:tc>
          <w:tcPr>
            <w:tcW w:w="860" w:type="dxa"/>
            <w:vAlign w:val="bottom"/>
            <w:tcBorders>
              <w:right w:val="single" w:sz="8" w:color="029C93"/>
            </w:tcBorders>
            <w:shd w:val="clear" w:color="auto" w:fill="E5E5E6"/>
          </w:tcPr>
          <w:p>
            <w:pPr>
              <w:spacing w:after="0"/>
              <w:rPr>
                <w:sz w:val="10"/>
                <w:szCs w:val="10"/>
                <w:color w:val="auto"/>
              </w:rPr>
            </w:pPr>
          </w:p>
        </w:tc>
        <w:tc>
          <w:tcPr>
            <w:tcW w:w="600" w:type="dxa"/>
            <w:vAlign w:val="bottom"/>
            <w:tcBorders>
              <w:right w:val="single" w:sz="8" w:color="029C93"/>
            </w:tcBorders>
            <w:shd w:val="clear" w:color="auto" w:fill="E5E5E6"/>
          </w:tcPr>
          <w:p>
            <w:pPr>
              <w:spacing w:after="0"/>
              <w:rPr>
                <w:sz w:val="10"/>
                <w:szCs w:val="10"/>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spacing w:after="0"/>
              <w:rPr>
                <w:sz w:val="9"/>
                <w:szCs w:val="9"/>
                <w:color w:val="auto"/>
              </w:rPr>
            </w:pP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w w:val="97"/>
              </w:rPr>
              <w:t>In 2020, two additional Genmab-created antibody products, Kesimpta and TEPEZZA, were approved by</w:t>
            </w:r>
          </w:p>
        </w:tc>
        <w:tc>
          <w:tcPr>
            <w:tcW w:w="600" w:type="dxa"/>
            <w:vAlign w:val="bottom"/>
            <w:tcBorders>
              <w:right w:val="single" w:sz="8" w:color="029C93"/>
            </w:tcBorders>
            <w:shd w:val="clear" w:color="auto" w:fill="E5E5E6"/>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spacing w:after="0"/>
              <w:rPr>
                <w:sz w:val="9"/>
                <w:szCs w:val="9"/>
                <w:color w:val="auto"/>
              </w:rPr>
            </w:pP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rPr>
              <w:t>the U.S. FDA. In 2021 and 2022, respectively, the first and second DuoBody-based medicines,</w:t>
            </w:r>
          </w:p>
        </w:tc>
        <w:tc>
          <w:tcPr>
            <w:tcW w:w="600" w:type="dxa"/>
            <w:vAlign w:val="bottom"/>
            <w:tcBorders>
              <w:right w:val="single" w:sz="8" w:color="029C93"/>
            </w:tcBorders>
            <w:shd w:val="clear" w:color="auto" w:fill="E5E5E6"/>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spacing w:after="0"/>
              <w:rPr>
                <w:sz w:val="9"/>
                <w:szCs w:val="9"/>
                <w:color w:val="auto"/>
              </w:rPr>
            </w:pP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rPr>
              <w:t>RYBREVANT and TECVAYLI, were approved by the U.S. FDA and the European Commission. All of</w:t>
            </w:r>
          </w:p>
        </w:tc>
        <w:tc>
          <w:tcPr>
            <w:tcW w:w="600" w:type="dxa"/>
            <w:vAlign w:val="bottom"/>
            <w:tcBorders>
              <w:right w:val="single" w:sz="8" w:color="029C93"/>
            </w:tcBorders>
            <w:shd w:val="clear" w:color="auto" w:fill="E5E5E6"/>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spacing w:after="0"/>
              <w:rPr>
                <w:sz w:val="9"/>
                <w:szCs w:val="9"/>
                <w:color w:val="auto"/>
              </w:rPr>
            </w:pP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rPr>
              <w:t>these provide Genmab with additional recurring royalty revenue. Tivdak, Genmab’s first medicine, in</w:t>
            </w:r>
          </w:p>
        </w:tc>
        <w:tc>
          <w:tcPr>
            <w:tcW w:w="600" w:type="dxa"/>
            <w:vAlign w:val="bottom"/>
            <w:tcBorders>
              <w:right w:val="single" w:sz="8" w:color="029C93"/>
            </w:tcBorders>
            <w:shd w:val="clear" w:color="auto" w:fill="E5E5E6"/>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shd w:val="clear" w:color="auto" w:fill="E5E5E6"/>
          </w:tcPr>
          <w:p>
            <w:pPr>
              <w:spacing w:after="0"/>
              <w:rPr>
                <w:sz w:val="9"/>
                <w:szCs w:val="9"/>
                <w:color w:val="auto"/>
              </w:rPr>
            </w:pPr>
          </w:p>
        </w:tc>
        <w:tc>
          <w:tcPr>
            <w:tcW w:w="140" w:type="dxa"/>
            <w:vAlign w:val="bottom"/>
            <w:shd w:val="clear" w:color="auto" w:fill="E5E5E6"/>
          </w:tcPr>
          <w:p>
            <w:pPr>
              <w:spacing w:after="0"/>
              <w:rPr>
                <w:sz w:val="9"/>
                <w:szCs w:val="9"/>
                <w:color w:val="auto"/>
              </w:rPr>
            </w:pPr>
          </w:p>
        </w:tc>
        <w:tc>
          <w:tcPr>
            <w:tcW w:w="660" w:type="dxa"/>
            <w:vAlign w:val="bottom"/>
            <w:tcBorders>
              <w:right w:val="single" w:sz="8" w:color="029C93"/>
            </w:tcBorders>
            <w:shd w:val="clear" w:color="auto" w:fill="E5E5E6"/>
          </w:tcPr>
          <w:p>
            <w:pPr>
              <w:spacing w:after="0"/>
              <w:rPr>
                <w:sz w:val="9"/>
                <w:szCs w:val="9"/>
                <w:color w:val="auto"/>
              </w:rPr>
            </w:pPr>
          </w:p>
        </w:tc>
        <w:tc>
          <w:tcPr>
            <w:tcW w:w="4580" w:type="dxa"/>
            <w:vAlign w:val="bottom"/>
            <w:tcBorders>
              <w:right w:val="single" w:sz="8" w:color="029C93"/>
            </w:tcBorders>
            <w:gridSpan w:val="3"/>
            <w:shd w:val="clear" w:color="auto" w:fill="E5E5E6"/>
          </w:tcPr>
          <w:p>
            <w:pPr>
              <w:ind w:left="60"/>
              <w:spacing w:after="0" w:line="109" w:lineRule="exact"/>
              <w:rPr>
                <w:sz w:val="20"/>
                <w:szCs w:val="20"/>
                <w:color w:val="auto"/>
              </w:rPr>
            </w:pPr>
            <w:r>
              <w:rPr>
                <w:rFonts w:ascii="Arial" w:cs="Arial" w:eastAsia="Arial" w:hAnsi="Arial"/>
                <w:sz w:val="10"/>
                <w:szCs w:val="10"/>
                <w:color w:val="auto"/>
                <w:w w:val="99"/>
              </w:rPr>
              <w:t>development with Seagen, was approved by the U.S. FDA and product sales of Tivdak commenced in</w:t>
            </w:r>
          </w:p>
        </w:tc>
        <w:tc>
          <w:tcPr>
            <w:tcW w:w="600" w:type="dxa"/>
            <w:vAlign w:val="bottom"/>
            <w:tcBorders>
              <w:right w:val="single" w:sz="8" w:color="029C93"/>
            </w:tcBorders>
            <w:shd w:val="clear" w:color="auto" w:fill="E5E5E6"/>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720" w:type="dxa"/>
            <w:vAlign w:val="bottom"/>
            <w:tcBorders>
              <w:bottom w:val="single" w:sz="8" w:color="029C93"/>
            </w:tcBorders>
            <w:shd w:val="clear" w:color="auto" w:fill="E5E5E6"/>
          </w:tcPr>
          <w:p>
            <w:pPr>
              <w:spacing w:after="0"/>
              <w:rPr>
                <w:sz w:val="11"/>
                <w:szCs w:val="11"/>
                <w:color w:val="auto"/>
              </w:rPr>
            </w:pPr>
          </w:p>
        </w:tc>
        <w:tc>
          <w:tcPr>
            <w:tcW w:w="140" w:type="dxa"/>
            <w:vAlign w:val="bottom"/>
            <w:tcBorders>
              <w:bottom w:val="single" w:sz="8" w:color="029C93"/>
            </w:tcBorders>
            <w:shd w:val="clear" w:color="auto" w:fill="E5E5E6"/>
          </w:tcPr>
          <w:p>
            <w:pPr>
              <w:spacing w:after="0"/>
              <w:rPr>
                <w:sz w:val="11"/>
                <w:szCs w:val="11"/>
                <w:color w:val="auto"/>
              </w:rPr>
            </w:pPr>
          </w:p>
        </w:tc>
        <w:tc>
          <w:tcPr>
            <w:tcW w:w="660" w:type="dxa"/>
            <w:vAlign w:val="bottom"/>
            <w:tcBorders>
              <w:bottom w:val="single" w:sz="8" w:color="029C93"/>
              <w:right w:val="single" w:sz="8" w:color="029C93"/>
            </w:tcBorders>
            <w:shd w:val="clear" w:color="auto" w:fill="E5E5E6"/>
          </w:tcPr>
          <w:p>
            <w:pPr>
              <w:spacing w:after="0"/>
              <w:rPr>
                <w:sz w:val="11"/>
                <w:szCs w:val="11"/>
                <w:color w:val="auto"/>
              </w:rPr>
            </w:pPr>
          </w:p>
        </w:tc>
        <w:tc>
          <w:tcPr>
            <w:tcW w:w="3720" w:type="dxa"/>
            <w:vAlign w:val="bottom"/>
            <w:tcBorders>
              <w:bottom w:val="single" w:sz="8" w:color="029C93"/>
            </w:tcBorders>
            <w:gridSpan w:val="2"/>
            <w:shd w:val="clear" w:color="auto" w:fill="E5E5E6"/>
          </w:tcPr>
          <w:p>
            <w:pPr>
              <w:ind w:left="60"/>
              <w:spacing w:after="0"/>
              <w:rPr>
                <w:sz w:val="20"/>
                <w:szCs w:val="20"/>
                <w:color w:val="auto"/>
              </w:rPr>
            </w:pPr>
            <w:r>
              <w:rPr>
                <w:rFonts w:ascii="Arial" w:cs="Arial" w:eastAsia="Arial" w:hAnsi="Arial"/>
                <w:sz w:val="10"/>
                <w:szCs w:val="10"/>
                <w:color w:val="auto"/>
              </w:rPr>
              <w:t>2021.</w:t>
            </w:r>
          </w:p>
        </w:tc>
        <w:tc>
          <w:tcPr>
            <w:tcW w:w="860" w:type="dxa"/>
            <w:vAlign w:val="bottom"/>
            <w:tcBorders>
              <w:bottom w:val="single" w:sz="8" w:color="029C93"/>
              <w:right w:val="single" w:sz="8" w:color="029C93"/>
            </w:tcBorders>
            <w:shd w:val="clear" w:color="auto" w:fill="E5E5E6"/>
          </w:tcPr>
          <w:p>
            <w:pPr>
              <w:spacing w:after="0"/>
              <w:rPr>
                <w:sz w:val="11"/>
                <w:szCs w:val="11"/>
                <w:color w:val="auto"/>
              </w:rPr>
            </w:pPr>
          </w:p>
        </w:tc>
        <w:tc>
          <w:tcPr>
            <w:tcW w:w="600" w:type="dxa"/>
            <w:vAlign w:val="bottom"/>
            <w:tcBorders>
              <w:bottom w:val="single" w:sz="8" w:color="029C93"/>
              <w:right w:val="single" w:sz="8" w:color="029C93"/>
            </w:tcBorders>
            <w:shd w:val="clear" w:color="auto" w:fill="E5E5E6"/>
          </w:tcPr>
          <w:p>
            <w:pPr>
              <w:spacing w:after="0"/>
              <w:rPr>
                <w:sz w:val="11"/>
                <w:szCs w:val="1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w w:val="99"/>
              </w:rPr>
              <w:t>Genmab has exposure to product liability claims related</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rPr>
              <w:t>Product liability claims and/or litigation could materially affect our business and financial position, and</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to the use or misuse of our products and technologies.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8"/>
              </w:rPr>
              <w:t>Genmab therefore strives to maintain robust internal processes for the review, approval, and compliant</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use of promotion materials and also maintains appropriate product liability insurance for our clinical</w:t>
            </w: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720" w:type="dxa"/>
            <w:vAlign w:val="bottom"/>
            <w:tcBorders>
              <w:bottom w:val="single" w:sz="8" w:color="029C93"/>
            </w:tcBorders>
          </w:tcPr>
          <w:p>
            <w:pPr>
              <w:spacing w:after="0"/>
              <w:rPr>
                <w:sz w:val="11"/>
                <w:szCs w:val="11"/>
                <w:color w:val="auto"/>
              </w:rPr>
            </w:pPr>
          </w:p>
        </w:tc>
        <w:tc>
          <w:tcPr>
            <w:tcW w:w="140" w:type="dxa"/>
            <w:vAlign w:val="bottom"/>
            <w:tcBorders>
              <w:bottom w:val="single" w:sz="8" w:color="029C93"/>
            </w:tcBorders>
          </w:tcPr>
          <w:p>
            <w:pPr>
              <w:spacing w:after="0"/>
              <w:rPr>
                <w:sz w:val="11"/>
                <w:szCs w:val="11"/>
                <w:color w:val="auto"/>
              </w:rPr>
            </w:pPr>
          </w:p>
        </w:tc>
        <w:tc>
          <w:tcPr>
            <w:tcW w:w="660" w:type="dxa"/>
            <w:vAlign w:val="bottom"/>
            <w:tcBorders>
              <w:bottom w:val="single" w:sz="8" w:color="029C93"/>
              <w:right w:val="single" w:sz="8" w:color="029C93"/>
            </w:tcBorders>
          </w:tcPr>
          <w:p>
            <w:pPr>
              <w:spacing w:after="0"/>
              <w:rPr>
                <w:sz w:val="11"/>
                <w:szCs w:val="11"/>
                <w:color w:val="auto"/>
              </w:rPr>
            </w:pPr>
          </w:p>
        </w:tc>
        <w:tc>
          <w:tcPr>
            <w:tcW w:w="3720" w:type="dxa"/>
            <w:vAlign w:val="bottom"/>
            <w:tcBorders>
              <w:bottom w:val="single" w:sz="8" w:color="029C93"/>
            </w:tcBorders>
            <w:gridSpan w:val="2"/>
          </w:tcPr>
          <w:p>
            <w:pPr>
              <w:ind w:left="60"/>
              <w:spacing w:after="0"/>
              <w:rPr>
                <w:sz w:val="20"/>
                <w:szCs w:val="20"/>
                <w:color w:val="auto"/>
              </w:rPr>
            </w:pPr>
            <w:r>
              <w:rPr>
                <w:rFonts w:ascii="Arial" w:cs="Arial" w:eastAsia="Arial" w:hAnsi="Arial"/>
                <w:sz w:val="10"/>
                <w:szCs w:val="10"/>
                <w:color w:val="auto"/>
                <w:w w:val="97"/>
              </w:rPr>
              <w:t>trials and our approved products and other coverage required under applicable laws.</w:t>
            </w:r>
          </w:p>
        </w:tc>
        <w:tc>
          <w:tcPr>
            <w:tcW w:w="86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232"/>
        </w:trPr>
        <w:tc>
          <w:tcPr>
            <w:tcW w:w="1280" w:type="dxa"/>
            <w:vAlign w:val="bottom"/>
          </w:tcPr>
          <w:p>
            <w:pPr>
              <w:spacing w:after="0"/>
              <w:rPr>
                <w:sz w:val="20"/>
                <w:szCs w:val="20"/>
                <w:color w:val="auto"/>
              </w:rPr>
            </w:pPr>
            <w:r>
              <w:rPr>
                <w:rFonts w:ascii="Arial" w:cs="Arial" w:eastAsia="Arial" w:hAnsi="Arial"/>
                <w:sz w:val="10"/>
                <w:szCs w:val="10"/>
                <w:color w:val="auto"/>
              </w:rPr>
              <w:t>Genmab A/S</w:t>
            </w:r>
          </w:p>
        </w:tc>
        <w:tc>
          <w:tcPr>
            <w:tcW w:w="1720" w:type="dxa"/>
            <w:vAlign w:val="bottom"/>
          </w:tcPr>
          <w:p>
            <w:pPr>
              <w:spacing w:after="0"/>
              <w:rPr>
                <w:sz w:val="20"/>
                <w:szCs w:val="20"/>
                <w:color w:val="auto"/>
              </w:rPr>
            </w:pPr>
          </w:p>
        </w:tc>
        <w:tc>
          <w:tcPr>
            <w:tcW w:w="4520" w:type="dxa"/>
            <w:vAlign w:val="bottom"/>
            <w:gridSpan w:val="4"/>
          </w:tcPr>
          <w:p>
            <w:pPr>
              <w:ind w:left="140"/>
              <w:spacing w:after="0"/>
              <w:rPr>
                <w:sz w:val="20"/>
                <w:szCs w:val="20"/>
                <w:color w:val="auto"/>
              </w:rPr>
            </w:pPr>
            <w:r>
              <w:rPr>
                <w:rFonts w:ascii="Arial" w:cs="Arial" w:eastAsia="Arial" w:hAnsi="Arial"/>
                <w:sz w:val="10"/>
                <w:szCs w:val="10"/>
                <w:color w:val="auto"/>
              </w:rPr>
              <w:t>Tel: +45 7020 2728</w:t>
            </w:r>
          </w:p>
        </w:tc>
        <w:tc>
          <w:tcPr>
            <w:tcW w:w="1460" w:type="dxa"/>
            <w:vAlign w:val="bottom"/>
            <w:gridSpan w:val="2"/>
          </w:tcPr>
          <w:p>
            <w:pPr>
              <w:jc w:val="right"/>
              <w:spacing w:after="0"/>
              <w:rPr>
                <w:sz w:val="20"/>
                <w:szCs w:val="20"/>
                <w:color w:val="auto"/>
              </w:rPr>
            </w:pPr>
            <w:r>
              <w:rPr>
                <w:rFonts w:ascii="Arial" w:cs="Arial" w:eastAsia="Arial" w:hAnsi="Arial"/>
                <w:sz w:val="10"/>
                <w:szCs w:val="10"/>
                <w:color w:val="auto"/>
                <w:w w:val="98"/>
              </w:rPr>
              <w:t>Company Announcement no. 05</w:t>
            </w:r>
          </w:p>
        </w:tc>
      </w:tr>
      <w:tr>
        <w:trPr>
          <w:trHeight w:val="109"/>
        </w:trPr>
        <w:tc>
          <w:tcPr>
            <w:tcW w:w="12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w w:val="98"/>
              </w:rPr>
              <w:t>Page 59/158</w:t>
            </w:r>
          </w:p>
        </w:tc>
      </w:tr>
      <w:tr>
        <w:trPr>
          <w:trHeight w:val="105"/>
        </w:trPr>
        <w:tc>
          <w:tcPr>
            <w:tcW w:w="3000" w:type="dxa"/>
            <w:vAlign w:val="bottom"/>
            <w:gridSpan w:val="2"/>
          </w:tcPr>
          <w:p>
            <w:pPr>
              <w:spacing w:after="0" w:line="105" w:lineRule="exact"/>
              <w:rPr>
                <w:sz w:val="20"/>
                <w:szCs w:val="20"/>
                <w:color w:val="auto"/>
              </w:rPr>
            </w:pPr>
            <w:r>
              <w:rPr>
                <w:rFonts w:ascii="Arial" w:cs="Arial" w:eastAsia="Arial" w:hAnsi="Arial"/>
                <w:sz w:val="10"/>
                <w:szCs w:val="10"/>
                <w:color w:val="auto"/>
              </w:rPr>
              <w:t>1560 Copenhagen V, Denmark</w:t>
            </w:r>
          </w:p>
        </w:tc>
        <w:tc>
          <w:tcPr>
            <w:tcW w:w="4520" w:type="dxa"/>
            <w:vAlign w:val="bottom"/>
            <w:gridSpan w:val="4"/>
          </w:tcPr>
          <w:p>
            <w:pPr>
              <w:ind w:left="140"/>
              <w:spacing w:after="0" w:line="105" w:lineRule="exact"/>
              <w:rPr>
                <w:sz w:val="20"/>
                <w:szCs w:val="20"/>
                <w:color w:val="auto"/>
              </w:rPr>
            </w:pPr>
            <w:r>
              <w:rPr>
                <w:rFonts w:ascii="Arial" w:cs="Arial" w:eastAsia="Arial" w:hAnsi="Arial"/>
                <w:sz w:val="10"/>
                <w:szCs w:val="10"/>
                <w:color w:val="0000FF"/>
              </w:rPr>
              <w:t>www.genmab.com</w:t>
            </w:r>
          </w:p>
        </w:tc>
        <w:tc>
          <w:tcPr>
            <w:tcW w:w="14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1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2" w:name="page63"/>
    <w:bookmarkEnd w:id="6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1280" w:type="dxa"/>
            <w:vAlign w:val="bottom"/>
            <w:tcBorders>
              <w:left w:val="single" w:sz="8" w:color="029C93"/>
              <w:right w:val="single" w:sz="8" w:color="029C93"/>
            </w:tcBorders>
            <w:shd w:val="clear" w:color="auto" w:fill="029C93"/>
          </w:tcPr>
          <w:p>
            <w:pPr>
              <w:ind w:left="80"/>
              <w:spacing w:after="0"/>
              <w:rPr>
                <w:sz w:val="20"/>
                <w:szCs w:val="20"/>
                <w:color w:val="auto"/>
              </w:rPr>
            </w:pPr>
            <w:r>
              <w:rPr>
                <w:rFonts w:ascii="Arial" w:cs="Arial" w:eastAsia="Arial" w:hAnsi="Arial"/>
                <w:sz w:val="10"/>
                <w:szCs w:val="10"/>
                <w:b w:val="1"/>
                <w:bCs w:val="1"/>
                <w:color w:val="FFFFFF"/>
              </w:rPr>
              <w:t>Risk related to</w:t>
            </w:r>
          </w:p>
        </w:tc>
        <w:tc>
          <w:tcPr>
            <w:tcW w:w="1820" w:type="dxa"/>
            <w:vAlign w:val="bottom"/>
            <w:shd w:val="clear" w:color="auto" w:fill="029C93"/>
          </w:tcPr>
          <w:p>
            <w:pPr>
              <w:ind w:left="40"/>
              <w:spacing w:after="0"/>
              <w:rPr>
                <w:sz w:val="20"/>
                <w:szCs w:val="20"/>
                <w:color w:val="auto"/>
              </w:rPr>
            </w:pPr>
            <w:r>
              <w:rPr>
                <w:rFonts w:ascii="Arial" w:cs="Arial" w:eastAsia="Arial" w:hAnsi="Arial"/>
                <w:sz w:val="10"/>
                <w:szCs w:val="10"/>
                <w:b w:val="1"/>
                <w:bCs w:val="1"/>
                <w:color w:val="FFFFFF"/>
              </w:rPr>
              <w:t>Risk areas</w:t>
            </w:r>
          </w:p>
        </w:tc>
        <w:tc>
          <w:tcPr>
            <w:tcW w:w="40" w:type="dxa"/>
            <w:vAlign w:val="bottom"/>
            <w:shd w:val="clear" w:color="auto" w:fill="029C93"/>
          </w:tcPr>
          <w:p>
            <w:pPr>
              <w:spacing w:after="0"/>
              <w:rPr>
                <w:sz w:val="10"/>
                <w:szCs w:val="10"/>
                <w:color w:val="auto"/>
              </w:rPr>
            </w:pPr>
          </w:p>
        </w:tc>
        <w:tc>
          <w:tcPr>
            <w:tcW w:w="660" w:type="dxa"/>
            <w:vAlign w:val="bottom"/>
            <w:tcBorders>
              <w:right w:val="single" w:sz="8" w:color="029C93"/>
            </w:tcBorders>
            <w:shd w:val="clear" w:color="auto" w:fill="029C93"/>
          </w:tcPr>
          <w:p>
            <w:pPr>
              <w:spacing w:after="0"/>
              <w:rPr>
                <w:sz w:val="10"/>
                <w:szCs w:val="10"/>
                <w:color w:val="auto"/>
              </w:rPr>
            </w:pPr>
          </w:p>
        </w:tc>
        <w:tc>
          <w:tcPr>
            <w:tcW w:w="3700" w:type="dxa"/>
            <w:vAlign w:val="bottom"/>
            <w:gridSpan w:val="2"/>
            <w:shd w:val="clear" w:color="auto" w:fill="029C93"/>
          </w:tcPr>
          <w:p>
            <w:pPr>
              <w:ind w:left="60"/>
              <w:spacing w:after="0"/>
              <w:rPr>
                <w:sz w:val="20"/>
                <w:szCs w:val="20"/>
                <w:color w:val="auto"/>
              </w:rPr>
            </w:pPr>
            <w:r>
              <w:rPr>
                <w:rFonts w:ascii="Arial" w:cs="Arial" w:eastAsia="Arial" w:hAnsi="Arial"/>
                <w:sz w:val="10"/>
                <w:szCs w:val="10"/>
                <w:b w:val="1"/>
                <w:bCs w:val="1"/>
                <w:color w:val="FFFFFF"/>
              </w:rPr>
              <w:t>Mitigation</w:t>
            </w:r>
          </w:p>
        </w:tc>
        <w:tc>
          <w:tcPr>
            <w:tcW w:w="880" w:type="dxa"/>
            <w:vAlign w:val="bottom"/>
            <w:tcBorders>
              <w:right w:val="single" w:sz="8" w:color="029C93"/>
            </w:tcBorders>
            <w:shd w:val="clear" w:color="auto" w:fill="029C93"/>
          </w:tcPr>
          <w:p>
            <w:pPr>
              <w:spacing w:after="0"/>
              <w:rPr>
                <w:sz w:val="10"/>
                <w:szCs w:val="10"/>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Risk</w:t>
            </w:r>
          </w:p>
        </w:tc>
      </w:tr>
      <w:tr>
        <w:trPr>
          <w:trHeight w:val="143"/>
        </w:trPr>
        <w:tc>
          <w:tcPr>
            <w:tcW w:w="1280" w:type="dxa"/>
            <w:vAlign w:val="bottom"/>
            <w:tcBorders>
              <w:left w:val="single" w:sz="8" w:color="029C93"/>
              <w:right w:val="single" w:sz="8" w:color="029C93"/>
            </w:tcBorders>
            <w:shd w:val="clear" w:color="auto" w:fill="029C93"/>
          </w:tcPr>
          <w:p>
            <w:pPr>
              <w:spacing w:after="0"/>
              <w:rPr>
                <w:sz w:val="12"/>
                <w:szCs w:val="12"/>
                <w:color w:val="auto"/>
              </w:rPr>
            </w:pPr>
          </w:p>
        </w:tc>
        <w:tc>
          <w:tcPr>
            <w:tcW w:w="1820" w:type="dxa"/>
            <w:vAlign w:val="bottom"/>
            <w:shd w:val="clear" w:color="auto" w:fill="029C93"/>
          </w:tcPr>
          <w:p>
            <w:pPr>
              <w:spacing w:after="0"/>
              <w:rPr>
                <w:sz w:val="12"/>
                <w:szCs w:val="12"/>
                <w:color w:val="auto"/>
              </w:rPr>
            </w:pPr>
          </w:p>
        </w:tc>
        <w:tc>
          <w:tcPr>
            <w:tcW w:w="40" w:type="dxa"/>
            <w:vAlign w:val="bottom"/>
            <w:shd w:val="clear" w:color="auto" w:fill="029C93"/>
          </w:tcPr>
          <w:p>
            <w:pPr>
              <w:spacing w:after="0"/>
              <w:rPr>
                <w:sz w:val="12"/>
                <w:szCs w:val="12"/>
                <w:color w:val="auto"/>
              </w:rPr>
            </w:pPr>
          </w:p>
        </w:tc>
        <w:tc>
          <w:tcPr>
            <w:tcW w:w="660" w:type="dxa"/>
            <w:vAlign w:val="bottom"/>
            <w:tcBorders>
              <w:right w:val="single" w:sz="8" w:color="029C93"/>
            </w:tcBorders>
            <w:shd w:val="clear" w:color="auto" w:fill="029C93"/>
          </w:tcPr>
          <w:p>
            <w:pPr>
              <w:spacing w:after="0"/>
              <w:rPr>
                <w:sz w:val="12"/>
                <w:szCs w:val="12"/>
                <w:color w:val="auto"/>
              </w:rPr>
            </w:pPr>
          </w:p>
        </w:tc>
        <w:tc>
          <w:tcPr>
            <w:tcW w:w="120" w:type="dxa"/>
            <w:vAlign w:val="bottom"/>
            <w:shd w:val="clear" w:color="auto" w:fill="029C93"/>
          </w:tcPr>
          <w:p>
            <w:pPr>
              <w:spacing w:after="0"/>
              <w:rPr>
                <w:sz w:val="12"/>
                <w:szCs w:val="12"/>
                <w:color w:val="auto"/>
              </w:rPr>
            </w:pPr>
          </w:p>
        </w:tc>
        <w:tc>
          <w:tcPr>
            <w:tcW w:w="3580" w:type="dxa"/>
            <w:vAlign w:val="bottom"/>
            <w:shd w:val="clear" w:color="auto" w:fill="029C93"/>
          </w:tcPr>
          <w:p>
            <w:pPr>
              <w:spacing w:after="0"/>
              <w:rPr>
                <w:sz w:val="12"/>
                <w:szCs w:val="12"/>
                <w:color w:val="auto"/>
              </w:rPr>
            </w:pPr>
          </w:p>
        </w:tc>
        <w:tc>
          <w:tcPr>
            <w:tcW w:w="880" w:type="dxa"/>
            <w:vAlign w:val="bottom"/>
            <w:tcBorders>
              <w:right w:val="single" w:sz="8" w:color="029C93"/>
            </w:tcBorders>
            <w:shd w:val="clear" w:color="auto" w:fill="029C93"/>
          </w:tcPr>
          <w:p>
            <w:pPr>
              <w:spacing w:after="0"/>
              <w:rPr>
                <w:sz w:val="12"/>
                <w:szCs w:val="12"/>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trend</w:t>
            </w:r>
          </w:p>
        </w:tc>
      </w:tr>
      <w:tr>
        <w:trPr>
          <w:trHeight w:val="131"/>
        </w:trPr>
        <w:tc>
          <w:tcPr>
            <w:tcW w:w="1280" w:type="dxa"/>
            <w:vAlign w:val="bottom"/>
            <w:tcBorders>
              <w:left w:val="single" w:sz="8" w:color="029C93"/>
              <w:right w:val="single" w:sz="8" w:color="029C93"/>
            </w:tcBorders>
          </w:tcPr>
          <w:p>
            <w:pPr>
              <w:spacing w:after="0"/>
              <w:rPr>
                <w:sz w:val="11"/>
                <w:szCs w:val="11"/>
                <w:color w:val="auto"/>
              </w:rPr>
            </w:pPr>
          </w:p>
        </w:tc>
        <w:tc>
          <w:tcPr>
            <w:tcW w:w="2520" w:type="dxa"/>
            <w:vAlign w:val="bottom"/>
            <w:tcBorders>
              <w:right w:val="single" w:sz="8" w:color="029C93"/>
            </w:tcBorders>
            <w:gridSpan w:val="3"/>
            <w:shd w:val="clear" w:color="auto" w:fill="E6E6E7"/>
          </w:tcPr>
          <w:p>
            <w:pPr>
              <w:ind w:left="40"/>
              <w:spacing w:after="0"/>
              <w:rPr>
                <w:sz w:val="20"/>
                <w:szCs w:val="20"/>
                <w:color w:val="auto"/>
              </w:rPr>
            </w:pPr>
            <w:r>
              <w:rPr>
                <w:rFonts w:ascii="Arial" w:cs="Arial" w:eastAsia="Arial" w:hAnsi="Arial"/>
                <w:sz w:val="10"/>
                <w:szCs w:val="10"/>
                <w:color w:val="auto"/>
              </w:rPr>
              <w:t>Our core research and manufacturing activities are</w:t>
            </w:r>
          </w:p>
        </w:tc>
        <w:tc>
          <w:tcPr>
            <w:tcW w:w="4580" w:type="dxa"/>
            <w:vAlign w:val="bottom"/>
            <w:tcBorders>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auto"/>
                <w:w w:val="98"/>
              </w:rPr>
              <w:t>Genmab employs oversight and quality risk management principles. In addition, Genmab follows Good</w:t>
            </w:r>
          </w:p>
        </w:tc>
        <w:tc>
          <w:tcPr>
            <w:tcW w:w="600" w:type="dxa"/>
            <w:vAlign w:val="bottom"/>
            <w:tcBorders>
              <w:right w:val="single" w:sz="8" w:color="029C93"/>
            </w:tcBorders>
            <w:shd w:val="clear" w:color="auto" w:fill="E6E6E7"/>
          </w:tcPr>
          <w:p>
            <w:pPr>
              <w:ind w:left="60"/>
              <w:spacing w:after="0"/>
              <w:rPr>
                <w:sz w:val="20"/>
                <w:szCs w:val="20"/>
                <w:color w:val="auto"/>
              </w:rPr>
            </w:pPr>
            <w:r>
              <w:rPr>
                <w:rFonts w:ascii="Arial" w:cs="Arial" w:eastAsia="Arial" w:hAnsi="Arial"/>
                <w:sz w:val="10"/>
                <w:szCs w:val="10"/>
                <w:color w:val="auto"/>
              </w:rPr>
              <w:t>&gt;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carried out at a limited number of locations. Any event</w:t>
            </w:r>
          </w:p>
        </w:tc>
        <w:tc>
          <w:tcPr>
            <w:tcW w:w="3700" w:type="dxa"/>
            <w:vAlign w:val="bottom"/>
            <w:gridSpan w:val="2"/>
            <w:shd w:val="clear" w:color="auto" w:fill="E6E6E7"/>
          </w:tcPr>
          <w:p>
            <w:pPr>
              <w:ind w:left="60"/>
              <w:spacing w:after="0" w:line="109" w:lineRule="exact"/>
              <w:rPr>
                <w:sz w:val="20"/>
                <w:szCs w:val="20"/>
                <w:color w:val="auto"/>
              </w:rPr>
            </w:pPr>
            <w:r>
              <w:rPr>
                <w:rFonts w:ascii="Arial" w:cs="Arial" w:eastAsia="Arial" w:hAnsi="Arial"/>
                <w:sz w:val="10"/>
                <w:szCs w:val="10"/>
                <w:color w:val="auto"/>
                <w:w w:val="97"/>
              </w:rPr>
              <w:t>Laboratory Practices (GLP), Good Manufacturing Practices (GMP) and requires that</w:t>
            </w:r>
          </w:p>
        </w:tc>
        <w:tc>
          <w:tcPr>
            <w:tcW w:w="880" w:type="dxa"/>
            <w:vAlign w:val="bottom"/>
            <w:tcBorders>
              <w:right w:val="single" w:sz="8" w:color="029C93"/>
            </w:tcBorders>
            <w:shd w:val="clear" w:color="auto" w:fill="E6E6E7"/>
          </w:tcPr>
          <w:p>
            <w:pPr>
              <w:spacing w:after="0"/>
              <w:rPr>
                <w:sz w:val="9"/>
                <w:szCs w:val="9"/>
                <w:color w:val="auto"/>
              </w:rPr>
            </w:pP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resulting in Genmab’s or our vendors’/ suppliers’</w:t>
            </w:r>
          </w:p>
        </w:tc>
        <w:tc>
          <w:tcPr>
            <w:tcW w:w="3700" w:type="dxa"/>
            <w:vAlign w:val="bottom"/>
            <w:gridSpan w:val="2"/>
            <w:shd w:val="clear" w:color="auto" w:fill="E6E6E7"/>
          </w:tcPr>
          <w:p>
            <w:pPr>
              <w:ind w:left="60"/>
              <w:spacing w:after="0" w:line="109" w:lineRule="exact"/>
              <w:rPr>
                <w:sz w:val="20"/>
                <w:szCs w:val="20"/>
                <w:color w:val="auto"/>
              </w:rPr>
            </w:pPr>
            <w:r>
              <w:rPr>
                <w:rFonts w:ascii="Arial" w:cs="Arial" w:eastAsia="Arial" w:hAnsi="Arial"/>
                <w:sz w:val="10"/>
                <w:szCs w:val="10"/>
                <w:color w:val="auto"/>
              </w:rPr>
              <w:t>our vendors operate with the same standards. Genmab has established a quality</w:t>
            </w:r>
          </w:p>
        </w:tc>
        <w:tc>
          <w:tcPr>
            <w:tcW w:w="880" w:type="dxa"/>
            <w:vAlign w:val="bottom"/>
            <w:tcBorders>
              <w:right w:val="single" w:sz="8" w:color="029C93"/>
            </w:tcBorders>
            <w:shd w:val="clear" w:color="auto" w:fill="E6E6E7"/>
          </w:tcPr>
          <w:p>
            <w:pPr>
              <w:spacing w:after="0"/>
              <w:rPr>
                <w:sz w:val="9"/>
                <w:szCs w:val="9"/>
                <w:color w:val="auto"/>
              </w:rPr>
            </w:pP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inability to operate these facilities could materially</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assurance (QA) department to set high-quality standards and monitor adherence to these Practices.</w:t>
            </w:r>
          </w:p>
        </w:tc>
        <w:tc>
          <w:tcPr>
            <w:tcW w:w="600" w:type="dxa"/>
            <w:vAlign w:val="bottom"/>
            <w:tcBorders>
              <w:right w:val="single" w:sz="8" w:color="029C93"/>
            </w:tcBorders>
            <w:shd w:val="clear" w:color="auto" w:fill="E6E6E7"/>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shd w:val="clear" w:color="auto" w:fill="E6E6E7"/>
          </w:tcPr>
          <w:p>
            <w:pPr>
              <w:ind w:left="40"/>
              <w:spacing w:after="0"/>
              <w:rPr>
                <w:sz w:val="20"/>
                <w:szCs w:val="20"/>
                <w:color w:val="auto"/>
              </w:rPr>
            </w:pPr>
            <w:r>
              <w:rPr>
                <w:rFonts w:ascii="Arial" w:cs="Arial" w:eastAsia="Arial" w:hAnsi="Arial"/>
                <w:sz w:val="10"/>
                <w:szCs w:val="10"/>
                <w:color w:val="auto"/>
              </w:rPr>
              <w:t>disrupt our business.</w:t>
            </w:r>
          </w:p>
        </w:tc>
        <w:tc>
          <w:tcPr>
            <w:tcW w:w="40" w:type="dxa"/>
            <w:vAlign w:val="bottom"/>
            <w:tcBorders>
              <w:bottom w:val="single" w:sz="8" w:color="029C93"/>
            </w:tcBorders>
            <w:shd w:val="clear" w:color="auto" w:fill="E6E6E7"/>
          </w:tcPr>
          <w:p>
            <w:pPr>
              <w:spacing w:after="0"/>
              <w:rPr>
                <w:sz w:val="11"/>
                <w:szCs w:val="11"/>
                <w:color w:val="auto"/>
              </w:rPr>
            </w:pPr>
          </w:p>
        </w:tc>
        <w:tc>
          <w:tcPr>
            <w:tcW w:w="660" w:type="dxa"/>
            <w:vAlign w:val="bottom"/>
            <w:tcBorders>
              <w:bottom w:val="single" w:sz="8" w:color="029C93"/>
              <w:right w:val="single" w:sz="8" w:color="029C93"/>
            </w:tcBorders>
            <w:shd w:val="clear" w:color="auto" w:fill="E6E6E7"/>
          </w:tcPr>
          <w:p>
            <w:pPr>
              <w:spacing w:after="0"/>
              <w:rPr>
                <w:sz w:val="11"/>
                <w:szCs w:val="11"/>
                <w:color w:val="auto"/>
              </w:rPr>
            </w:pPr>
          </w:p>
        </w:tc>
        <w:tc>
          <w:tcPr>
            <w:tcW w:w="120" w:type="dxa"/>
            <w:vAlign w:val="bottom"/>
            <w:tcBorders>
              <w:bottom w:val="single" w:sz="8" w:color="029C93"/>
            </w:tcBorders>
            <w:shd w:val="clear" w:color="auto" w:fill="E6E6E7"/>
          </w:tcPr>
          <w:p>
            <w:pPr>
              <w:spacing w:after="0"/>
              <w:rPr>
                <w:sz w:val="11"/>
                <w:szCs w:val="11"/>
                <w:color w:val="auto"/>
              </w:rPr>
            </w:pPr>
          </w:p>
        </w:tc>
        <w:tc>
          <w:tcPr>
            <w:tcW w:w="3580" w:type="dxa"/>
            <w:vAlign w:val="bottom"/>
            <w:tcBorders>
              <w:bottom w:val="single" w:sz="8" w:color="029C93"/>
            </w:tcBorders>
            <w:shd w:val="clear" w:color="auto" w:fill="E6E6E7"/>
          </w:tcPr>
          <w:p>
            <w:pPr>
              <w:spacing w:after="0"/>
              <w:rPr>
                <w:sz w:val="11"/>
                <w:szCs w:val="11"/>
                <w:color w:val="auto"/>
              </w:rPr>
            </w:pPr>
          </w:p>
        </w:tc>
        <w:tc>
          <w:tcPr>
            <w:tcW w:w="880" w:type="dxa"/>
            <w:vAlign w:val="bottom"/>
            <w:tcBorders>
              <w:bottom w:val="single" w:sz="8" w:color="029C93"/>
              <w:right w:val="single" w:sz="8" w:color="029C93"/>
            </w:tcBorders>
            <w:shd w:val="clear" w:color="auto" w:fill="E6E6E7"/>
          </w:tcPr>
          <w:p>
            <w:pPr>
              <w:spacing w:after="0"/>
              <w:rPr>
                <w:sz w:val="11"/>
                <w:szCs w:val="11"/>
                <w:color w:val="auto"/>
              </w:rPr>
            </w:pPr>
          </w:p>
        </w:tc>
        <w:tc>
          <w:tcPr>
            <w:tcW w:w="600" w:type="dxa"/>
            <w:vAlign w:val="bottom"/>
            <w:tcBorders>
              <w:bottom w:val="single" w:sz="8" w:color="029C93"/>
              <w:right w:val="single" w:sz="8" w:color="029C93"/>
            </w:tcBorders>
            <w:shd w:val="clear" w:color="auto" w:fill="E6E6E7"/>
          </w:tcPr>
          <w:p>
            <w:pPr>
              <w:spacing w:after="0"/>
              <w:rPr>
                <w:sz w:val="11"/>
                <w:szCs w:val="1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If we are unable to effectively manage Genmab’s</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w w:val="99"/>
              </w:rPr>
              <w:t>We have experienced rapid growth over the last several years, and we anticipate further growth as our</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ind w:left="40"/>
              <w:spacing w:after="0" w:line="109" w:lineRule="exact"/>
              <w:rPr>
                <w:sz w:val="20"/>
                <w:szCs w:val="20"/>
                <w:color w:val="auto"/>
              </w:rPr>
            </w:pPr>
            <w:r>
              <w:rPr>
                <w:rFonts w:ascii="Arial" w:cs="Arial" w:eastAsia="Arial" w:hAnsi="Arial"/>
                <w:sz w:val="10"/>
                <w:szCs w:val="10"/>
                <w:color w:val="auto"/>
                <w:w w:val="98"/>
              </w:rPr>
              <w:t>continued fast-paced growth or build our</w:t>
            </w: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pipeline advances and we move toward further commercialization of products. Such growth, including</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commercialization and other capabilities, our business,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enabling new commercialization, support and other functions, has placed significant demands on our</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financial condition and net profits may be adversely</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management and infrastructure, including new operational and financial systems, as well as extending</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affected. Any business disruption or failure to properly</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manufacturing and commercial outsource arrangements. Our success will depend in part upon our</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manage this continued growth and transformation in a</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ability to manage this growth effectively through leadership, focused prioritization and talent</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manner that reflects and supports our organizational</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management, and maintaining our robust, values-based, collaborative culture. As we continue to grow</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w w:val="99"/>
              </w:rPr>
              <w:t>strategies and priorities, while assuring ethical business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and evolve, we must continuously improve our operational, commercial, compliance, financial and</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practices, prudent risk management, and commercial</w:t>
            </w:r>
          </w:p>
        </w:tc>
        <w:tc>
          <w:tcPr>
            <w:tcW w:w="3700" w:type="dxa"/>
            <w:vAlign w:val="bottom"/>
            <w:gridSpan w:val="2"/>
          </w:tcPr>
          <w:p>
            <w:pPr>
              <w:ind w:left="60"/>
              <w:spacing w:after="0" w:line="109" w:lineRule="exact"/>
              <w:rPr>
                <w:sz w:val="20"/>
                <w:szCs w:val="20"/>
                <w:color w:val="auto"/>
              </w:rPr>
            </w:pPr>
            <w:r>
              <w:rPr>
                <w:rFonts w:ascii="Arial" w:cs="Arial" w:eastAsia="Arial" w:hAnsi="Arial"/>
                <w:sz w:val="10"/>
                <w:szCs w:val="10"/>
                <w:color w:val="auto"/>
              </w:rPr>
              <w:t>management practices and controls.</w:t>
            </w:r>
          </w:p>
        </w:tc>
        <w:tc>
          <w:tcPr>
            <w:tcW w:w="88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compliance, could have a material adverse effect on</w:t>
            </w:r>
          </w:p>
        </w:tc>
        <w:tc>
          <w:tcPr>
            <w:tcW w:w="1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8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our business, financial condition, results of operations</w:t>
            </w:r>
          </w:p>
        </w:tc>
        <w:tc>
          <w:tcPr>
            <w:tcW w:w="1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8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tcPr>
          <w:p>
            <w:pPr>
              <w:ind w:left="40"/>
              <w:spacing w:after="0"/>
              <w:rPr>
                <w:sz w:val="20"/>
                <w:szCs w:val="20"/>
                <w:color w:val="auto"/>
              </w:rPr>
            </w:pPr>
            <w:r>
              <w:rPr>
                <w:rFonts w:ascii="Arial" w:cs="Arial" w:eastAsia="Arial" w:hAnsi="Arial"/>
                <w:sz w:val="10"/>
                <w:szCs w:val="10"/>
                <w:color w:val="auto"/>
              </w:rPr>
              <w:t>and cash flows.</w:t>
            </w:r>
          </w:p>
        </w:tc>
        <w:tc>
          <w:tcPr>
            <w:tcW w:w="40" w:type="dxa"/>
            <w:vAlign w:val="bottom"/>
            <w:tcBorders>
              <w:bottom w:val="single" w:sz="8" w:color="029C93"/>
            </w:tcBorders>
          </w:tcPr>
          <w:p>
            <w:pPr>
              <w:spacing w:after="0"/>
              <w:rPr>
                <w:sz w:val="11"/>
                <w:szCs w:val="11"/>
                <w:color w:val="auto"/>
              </w:rPr>
            </w:pPr>
          </w:p>
        </w:tc>
        <w:tc>
          <w:tcPr>
            <w:tcW w:w="660" w:type="dxa"/>
            <w:vAlign w:val="bottom"/>
            <w:tcBorders>
              <w:bottom w:val="single" w:sz="8" w:color="029C93"/>
              <w:right w:val="single" w:sz="8" w:color="029C93"/>
            </w:tcBorders>
          </w:tcPr>
          <w:p>
            <w:pPr>
              <w:spacing w:after="0"/>
              <w:rPr>
                <w:sz w:val="11"/>
                <w:szCs w:val="11"/>
                <w:color w:val="auto"/>
              </w:rPr>
            </w:pPr>
          </w:p>
        </w:tc>
        <w:tc>
          <w:tcPr>
            <w:tcW w:w="120" w:type="dxa"/>
            <w:vAlign w:val="bottom"/>
            <w:tcBorders>
              <w:bottom w:val="single" w:sz="8" w:color="029C93"/>
            </w:tcBorders>
          </w:tcPr>
          <w:p>
            <w:pPr>
              <w:spacing w:after="0"/>
              <w:rPr>
                <w:sz w:val="11"/>
                <w:szCs w:val="11"/>
                <w:color w:val="auto"/>
              </w:rPr>
            </w:pPr>
          </w:p>
        </w:tc>
        <w:tc>
          <w:tcPr>
            <w:tcW w:w="3580" w:type="dxa"/>
            <w:vAlign w:val="bottom"/>
            <w:tcBorders>
              <w:bottom w:val="single" w:sz="8" w:color="029C93"/>
            </w:tcBorders>
          </w:tcPr>
          <w:p>
            <w:pPr>
              <w:spacing w:after="0"/>
              <w:rPr>
                <w:sz w:val="11"/>
                <w:szCs w:val="11"/>
                <w:color w:val="auto"/>
              </w:rPr>
            </w:pPr>
          </w:p>
        </w:tc>
        <w:tc>
          <w:tcPr>
            <w:tcW w:w="88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104"/>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4" w:lineRule="exact"/>
              <w:rPr>
                <w:sz w:val="20"/>
                <w:szCs w:val="20"/>
                <w:color w:val="auto"/>
              </w:rPr>
            </w:pPr>
            <w:r>
              <w:rPr>
                <w:rFonts w:ascii="Arial" w:cs="Arial" w:eastAsia="Arial" w:hAnsi="Arial"/>
                <w:sz w:val="10"/>
                <w:szCs w:val="10"/>
                <w:color w:val="auto"/>
              </w:rPr>
              <w:t>Genmab is subject to government regulations on</w:t>
            </w:r>
          </w:p>
        </w:tc>
        <w:tc>
          <w:tcPr>
            <w:tcW w:w="4580" w:type="dxa"/>
            <w:vAlign w:val="bottom"/>
            <w:tcBorders>
              <w:right w:val="single" w:sz="8" w:color="029C93"/>
            </w:tcBorders>
            <w:gridSpan w:val="3"/>
            <w:shd w:val="clear" w:color="auto" w:fill="E6E6E7"/>
          </w:tcPr>
          <w:p>
            <w:pPr>
              <w:ind w:left="60"/>
              <w:spacing w:after="0" w:line="104" w:lineRule="exact"/>
              <w:rPr>
                <w:sz w:val="20"/>
                <w:szCs w:val="20"/>
                <w:color w:val="auto"/>
              </w:rPr>
            </w:pPr>
            <w:r>
              <w:rPr>
                <w:rFonts w:ascii="Arial" w:cs="Arial" w:eastAsia="Arial" w:hAnsi="Arial"/>
                <w:sz w:val="10"/>
                <w:szCs w:val="10"/>
                <w:color w:val="auto"/>
              </w:rPr>
              <w:t>Genmab strives to develop differentiated, cost-effective products that are well-positioned to secure</w:t>
            </w:r>
          </w:p>
        </w:tc>
        <w:tc>
          <w:tcPr>
            <w:tcW w:w="600" w:type="dxa"/>
            <w:vAlign w:val="bottom"/>
            <w:tcBorders>
              <w:right w:val="single" w:sz="8" w:color="029C93"/>
            </w:tcBorders>
            <w:shd w:val="clear" w:color="auto" w:fill="E6E6E7"/>
          </w:tcPr>
          <w:p>
            <w:pPr>
              <w:ind w:left="60"/>
              <w:spacing w:after="0" w:line="104" w:lineRule="exact"/>
              <w:rPr>
                <w:sz w:val="20"/>
                <w:szCs w:val="20"/>
                <w:color w:val="auto"/>
              </w:rPr>
            </w:pPr>
            <w:r>
              <w:rPr>
                <w:rFonts w:ascii="Arial" w:cs="Arial" w:eastAsia="Arial" w:hAnsi="Arial"/>
                <w:sz w:val="10"/>
                <w:szCs w:val="10"/>
                <w:color w:val="auto"/>
              </w:rPr>
              <w:t>&gt;</w:t>
            </w:r>
          </w:p>
        </w:tc>
      </w:tr>
      <w:tr>
        <w:trPr>
          <w:trHeight w:val="101"/>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gridSpan w:val="3"/>
            <w:shd w:val="clear" w:color="auto" w:fill="E6E6E7"/>
          </w:tcPr>
          <w:p>
            <w:pPr>
              <w:ind w:left="40"/>
              <w:spacing w:after="0" w:line="101" w:lineRule="exact"/>
              <w:rPr>
                <w:sz w:val="20"/>
                <w:szCs w:val="20"/>
                <w:color w:val="auto"/>
              </w:rPr>
            </w:pPr>
            <w:r>
              <w:rPr>
                <w:rFonts w:ascii="Arial" w:cs="Arial" w:eastAsia="Arial" w:hAnsi="Arial"/>
                <w:sz w:val="10"/>
                <w:szCs w:val="10"/>
                <w:color w:val="auto"/>
              </w:rPr>
              <w:t>pricing/public reimbursement as well as other</w:t>
            </w:r>
          </w:p>
        </w:tc>
        <w:tc>
          <w:tcPr>
            <w:tcW w:w="4580" w:type="dxa"/>
            <w:vAlign w:val="bottom"/>
            <w:tcBorders>
              <w:right w:val="single" w:sz="8" w:color="029C93"/>
            </w:tcBorders>
            <w:gridSpan w:val="3"/>
            <w:shd w:val="clear" w:color="auto" w:fill="E6E6E7"/>
          </w:tcPr>
          <w:p>
            <w:pPr>
              <w:ind w:left="60"/>
              <w:spacing w:after="0" w:line="101" w:lineRule="exact"/>
              <w:rPr>
                <w:sz w:val="20"/>
                <w:szCs w:val="20"/>
                <w:color w:val="auto"/>
              </w:rPr>
            </w:pPr>
            <w:r>
              <w:rPr>
                <w:rFonts w:ascii="Arial" w:cs="Arial" w:eastAsia="Arial" w:hAnsi="Arial"/>
                <w:sz w:val="10"/>
                <w:szCs w:val="10"/>
                <w:color w:val="auto"/>
              </w:rPr>
              <w:t>reasonable price reimbursement by government healthcare programs and private health insurers.</w:t>
            </w:r>
          </w:p>
        </w:tc>
        <w:tc>
          <w:tcPr>
            <w:tcW w:w="600" w:type="dxa"/>
            <w:vAlign w:val="bottom"/>
            <w:tcBorders>
              <w:right w:val="single" w:sz="8" w:color="029C93"/>
            </w:tcBorders>
            <w:shd w:val="clear" w:color="auto" w:fill="E6E6E7"/>
          </w:tcPr>
          <w:p>
            <w:pPr>
              <w:spacing w:after="0"/>
              <w:rPr>
                <w:sz w:val="8"/>
                <w:szCs w:val="8"/>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w w:val="99"/>
              </w:rPr>
              <w:t>healthcare payer cost-containment initiatives; increased</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7"/>
              </w:rPr>
              <w:t>Genmab has also established a US Government Affairs &amp; Policy department to interact with federal and</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pressures by governmental and third-party payers to</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state policymakers to advance policies aimed at improving patient lives through access to quality</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ind w:left="40"/>
              <w:spacing w:after="0" w:line="109" w:lineRule="exact"/>
              <w:rPr>
                <w:sz w:val="20"/>
                <w:szCs w:val="20"/>
                <w:color w:val="auto"/>
              </w:rPr>
            </w:pPr>
            <w:r>
              <w:rPr>
                <w:rFonts w:ascii="Arial" w:cs="Arial" w:eastAsia="Arial" w:hAnsi="Arial"/>
                <w:sz w:val="10"/>
                <w:szCs w:val="10"/>
                <w:color w:val="auto"/>
              </w:rPr>
              <w:t>reduce healthcare costs.</w:t>
            </w: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9"/>
              </w:rPr>
              <w:t>healthcare. The US Market Access department was established to educate payers on the value of our</w:t>
            </w:r>
          </w:p>
        </w:tc>
        <w:tc>
          <w:tcPr>
            <w:tcW w:w="600" w:type="dxa"/>
            <w:vAlign w:val="bottom"/>
            <w:tcBorders>
              <w:right w:val="single" w:sz="8" w:color="029C93"/>
            </w:tcBorders>
            <w:shd w:val="clear" w:color="auto" w:fill="E6E6E7"/>
          </w:tcPr>
          <w:p>
            <w:pPr>
              <w:spacing w:after="0"/>
              <w:rPr>
                <w:sz w:val="9"/>
                <w:szCs w:val="9"/>
                <w:color w:val="auto"/>
              </w:rPr>
            </w:pPr>
          </w:p>
        </w:tc>
      </w:tr>
      <w:tr>
        <w:trPr>
          <w:trHeight w:val="125"/>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shd w:val="clear" w:color="auto" w:fill="E6E6E7"/>
          </w:tcPr>
          <w:p>
            <w:pPr>
              <w:spacing w:after="0"/>
              <w:rPr>
                <w:sz w:val="10"/>
                <w:szCs w:val="10"/>
                <w:color w:val="auto"/>
              </w:rPr>
            </w:pPr>
          </w:p>
        </w:tc>
        <w:tc>
          <w:tcPr>
            <w:tcW w:w="40" w:type="dxa"/>
            <w:vAlign w:val="bottom"/>
            <w:shd w:val="clear" w:color="auto" w:fill="E6E6E7"/>
          </w:tcPr>
          <w:p>
            <w:pPr>
              <w:spacing w:after="0"/>
              <w:rPr>
                <w:sz w:val="10"/>
                <w:szCs w:val="10"/>
                <w:color w:val="auto"/>
              </w:rPr>
            </w:pPr>
          </w:p>
        </w:tc>
        <w:tc>
          <w:tcPr>
            <w:tcW w:w="660" w:type="dxa"/>
            <w:vAlign w:val="bottom"/>
            <w:tcBorders>
              <w:right w:val="single" w:sz="8" w:color="029C93"/>
            </w:tcBorders>
            <w:shd w:val="clear" w:color="auto" w:fill="E6E6E7"/>
          </w:tcPr>
          <w:p>
            <w:pPr>
              <w:spacing w:after="0"/>
              <w:rPr>
                <w:sz w:val="10"/>
                <w:szCs w:val="10"/>
                <w:color w:val="auto"/>
              </w:rPr>
            </w:pPr>
          </w:p>
        </w:tc>
        <w:tc>
          <w:tcPr>
            <w:tcW w:w="3700" w:type="dxa"/>
            <w:vAlign w:val="bottom"/>
            <w:gridSpan w:val="2"/>
            <w:shd w:val="clear" w:color="auto" w:fill="E6E6E7"/>
          </w:tcPr>
          <w:p>
            <w:pPr>
              <w:ind w:left="60"/>
              <w:spacing w:after="0"/>
              <w:rPr>
                <w:sz w:val="20"/>
                <w:szCs w:val="20"/>
                <w:color w:val="auto"/>
              </w:rPr>
            </w:pPr>
            <w:r>
              <w:rPr>
                <w:rFonts w:ascii="Arial" w:cs="Arial" w:eastAsia="Arial" w:hAnsi="Arial"/>
                <w:sz w:val="10"/>
                <w:szCs w:val="10"/>
                <w:color w:val="auto"/>
              </w:rPr>
              <w:t>products.</w:t>
            </w:r>
          </w:p>
        </w:tc>
        <w:tc>
          <w:tcPr>
            <w:tcW w:w="880" w:type="dxa"/>
            <w:vAlign w:val="bottom"/>
            <w:tcBorders>
              <w:right w:val="single" w:sz="8" w:color="029C93"/>
            </w:tcBorders>
            <w:shd w:val="clear" w:color="auto" w:fill="E6E6E7"/>
          </w:tcPr>
          <w:p>
            <w:pPr>
              <w:spacing w:after="0"/>
              <w:rPr>
                <w:sz w:val="10"/>
                <w:szCs w:val="10"/>
                <w:color w:val="auto"/>
              </w:rPr>
            </w:pPr>
          </w:p>
        </w:tc>
        <w:tc>
          <w:tcPr>
            <w:tcW w:w="600" w:type="dxa"/>
            <w:vAlign w:val="bottom"/>
            <w:tcBorders>
              <w:right w:val="single" w:sz="8" w:color="029C93"/>
            </w:tcBorders>
            <w:shd w:val="clear" w:color="auto" w:fill="E6E6E7"/>
          </w:tcPr>
          <w:p>
            <w:pPr>
              <w:spacing w:after="0"/>
              <w:rPr>
                <w:sz w:val="10"/>
                <w:szCs w:val="10"/>
                <w:color w:val="auto"/>
              </w:rPr>
            </w:pPr>
          </w:p>
        </w:tc>
      </w:tr>
      <w:tr>
        <w:trPr>
          <w:trHeight w:val="142"/>
        </w:trPr>
        <w:tc>
          <w:tcPr>
            <w:tcW w:w="1280" w:type="dxa"/>
            <w:vAlign w:val="bottom"/>
            <w:tcBorders>
              <w:left w:val="single" w:sz="8" w:color="029C93"/>
              <w:bottom w:val="single" w:sz="8" w:color="029C93"/>
              <w:right w:val="single" w:sz="8" w:color="029C93"/>
            </w:tcBorders>
          </w:tcPr>
          <w:p>
            <w:pPr>
              <w:spacing w:after="0"/>
              <w:rPr>
                <w:sz w:val="12"/>
                <w:szCs w:val="12"/>
                <w:color w:val="auto"/>
              </w:rPr>
            </w:pPr>
          </w:p>
        </w:tc>
        <w:tc>
          <w:tcPr>
            <w:tcW w:w="2520" w:type="dxa"/>
            <w:vAlign w:val="bottom"/>
            <w:tcBorders>
              <w:bottom w:val="single" w:sz="8" w:color="029C93"/>
              <w:right w:val="single" w:sz="8" w:color="029C93"/>
            </w:tcBorders>
            <w:gridSpan w:val="3"/>
            <w:shd w:val="clear" w:color="auto" w:fill="E6E6E7"/>
          </w:tcPr>
          <w:p>
            <w:pPr>
              <w:spacing w:after="0"/>
              <w:rPr>
                <w:sz w:val="12"/>
                <w:szCs w:val="12"/>
                <w:color w:val="auto"/>
              </w:rPr>
            </w:pPr>
          </w:p>
        </w:tc>
        <w:tc>
          <w:tcPr>
            <w:tcW w:w="4580" w:type="dxa"/>
            <w:vAlign w:val="bottom"/>
            <w:tcBorders>
              <w:bottom w:val="single" w:sz="8" w:color="029C93"/>
              <w:right w:val="single" w:sz="8" w:color="029C93"/>
            </w:tcBorders>
            <w:gridSpan w:val="3"/>
            <w:shd w:val="clear" w:color="auto" w:fill="E6E6E7"/>
          </w:tcPr>
          <w:p>
            <w:pPr>
              <w:spacing w:after="0"/>
              <w:rPr>
                <w:sz w:val="12"/>
                <w:szCs w:val="12"/>
                <w:color w:val="auto"/>
              </w:rPr>
            </w:pPr>
          </w:p>
        </w:tc>
        <w:tc>
          <w:tcPr>
            <w:tcW w:w="600" w:type="dxa"/>
            <w:vAlign w:val="bottom"/>
            <w:tcBorders>
              <w:bottom w:val="single" w:sz="8" w:color="029C93"/>
              <w:right w:val="single" w:sz="8" w:color="029C93"/>
            </w:tcBorders>
            <w:shd w:val="clear" w:color="auto" w:fill="E6E6E7"/>
          </w:tcPr>
          <w:p>
            <w:pPr>
              <w:spacing w:after="0"/>
              <w:rPr>
                <w:sz w:val="12"/>
                <w:szCs w:val="12"/>
                <w:color w:val="auto"/>
              </w:rPr>
            </w:pPr>
          </w:p>
        </w:tc>
      </w:tr>
      <w:tr>
        <w:trPr>
          <w:trHeight w:val="107"/>
        </w:trPr>
        <w:tc>
          <w:tcPr>
            <w:tcW w:w="1280" w:type="dxa"/>
            <w:vAlign w:val="bottom"/>
            <w:tcBorders>
              <w:left w:val="single" w:sz="8" w:color="029C93"/>
              <w:right w:val="single" w:sz="8" w:color="029C93"/>
            </w:tcBorders>
          </w:tcPr>
          <w:p>
            <w:pPr>
              <w:ind w:left="80"/>
              <w:spacing w:after="0" w:line="107" w:lineRule="exact"/>
              <w:rPr>
                <w:sz w:val="20"/>
                <w:szCs w:val="20"/>
                <w:color w:val="auto"/>
              </w:rPr>
            </w:pPr>
            <w:r>
              <w:rPr>
                <w:rFonts w:ascii="Arial" w:cs="Arial" w:eastAsia="Arial" w:hAnsi="Arial"/>
                <w:sz w:val="10"/>
                <w:szCs w:val="10"/>
                <w:b w:val="1"/>
                <w:bCs w:val="1"/>
                <w:color w:val="auto"/>
              </w:rPr>
              <w:t>Strategic</w:t>
            </w:r>
          </w:p>
        </w:tc>
        <w:tc>
          <w:tcPr>
            <w:tcW w:w="2520" w:type="dxa"/>
            <w:vAlign w:val="bottom"/>
            <w:tcBorders>
              <w:right w:val="single" w:sz="8" w:color="029C93"/>
            </w:tcBorders>
            <w:gridSpan w:val="3"/>
          </w:tcPr>
          <w:p>
            <w:pPr>
              <w:ind w:left="40"/>
              <w:spacing w:after="0" w:line="107" w:lineRule="exact"/>
              <w:rPr>
                <w:sz w:val="20"/>
                <w:szCs w:val="20"/>
                <w:color w:val="auto"/>
              </w:rPr>
            </w:pPr>
            <w:r>
              <w:rPr>
                <w:rFonts w:ascii="Arial" w:cs="Arial" w:eastAsia="Arial" w:hAnsi="Arial"/>
                <w:sz w:val="10"/>
                <w:szCs w:val="10"/>
                <w:color w:val="auto"/>
              </w:rPr>
              <w:t>Genmab is dependent on existing and new</w:t>
            </w:r>
          </w:p>
        </w:tc>
        <w:tc>
          <w:tcPr>
            <w:tcW w:w="4580" w:type="dxa"/>
            <w:vAlign w:val="bottom"/>
            <w:tcBorders>
              <w:right w:val="single" w:sz="8" w:color="029C93"/>
            </w:tcBorders>
            <w:gridSpan w:val="3"/>
          </w:tcPr>
          <w:p>
            <w:pPr>
              <w:ind w:left="60"/>
              <w:spacing w:after="0" w:line="107" w:lineRule="exact"/>
              <w:rPr>
                <w:sz w:val="20"/>
                <w:szCs w:val="20"/>
                <w:color w:val="auto"/>
              </w:rPr>
            </w:pPr>
            <w:r>
              <w:rPr>
                <w:rFonts w:ascii="Arial" w:cs="Arial" w:eastAsia="Arial" w:hAnsi="Arial"/>
                <w:sz w:val="10"/>
                <w:szCs w:val="10"/>
                <w:color w:val="auto"/>
                <w:w w:val="97"/>
              </w:rPr>
              <w:t>Our business may suffer if our collaboration partners do not devote sufficient resources to our programs</w:t>
            </w:r>
          </w:p>
        </w:tc>
        <w:tc>
          <w:tcPr>
            <w:tcW w:w="600" w:type="dxa"/>
            <w:vAlign w:val="bottom"/>
            <w:tcBorders>
              <w:right w:val="single" w:sz="8" w:color="029C93"/>
            </w:tcBorders>
          </w:tcPr>
          <w:p>
            <w:pPr>
              <w:ind w:left="60"/>
              <w:spacing w:after="0" w:line="107" w:lineRule="exact"/>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ind w:left="80"/>
              <w:spacing w:after="0" w:line="109" w:lineRule="exact"/>
              <w:rPr>
                <w:sz w:val="20"/>
                <w:szCs w:val="20"/>
                <w:color w:val="auto"/>
              </w:rPr>
            </w:pPr>
            <w:r>
              <w:rPr>
                <w:rFonts w:ascii="Arial" w:cs="Arial" w:eastAsia="Arial" w:hAnsi="Arial"/>
                <w:sz w:val="10"/>
                <w:szCs w:val="10"/>
                <w:b w:val="1"/>
                <w:bCs w:val="1"/>
                <w:color w:val="auto"/>
              </w:rPr>
              <w:t>Collaborations</w:t>
            </w: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partnerships with major pharmaceutical or biotech</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and products, do not successfully maintain, defend and enforce their intellectual property rights or do</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companies to support our business and develop and</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not otherwise have the ability to successfully develop or commercialize our products, independently or</w:t>
            </w:r>
          </w:p>
        </w:tc>
        <w:tc>
          <w:tcPr>
            <w:tcW w:w="600" w:type="dxa"/>
            <w:vAlign w:val="bottom"/>
            <w:tcBorders>
              <w:right w:val="single" w:sz="8" w:color="029C93"/>
            </w:tcBorders>
          </w:tcPr>
          <w:p>
            <w:pPr>
              <w:spacing w:after="0"/>
              <w:rPr>
                <w:sz w:val="9"/>
                <w:szCs w:val="9"/>
                <w:color w:val="auto"/>
              </w:rPr>
            </w:pPr>
          </w:p>
        </w:tc>
      </w:tr>
      <w:tr>
        <w:trPr>
          <w:trHeight w:val="122"/>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tcPr>
          <w:p>
            <w:pPr>
              <w:ind w:left="40"/>
              <w:spacing w:after="0"/>
              <w:rPr>
                <w:sz w:val="20"/>
                <w:szCs w:val="20"/>
                <w:color w:val="auto"/>
              </w:rPr>
            </w:pPr>
            <w:r>
              <w:rPr>
                <w:rFonts w:ascii="Arial" w:cs="Arial" w:eastAsia="Arial" w:hAnsi="Arial"/>
                <w:sz w:val="10"/>
                <w:szCs w:val="10"/>
                <w:color w:val="auto"/>
              </w:rPr>
              <w:t>commercialize our products.</w:t>
            </w:r>
          </w:p>
        </w:tc>
        <w:tc>
          <w:tcPr>
            <w:tcW w:w="40" w:type="dxa"/>
            <w:vAlign w:val="bottom"/>
          </w:tcPr>
          <w:p>
            <w:pPr>
              <w:spacing w:after="0"/>
              <w:rPr>
                <w:sz w:val="10"/>
                <w:szCs w:val="10"/>
                <w:color w:val="auto"/>
              </w:rPr>
            </w:pPr>
          </w:p>
        </w:tc>
        <w:tc>
          <w:tcPr>
            <w:tcW w:w="660" w:type="dxa"/>
            <w:vAlign w:val="bottom"/>
            <w:tcBorders>
              <w:right w:val="single" w:sz="8" w:color="029C93"/>
            </w:tcBorders>
          </w:tcPr>
          <w:p>
            <w:pPr>
              <w:spacing w:after="0"/>
              <w:rPr>
                <w:sz w:val="10"/>
                <w:szCs w:val="10"/>
                <w:color w:val="auto"/>
              </w:rPr>
            </w:pP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rPr>
              <w:t>in collaboration with others. Our business may also suffer if we are not able to continue our current</w:t>
            </w:r>
          </w:p>
        </w:tc>
        <w:tc>
          <w:tcPr>
            <w:tcW w:w="600" w:type="dxa"/>
            <w:vAlign w:val="bottom"/>
            <w:tcBorders>
              <w:right w:val="single" w:sz="8" w:color="029C93"/>
            </w:tcBorders>
          </w:tcPr>
          <w:p>
            <w:pPr>
              <w:spacing w:after="0"/>
              <w:rPr>
                <w:sz w:val="10"/>
                <w:szCs w:val="10"/>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collaborations or establish new collaborations. Genmab strives to be an attractive and respected</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8"/>
              </w:rPr>
              <w:t>collaboration partner, and to pursue a close and open dialogue with our collaboration partners to share</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ideas and align on best practices and decisions within clinical development and commercialization to</w:t>
            </w: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tcPr>
          <w:p>
            <w:pPr>
              <w:spacing w:after="0"/>
              <w:rPr>
                <w:sz w:val="11"/>
                <w:szCs w:val="11"/>
                <w:color w:val="auto"/>
              </w:rPr>
            </w:pPr>
          </w:p>
        </w:tc>
        <w:tc>
          <w:tcPr>
            <w:tcW w:w="40" w:type="dxa"/>
            <w:vAlign w:val="bottom"/>
            <w:tcBorders>
              <w:bottom w:val="single" w:sz="8" w:color="029C93"/>
            </w:tcBorders>
          </w:tcPr>
          <w:p>
            <w:pPr>
              <w:spacing w:after="0"/>
              <w:rPr>
                <w:sz w:val="11"/>
                <w:szCs w:val="11"/>
                <w:color w:val="auto"/>
              </w:rPr>
            </w:pPr>
          </w:p>
        </w:tc>
        <w:tc>
          <w:tcPr>
            <w:tcW w:w="660" w:type="dxa"/>
            <w:vAlign w:val="bottom"/>
            <w:tcBorders>
              <w:bottom w:val="single" w:sz="8" w:color="029C93"/>
              <w:right w:val="single" w:sz="8" w:color="029C93"/>
            </w:tcBorders>
          </w:tcPr>
          <w:p>
            <w:pPr>
              <w:spacing w:after="0"/>
              <w:rPr>
                <w:sz w:val="11"/>
                <w:szCs w:val="11"/>
                <w:color w:val="auto"/>
              </w:rPr>
            </w:pPr>
          </w:p>
        </w:tc>
        <w:tc>
          <w:tcPr>
            <w:tcW w:w="3700" w:type="dxa"/>
            <w:vAlign w:val="bottom"/>
            <w:tcBorders>
              <w:bottom w:val="single" w:sz="8" w:color="029C93"/>
            </w:tcBorders>
            <w:gridSpan w:val="2"/>
          </w:tcPr>
          <w:p>
            <w:pPr>
              <w:ind w:left="60"/>
              <w:spacing w:after="0"/>
              <w:rPr>
                <w:sz w:val="20"/>
                <w:szCs w:val="20"/>
                <w:color w:val="auto"/>
              </w:rPr>
            </w:pPr>
            <w:r>
              <w:rPr>
                <w:rFonts w:ascii="Arial" w:cs="Arial" w:eastAsia="Arial" w:hAnsi="Arial"/>
                <w:sz w:val="10"/>
                <w:szCs w:val="10"/>
                <w:color w:val="auto"/>
              </w:rPr>
              <w:t>increase the likelihood that we reach our goals.</w:t>
            </w:r>
          </w:p>
        </w:tc>
        <w:tc>
          <w:tcPr>
            <w:tcW w:w="88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shd w:val="clear" w:color="auto" w:fill="E6E6E7"/>
          </w:tcPr>
          <w:p>
            <w:pPr>
              <w:ind w:left="40"/>
              <w:spacing w:after="0"/>
              <w:rPr>
                <w:sz w:val="20"/>
                <w:szCs w:val="20"/>
                <w:color w:val="auto"/>
              </w:rPr>
            </w:pPr>
            <w:r>
              <w:rPr>
                <w:rFonts w:ascii="Arial" w:cs="Arial" w:eastAsia="Arial" w:hAnsi="Arial"/>
                <w:sz w:val="10"/>
                <w:szCs w:val="10"/>
                <w:color w:val="auto"/>
              </w:rPr>
              <w:t>Genmab is primarily dependent on one contract</w:t>
            </w:r>
          </w:p>
        </w:tc>
        <w:tc>
          <w:tcPr>
            <w:tcW w:w="4580" w:type="dxa"/>
            <w:vAlign w:val="bottom"/>
            <w:tcBorders>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auto"/>
              </w:rPr>
              <w:t>Genmab oversees outsourcing and partnership relationships to ensure consistency with strategic</w:t>
            </w:r>
          </w:p>
        </w:tc>
        <w:tc>
          <w:tcPr>
            <w:tcW w:w="600" w:type="dxa"/>
            <w:vAlign w:val="bottom"/>
            <w:tcBorders>
              <w:right w:val="single" w:sz="8" w:color="029C93"/>
            </w:tcBorders>
            <w:shd w:val="clear" w:color="auto" w:fill="E6E6E7"/>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manufacturing organization to produce and supply our</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9"/>
              </w:rPr>
              <w:t>objectives and service provider compliance with regulatory requirements, resources and performance.</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product candidates. Genmab is also dependent on</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This includes assessment of contingency plans, availability of alternative service providers and costs</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clinical research organizations to conduct key aspects</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and resources required to switch service providers. We continually evaluate financial solvency and</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of our clinical trials, and on collaboration partners to</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require our suppliers to abide by a code of conduct consistent with Genmab’s Code of Conduct.</w:t>
            </w:r>
          </w:p>
        </w:tc>
        <w:tc>
          <w:tcPr>
            <w:tcW w:w="600" w:type="dxa"/>
            <w:vAlign w:val="bottom"/>
            <w:tcBorders>
              <w:right w:val="single" w:sz="8" w:color="029C93"/>
            </w:tcBorders>
            <w:shd w:val="clear" w:color="auto" w:fill="E6E6E7"/>
          </w:tcPr>
          <w:p>
            <w:pPr>
              <w:spacing w:after="0"/>
              <w:rPr>
                <w:sz w:val="9"/>
                <w:szCs w:val="9"/>
                <w:color w:val="auto"/>
              </w:rPr>
            </w:pPr>
          </w:p>
        </w:tc>
      </w:tr>
      <w:tr>
        <w:trPr>
          <w:trHeight w:val="129"/>
        </w:trPr>
        <w:tc>
          <w:tcPr>
            <w:tcW w:w="1280" w:type="dxa"/>
            <w:vAlign w:val="bottom"/>
            <w:tcBorders>
              <w:left w:val="single" w:sz="8" w:color="029C93"/>
              <w:bottom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shd w:val="clear" w:color="auto" w:fill="E6E6E7"/>
          </w:tcPr>
          <w:p>
            <w:pPr>
              <w:ind w:left="40"/>
              <w:spacing w:after="0"/>
              <w:rPr>
                <w:sz w:val="20"/>
                <w:szCs w:val="20"/>
                <w:color w:val="auto"/>
              </w:rPr>
            </w:pPr>
            <w:r>
              <w:rPr>
                <w:rFonts w:ascii="Arial" w:cs="Arial" w:eastAsia="Arial" w:hAnsi="Arial"/>
                <w:sz w:val="10"/>
                <w:szCs w:val="10"/>
                <w:color w:val="auto"/>
              </w:rPr>
              <w:t>conduct some of our clinical trials.</w:t>
            </w:r>
          </w:p>
        </w:tc>
        <w:tc>
          <w:tcPr>
            <w:tcW w:w="40" w:type="dxa"/>
            <w:vAlign w:val="bottom"/>
            <w:tcBorders>
              <w:bottom w:val="single" w:sz="8" w:color="029C93"/>
            </w:tcBorders>
            <w:shd w:val="clear" w:color="auto" w:fill="E6E6E7"/>
          </w:tcPr>
          <w:p>
            <w:pPr>
              <w:spacing w:after="0"/>
              <w:rPr>
                <w:sz w:val="11"/>
                <w:szCs w:val="11"/>
                <w:color w:val="auto"/>
              </w:rPr>
            </w:pPr>
          </w:p>
        </w:tc>
        <w:tc>
          <w:tcPr>
            <w:tcW w:w="660" w:type="dxa"/>
            <w:vAlign w:val="bottom"/>
            <w:tcBorders>
              <w:bottom w:val="single" w:sz="8" w:color="029C93"/>
              <w:right w:val="single" w:sz="8" w:color="029C93"/>
            </w:tcBorders>
            <w:shd w:val="clear" w:color="auto" w:fill="E6E6E7"/>
          </w:tcPr>
          <w:p>
            <w:pPr>
              <w:spacing w:after="0"/>
              <w:rPr>
                <w:sz w:val="11"/>
                <w:szCs w:val="11"/>
                <w:color w:val="auto"/>
              </w:rPr>
            </w:pPr>
          </w:p>
        </w:tc>
        <w:tc>
          <w:tcPr>
            <w:tcW w:w="120" w:type="dxa"/>
            <w:vAlign w:val="bottom"/>
            <w:tcBorders>
              <w:bottom w:val="single" w:sz="8" w:color="029C93"/>
            </w:tcBorders>
            <w:shd w:val="clear" w:color="auto" w:fill="E6E6E7"/>
          </w:tcPr>
          <w:p>
            <w:pPr>
              <w:spacing w:after="0"/>
              <w:rPr>
                <w:sz w:val="11"/>
                <w:szCs w:val="11"/>
                <w:color w:val="auto"/>
              </w:rPr>
            </w:pPr>
          </w:p>
        </w:tc>
        <w:tc>
          <w:tcPr>
            <w:tcW w:w="3580" w:type="dxa"/>
            <w:vAlign w:val="bottom"/>
            <w:tcBorders>
              <w:bottom w:val="single" w:sz="8" w:color="029C93"/>
            </w:tcBorders>
            <w:shd w:val="clear" w:color="auto" w:fill="E6E6E7"/>
          </w:tcPr>
          <w:p>
            <w:pPr>
              <w:spacing w:after="0"/>
              <w:rPr>
                <w:sz w:val="11"/>
                <w:szCs w:val="11"/>
                <w:color w:val="auto"/>
              </w:rPr>
            </w:pPr>
          </w:p>
        </w:tc>
        <w:tc>
          <w:tcPr>
            <w:tcW w:w="880" w:type="dxa"/>
            <w:vAlign w:val="bottom"/>
            <w:tcBorders>
              <w:bottom w:val="single" w:sz="8" w:color="029C93"/>
              <w:right w:val="single" w:sz="8" w:color="029C93"/>
            </w:tcBorders>
            <w:shd w:val="clear" w:color="auto" w:fill="E6E6E7"/>
          </w:tcPr>
          <w:p>
            <w:pPr>
              <w:spacing w:after="0"/>
              <w:rPr>
                <w:sz w:val="11"/>
                <w:szCs w:val="11"/>
                <w:color w:val="auto"/>
              </w:rPr>
            </w:pPr>
          </w:p>
        </w:tc>
        <w:tc>
          <w:tcPr>
            <w:tcW w:w="600" w:type="dxa"/>
            <w:vAlign w:val="bottom"/>
            <w:tcBorders>
              <w:bottom w:val="single" w:sz="8" w:color="029C93"/>
              <w:right w:val="single" w:sz="8" w:color="029C93"/>
            </w:tcBorders>
            <w:shd w:val="clear" w:color="auto" w:fill="E6E6E7"/>
          </w:tcPr>
          <w:p>
            <w:pPr>
              <w:spacing w:after="0"/>
              <w:rPr>
                <w:sz w:val="11"/>
                <w:szCs w:val="11"/>
                <w:color w:val="auto"/>
              </w:rPr>
            </w:pPr>
          </w:p>
        </w:tc>
      </w:tr>
      <w:tr>
        <w:trPr>
          <w:trHeight w:val="232"/>
        </w:trPr>
        <w:tc>
          <w:tcPr>
            <w:tcW w:w="1280" w:type="dxa"/>
            <w:vAlign w:val="bottom"/>
          </w:tcPr>
          <w:p>
            <w:pPr>
              <w:spacing w:after="0"/>
              <w:rPr>
                <w:sz w:val="20"/>
                <w:szCs w:val="20"/>
                <w:color w:val="auto"/>
              </w:rPr>
            </w:pPr>
            <w:r>
              <w:rPr>
                <w:rFonts w:ascii="Arial" w:cs="Arial" w:eastAsia="Arial" w:hAnsi="Arial"/>
                <w:sz w:val="10"/>
                <w:szCs w:val="10"/>
                <w:color w:val="auto"/>
              </w:rPr>
              <w:t>Genmab A/S</w:t>
            </w:r>
          </w:p>
        </w:tc>
        <w:tc>
          <w:tcPr>
            <w:tcW w:w="1820" w:type="dxa"/>
            <w:vAlign w:val="bottom"/>
          </w:tcPr>
          <w:p>
            <w:pPr>
              <w:spacing w:after="0"/>
              <w:rPr>
                <w:sz w:val="20"/>
                <w:szCs w:val="20"/>
                <w:color w:val="auto"/>
              </w:rPr>
            </w:pPr>
          </w:p>
        </w:tc>
        <w:tc>
          <w:tcPr>
            <w:tcW w:w="4400" w:type="dxa"/>
            <w:vAlign w:val="bottom"/>
            <w:gridSpan w:val="4"/>
          </w:tcPr>
          <w:p>
            <w:pPr>
              <w:ind w:left="40"/>
              <w:spacing w:after="0"/>
              <w:rPr>
                <w:sz w:val="20"/>
                <w:szCs w:val="20"/>
                <w:color w:val="auto"/>
              </w:rPr>
            </w:pPr>
            <w:r>
              <w:rPr>
                <w:rFonts w:ascii="Arial" w:cs="Arial" w:eastAsia="Arial" w:hAnsi="Arial"/>
                <w:sz w:val="10"/>
                <w:szCs w:val="10"/>
                <w:color w:val="auto"/>
              </w:rPr>
              <w:t>Tel: +45 7020 2728</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12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w w:val="98"/>
              </w:rPr>
              <w:t>Page 60/158</w:t>
            </w:r>
          </w:p>
        </w:tc>
      </w:tr>
      <w:tr>
        <w:trPr>
          <w:trHeight w:val="105"/>
        </w:trPr>
        <w:tc>
          <w:tcPr>
            <w:tcW w:w="3100" w:type="dxa"/>
            <w:vAlign w:val="bottom"/>
            <w:gridSpan w:val="2"/>
          </w:tcPr>
          <w:p>
            <w:pPr>
              <w:spacing w:after="0" w:line="105" w:lineRule="exact"/>
              <w:rPr>
                <w:sz w:val="20"/>
                <w:szCs w:val="20"/>
                <w:color w:val="auto"/>
              </w:rPr>
            </w:pPr>
            <w:r>
              <w:rPr>
                <w:rFonts w:ascii="Arial" w:cs="Arial" w:eastAsia="Arial" w:hAnsi="Arial"/>
                <w:sz w:val="10"/>
                <w:szCs w:val="10"/>
                <w:color w:val="auto"/>
              </w:rPr>
              <w:t>1560 Copenhagen V, Denmark</w:t>
            </w:r>
          </w:p>
        </w:tc>
        <w:tc>
          <w:tcPr>
            <w:tcW w:w="4400" w:type="dxa"/>
            <w:vAlign w:val="bottom"/>
            <w:gridSpan w:val="4"/>
          </w:tcPr>
          <w:p>
            <w:pPr>
              <w:ind w:left="40"/>
              <w:spacing w:after="0" w:line="105" w:lineRule="exact"/>
              <w:rPr>
                <w:sz w:val="20"/>
                <w:szCs w:val="20"/>
                <w:color w:val="auto"/>
              </w:rPr>
            </w:pPr>
            <w:r>
              <w:rPr>
                <w:rFonts w:ascii="Arial" w:cs="Arial" w:eastAsia="Arial" w:hAnsi="Arial"/>
                <w:sz w:val="10"/>
                <w:szCs w:val="10"/>
                <w:color w:val="0000FF"/>
              </w:rPr>
              <w:t>www.genmab.com</w:t>
            </w:r>
          </w:p>
        </w:tc>
        <w:tc>
          <w:tcPr>
            <w:tcW w:w="14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1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3" w:name="page64"/>
    <w:bookmarkEnd w:id="6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1280" w:type="dxa"/>
            <w:vAlign w:val="bottom"/>
            <w:tcBorders>
              <w:left w:val="single" w:sz="8" w:color="029C93"/>
              <w:right w:val="single" w:sz="8" w:color="029C93"/>
            </w:tcBorders>
            <w:shd w:val="clear" w:color="auto" w:fill="029C93"/>
          </w:tcPr>
          <w:p>
            <w:pPr>
              <w:ind w:left="80"/>
              <w:spacing w:after="0"/>
              <w:rPr>
                <w:sz w:val="20"/>
                <w:szCs w:val="20"/>
                <w:color w:val="auto"/>
              </w:rPr>
            </w:pPr>
            <w:r>
              <w:rPr>
                <w:rFonts w:ascii="Arial" w:cs="Arial" w:eastAsia="Arial" w:hAnsi="Arial"/>
                <w:sz w:val="10"/>
                <w:szCs w:val="10"/>
                <w:b w:val="1"/>
                <w:bCs w:val="1"/>
                <w:color w:val="FFFFFF"/>
              </w:rPr>
              <w:t>Risk related to</w:t>
            </w:r>
          </w:p>
        </w:tc>
        <w:tc>
          <w:tcPr>
            <w:tcW w:w="1820" w:type="dxa"/>
            <w:vAlign w:val="bottom"/>
            <w:shd w:val="clear" w:color="auto" w:fill="029C93"/>
          </w:tcPr>
          <w:p>
            <w:pPr>
              <w:ind w:left="40"/>
              <w:spacing w:after="0"/>
              <w:rPr>
                <w:sz w:val="20"/>
                <w:szCs w:val="20"/>
                <w:color w:val="auto"/>
              </w:rPr>
            </w:pPr>
            <w:r>
              <w:rPr>
                <w:rFonts w:ascii="Arial" w:cs="Arial" w:eastAsia="Arial" w:hAnsi="Arial"/>
                <w:sz w:val="10"/>
                <w:szCs w:val="10"/>
                <w:b w:val="1"/>
                <w:bCs w:val="1"/>
                <w:color w:val="FFFFFF"/>
              </w:rPr>
              <w:t>Risk areas</w:t>
            </w:r>
          </w:p>
        </w:tc>
        <w:tc>
          <w:tcPr>
            <w:tcW w:w="40" w:type="dxa"/>
            <w:vAlign w:val="bottom"/>
            <w:shd w:val="clear" w:color="auto" w:fill="029C93"/>
          </w:tcPr>
          <w:p>
            <w:pPr>
              <w:spacing w:after="0"/>
              <w:rPr>
                <w:sz w:val="10"/>
                <w:szCs w:val="10"/>
                <w:color w:val="auto"/>
              </w:rPr>
            </w:pPr>
          </w:p>
        </w:tc>
        <w:tc>
          <w:tcPr>
            <w:tcW w:w="660" w:type="dxa"/>
            <w:vAlign w:val="bottom"/>
            <w:tcBorders>
              <w:right w:val="single" w:sz="8" w:color="029C93"/>
            </w:tcBorders>
            <w:shd w:val="clear" w:color="auto" w:fill="029C93"/>
          </w:tcPr>
          <w:p>
            <w:pPr>
              <w:spacing w:after="0"/>
              <w:rPr>
                <w:sz w:val="10"/>
                <w:szCs w:val="10"/>
                <w:color w:val="auto"/>
              </w:rPr>
            </w:pPr>
          </w:p>
        </w:tc>
        <w:tc>
          <w:tcPr>
            <w:tcW w:w="3760" w:type="dxa"/>
            <w:vAlign w:val="bottom"/>
            <w:gridSpan w:val="2"/>
            <w:shd w:val="clear" w:color="auto" w:fill="029C93"/>
          </w:tcPr>
          <w:p>
            <w:pPr>
              <w:ind w:left="60"/>
              <w:spacing w:after="0"/>
              <w:rPr>
                <w:sz w:val="20"/>
                <w:szCs w:val="20"/>
                <w:color w:val="auto"/>
              </w:rPr>
            </w:pPr>
            <w:r>
              <w:rPr>
                <w:rFonts w:ascii="Arial" w:cs="Arial" w:eastAsia="Arial" w:hAnsi="Arial"/>
                <w:sz w:val="10"/>
                <w:szCs w:val="10"/>
                <w:b w:val="1"/>
                <w:bCs w:val="1"/>
                <w:color w:val="FFFFFF"/>
              </w:rPr>
              <w:t>Mitigation</w:t>
            </w:r>
          </w:p>
        </w:tc>
        <w:tc>
          <w:tcPr>
            <w:tcW w:w="820" w:type="dxa"/>
            <w:vAlign w:val="bottom"/>
            <w:tcBorders>
              <w:right w:val="single" w:sz="8" w:color="029C93"/>
            </w:tcBorders>
            <w:shd w:val="clear" w:color="auto" w:fill="029C93"/>
          </w:tcPr>
          <w:p>
            <w:pPr>
              <w:spacing w:after="0"/>
              <w:rPr>
                <w:sz w:val="10"/>
                <w:szCs w:val="10"/>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Risk</w:t>
            </w:r>
          </w:p>
        </w:tc>
        <w:tc>
          <w:tcPr>
            <w:tcW w:w="0" w:type="dxa"/>
            <w:vAlign w:val="bottom"/>
          </w:tcPr>
          <w:p>
            <w:pPr>
              <w:spacing w:after="0"/>
              <w:rPr>
                <w:sz w:val="1"/>
                <w:szCs w:val="1"/>
                <w:color w:val="auto"/>
              </w:rPr>
            </w:pPr>
          </w:p>
        </w:tc>
      </w:tr>
      <w:tr>
        <w:trPr>
          <w:trHeight w:val="143"/>
        </w:trPr>
        <w:tc>
          <w:tcPr>
            <w:tcW w:w="1280" w:type="dxa"/>
            <w:vAlign w:val="bottom"/>
            <w:tcBorders>
              <w:left w:val="single" w:sz="8" w:color="029C93"/>
              <w:right w:val="single" w:sz="8" w:color="029C93"/>
            </w:tcBorders>
            <w:shd w:val="clear" w:color="auto" w:fill="029C93"/>
          </w:tcPr>
          <w:p>
            <w:pPr>
              <w:spacing w:after="0"/>
              <w:rPr>
                <w:sz w:val="12"/>
                <w:szCs w:val="12"/>
                <w:color w:val="auto"/>
              </w:rPr>
            </w:pPr>
          </w:p>
        </w:tc>
        <w:tc>
          <w:tcPr>
            <w:tcW w:w="1820" w:type="dxa"/>
            <w:vAlign w:val="bottom"/>
            <w:shd w:val="clear" w:color="auto" w:fill="029C93"/>
          </w:tcPr>
          <w:p>
            <w:pPr>
              <w:spacing w:after="0"/>
              <w:rPr>
                <w:sz w:val="12"/>
                <w:szCs w:val="12"/>
                <w:color w:val="auto"/>
              </w:rPr>
            </w:pPr>
          </w:p>
        </w:tc>
        <w:tc>
          <w:tcPr>
            <w:tcW w:w="40" w:type="dxa"/>
            <w:vAlign w:val="bottom"/>
            <w:shd w:val="clear" w:color="auto" w:fill="029C93"/>
          </w:tcPr>
          <w:p>
            <w:pPr>
              <w:spacing w:after="0"/>
              <w:rPr>
                <w:sz w:val="12"/>
                <w:szCs w:val="12"/>
                <w:color w:val="auto"/>
              </w:rPr>
            </w:pPr>
          </w:p>
        </w:tc>
        <w:tc>
          <w:tcPr>
            <w:tcW w:w="660" w:type="dxa"/>
            <w:vAlign w:val="bottom"/>
            <w:tcBorders>
              <w:right w:val="single" w:sz="8" w:color="029C93"/>
            </w:tcBorders>
            <w:shd w:val="clear" w:color="auto" w:fill="029C93"/>
          </w:tcPr>
          <w:p>
            <w:pPr>
              <w:spacing w:after="0"/>
              <w:rPr>
                <w:sz w:val="12"/>
                <w:szCs w:val="12"/>
                <w:color w:val="auto"/>
              </w:rPr>
            </w:pPr>
          </w:p>
        </w:tc>
        <w:tc>
          <w:tcPr>
            <w:tcW w:w="120" w:type="dxa"/>
            <w:vAlign w:val="bottom"/>
            <w:shd w:val="clear" w:color="auto" w:fill="029C93"/>
          </w:tcPr>
          <w:p>
            <w:pPr>
              <w:spacing w:after="0"/>
              <w:rPr>
                <w:sz w:val="12"/>
                <w:szCs w:val="12"/>
                <w:color w:val="auto"/>
              </w:rPr>
            </w:pPr>
          </w:p>
        </w:tc>
        <w:tc>
          <w:tcPr>
            <w:tcW w:w="3640" w:type="dxa"/>
            <w:vAlign w:val="bottom"/>
            <w:shd w:val="clear" w:color="auto" w:fill="029C93"/>
          </w:tcPr>
          <w:p>
            <w:pPr>
              <w:spacing w:after="0"/>
              <w:rPr>
                <w:sz w:val="12"/>
                <w:szCs w:val="12"/>
                <w:color w:val="auto"/>
              </w:rPr>
            </w:pPr>
          </w:p>
        </w:tc>
        <w:tc>
          <w:tcPr>
            <w:tcW w:w="820" w:type="dxa"/>
            <w:vAlign w:val="bottom"/>
            <w:tcBorders>
              <w:right w:val="single" w:sz="8" w:color="029C93"/>
            </w:tcBorders>
            <w:shd w:val="clear" w:color="auto" w:fill="029C93"/>
          </w:tcPr>
          <w:p>
            <w:pPr>
              <w:spacing w:after="0"/>
              <w:rPr>
                <w:sz w:val="12"/>
                <w:szCs w:val="12"/>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trend</w:t>
            </w:r>
          </w:p>
        </w:tc>
        <w:tc>
          <w:tcPr>
            <w:tcW w:w="0" w:type="dxa"/>
            <w:vAlign w:val="bottom"/>
          </w:tcPr>
          <w:p>
            <w:pPr>
              <w:spacing w:after="0"/>
              <w:rPr>
                <w:sz w:val="1"/>
                <w:szCs w:val="1"/>
                <w:color w:val="auto"/>
              </w:rPr>
            </w:pPr>
          </w:p>
        </w:tc>
      </w:tr>
      <w:tr>
        <w:trPr>
          <w:trHeight w:val="112"/>
        </w:trPr>
        <w:tc>
          <w:tcPr>
            <w:tcW w:w="1280" w:type="dxa"/>
            <w:vAlign w:val="bottom"/>
            <w:tcBorders>
              <w:left w:val="single" w:sz="8" w:color="029C93"/>
              <w:right w:val="single" w:sz="8" w:color="029C93"/>
            </w:tcBorders>
          </w:tcPr>
          <w:p>
            <w:pPr>
              <w:ind w:left="80"/>
              <w:spacing w:after="0" w:line="112" w:lineRule="exact"/>
              <w:rPr>
                <w:sz w:val="20"/>
                <w:szCs w:val="20"/>
                <w:color w:val="auto"/>
              </w:rPr>
            </w:pPr>
            <w:r>
              <w:rPr>
                <w:rFonts w:ascii="Arial" w:cs="Arial" w:eastAsia="Arial" w:hAnsi="Arial"/>
                <w:sz w:val="10"/>
                <w:szCs w:val="10"/>
                <w:b w:val="1"/>
                <w:bCs w:val="1"/>
                <w:color w:val="auto"/>
              </w:rPr>
              <w:t>Regulation, Legislation,</w:t>
            </w:r>
          </w:p>
        </w:tc>
        <w:tc>
          <w:tcPr>
            <w:tcW w:w="2520" w:type="dxa"/>
            <w:vAlign w:val="bottom"/>
            <w:tcBorders>
              <w:right w:val="single" w:sz="8" w:color="029C93"/>
            </w:tcBorders>
            <w:gridSpan w:val="3"/>
          </w:tcPr>
          <w:p>
            <w:pPr>
              <w:ind w:left="40"/>
              <w:spacing w:after="0" w:line="112" w:lineRule="exact"/>
              <w:rPr>
                <w:sz w:val="20"/>
                <w:szCs w:val="20"/>
                <w:color w:val="auto"/>
              </w:rPr>
            </w:pPr>
            <w:r>
              <w:rPr>
                <w:rFonts w:ascii="Arial" w:cs="Arial" w:eastAsia="Arial" w:hAnsi="Arial"/>
                <w:sz w:val="10"/>
                <w:szCs w:val="10"/>
                <w:color w:val="auto"/>
              </w:rPr>
              <w:t>Genmab is subject to extensive legislative, regulatory</w:t>
            </w:r>
          </w:p>
        </w:tc>
        <w:tc>
          <w:tcPr>
            <w:tcW w:w="4580" w:type="dxa"/>
            <w:vAlign w:val="bottom"/>
            <w:tcBorders>
              <w:right w:val="single" w:sz="8" w:color="029C93"/>
            </w:tcBorders>
            <w:gridSpan w:val="3"/>
          </w:tcPr>
          <w:p>
            <w:pPr>
              <w:ind w:left="60"/>
              <w:spacing w:after="0" w:line="112" w:lineRule="exact"/>
              <w:rPr>
                <w:sz w:val="20"/>
                <w:szCs w:val="20"/>
                <w:color w:val="auto"/>
              </w:rPr>
            </w:pPr>
            <w:r>
              <w:rPr>
                <w:rFonts w:ascii="Arial" w:cs="Arial" w:eastAsia="Arial" w:hAnsi="Arial"/>
                <w:sz w:val="10"/>
                <w:szCs w:val="10"/>
                <w:color w:val="auto"/>
              </w:rPr>
              <w:t>To ensure compliance with applicable healthcare laws and regulations, Genmab has established a</w:t>
            </w:r>
          </w:p>
        </w:tc>
        <w:tc>
          <w:tcPr>
            <w:tcW w:w="600" w:type="dxa"/>
            <w:vAlign w:val="bottom"/>
            <w:tcBorders>
              <w:right w:val="single" w:sz="8" w:color="029C93"/>
            </w:tcBorders>
          </w:tcPr>
          <w:p>
            <w:pPr>
              <w:ind w:left="60"/>
              <w:spacing w:after="0" w:line="112" w:lineRule="exact"/>
              <w:rPr>
                <w:sz w:val="20"/>
                <w:szCs w:val="20"/>
                <w:color w:val="auto"/>
              </w:rPr>
            </w:pPr>
            <w:r>
              <w:rPr>
                <w:rFonts w:ascii="Arial" w:cs="Arial" w:eastAsia="Arial" w:hAnsi="Arial"/>
                <w:sz w:val="10"/>
                <w:szCs w:val="10"/>
                <w:color w:val="auto"/>
              </w:rPr>
              <w:t>&gt;</w:t>
            </w:r>
          </w:p>
        </w:tc>
        <w:tc>
          <w:tcPr>
            <w:tcW w:w="0" w:type="dxa"/>
            <w:vAlign w:val="bottom"/>
          </w:tcPr>
          <w:p>
            <w:pPr>
              <w:spacing w:after="0"/>
              <w:rPr>
                <w:sz w:val="1"/>
                <w:szCs w:val="1"/>
                <w:color w:val="auto"/>
              </w:rPr>
            </w:pPr>
          </w:p>
        </w:tc>
      </w:tr>
      <w:tr>
        <w:trPr>
          <w:trHeight w:val="101"/>
        </w:trPr>
        <w:tc>
          <w:tcPr>
            <w:tcW w:w="1280" w:type="dxa"/>
            <w:vAlign w:val="bottom"/>
            <w:tcBorders>
              <w:left w:val="single" w:sz="8" w:color="029C93"/>
              <w:right w:val="single" w:sz="8" w:color="029C93"/>
            </w:tcBorders>
          </w:tcPr>
          <w:p>
            <w:pPr>
              <w:ind w:left="80"/>
              <w:spacing w:after="0" w:line="101" w:lineRule="exact"/>
              <w:rPr>
                <w:sz w:val="20"/>
                <w:szCs w:val="20"/>
                <w:color w:val="auto"/>
              </w:rPr>
            </w:pPr>
            <w:r>
              <w:rPr>
                <w:rFonts w:ascii="Arial" w:cs="Arial" w:eastAsia="Arial" w:hAnsi="Arial"/>
                <w:sz w:val="10"/>
                <w:szCs w:val="10"/>
                <w:b w:val="1"/>
                <w:bCs w:val="1"/>
                <w:color w:val="auto"/>
              </w:rPr>
              <w:t>and Compliance</w:t>
            </w:r>
          </w:p>
        </w:tc>
        <w:tc>
          <w:tcPr>
            <w:tcW w:w="2520" w:type="dxa"/>
            <w:vAlign w:val="bottom"/>
            <w:tcBorders>
              <w:right w:val="single" w:sz="8" w:color="029C93"/>
            </w:tcBorders>
            <w:gridSpan w:val="3"/>
          </w:tcPr>
          <w:p>
            <w:pPr>
              <w:ind w:left="40"/>
              <w:spacing w:after="0" w:line="101" w:lineRule="exact"/>
              <w:rPr>
                <w:sz w:val="20"/>
                <w:szCs w:val="20"/>
                <w:color w:val="auto"/>
              </w:rPr>
            </w:pPr>
            <w:r>
              <w:rPr>
                <w:rFonts w:ascii="Arial" w:cs="Arial" w:eastAsia="Arial" w:hAnsi="Arial"/>
                <w:sz w:val="10"/>
                <w:szCs w:val="10"/>
                <w:color w:val="auto"/>
              </w:rPr>
              <w:t>and other requirements both during clinical</w:t>
            </w:r>
          </w:p>
        </w:tc>
        <w:tc>
          <w:tcPr>
            <w:tcW w:w="4580" w:type="dxa"/>
            <w:vAlign w:val="bottom"/>
            <w:tcBorders>
              <w:right w:val="single" w:sz="8" w:color="029C93"/>
            </w:tcBorders>
            <w:gridSpan w:val="3"/>
          </w:tcPr>
          <w:p>
            <w:pPr>
              <w:ind w:left="60"/>
              <w:spacing w:after="0" w:line="101" w:lineRule="exact"/>
              <w:rPr>
                <w:sz w:val="20"/>
                <w:szCs w:val="20"/>
                <w:color w:val="auto"/>
              </w:rPr>
            </w:pPr>
            <w:r>
              <w:rPr>
                <w:rFonts w:ascii="Arial" w:cs="Arial" w:eastAsia="Arial" w:hAnsi="Arial"/>
                <w:sz w:val="10"/>
                <w:szCs w:val="10"/>
                <w:color w:val="auto"/>
              </w:rPr>
              <w:t>robust compliance program, including a Code of Conduct that is evaluated periodically and sets high</w:t>
            </w:r>
          </w:p>
        </w:tc>
        <w:tc>
          <w:tcPr>
            <w:tcW w:w="600" w:type="dxa"/>
            <w:vAlign w:val="bottom"/>
            <w:tcBorders>
              <w:right w:val="single" w:sz="8" w:color="029C93"/>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development and commercialization and post-</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8"/>
              </w:rPr>
              <w:t>ethical standards on which all colleagues receive regular training. Also, our head of Global Compliance</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ind w:left="40"/>
              <w:spacing w:after="0" w:line="109" w:lineRule="exact"/>
              <w:rPr>
                <w:sz w:val="20"/>
                <w:szCs w:val="20"/>
                <w:color w:val="auto"/>
              </w:rPr>
            </w:pPr>
            <w:r>
              <w:rPr>
                <w:rFonts w:ascii="Arial" w:cs="Arial" w:eastAsia="Arial" w:hAnsi="Arial"/>
                <w:sz w:val="10"/>
                <w:szCs w:val="10"/>
                <w:color w:val="auto"/>
                <w:w w:val="96"/>
              </w:rPr>
              <w:t>marketing approval, including healthcare,</w:t>
            </w: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7"/>
              </w:rPr>
              <w:t>reports directly to the CEO. The data protection area, including policies and guidance for the processing</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ind w:left="40"/>
              <w:spacing w:after="0" w:line="109" w:lineRule="exact"/>
              <w:rPr>
                <w:sz w:val="20"/>
                <w:szCs w:val="20"/>
                <w:color w:val="auto"/>
              </w:rPr>
            </w:pPr>
            <w:r>
              <w:rPr>
                <w:rFonts w:ascii="Arial" w:cs="Arial" w:eastAsia="Arial" w:hAnsi="Arial"/>
                <w:sz w:val="10"/>
                <w:szCs w:val="10"/>
                <w:color w:val="auto"/>
              </w:rPr>
              <w:t>marketing/promotion, fraud and abuse,</w:t>
            </w: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and protection of personal data, is supported by the Company’s Data Protection Officer.</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competition/antitrust laws and regulations, as well as</w:t>
            </w:r>
          </w:p>
        </w:tc>
        <w:tc>
          <w:tcPr>
            <w:tcW w:w="1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transparency, data protection and other requirements.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9"/>
              </w:rPr>
              <w:t>To further support compliance with regulatory, legal and other requirements applicable to our business</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and operations, including current Good Laboratory Practices (cGLP), current Good Clinical Practices</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w w:val="99"/>
              </w:rPr>
              <w:t>Genmab is subject to strict disclosure obligations under</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rPr>
              <w:t>(cGCP) and current Good Manufacturing Practices (cGMP), Genmab has established a quality</w:t>
            </w: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applicable laws and regulations, including the EU</w:t>
            </w:r>
          </w:p>
        </w:tc>
        <w:tc>
          <w:tcPr>
            <w:tcW w:w="3760" w:type="dxa"/>
            <w:vAlign w:val="bottom"/>
            <w:gridSpan w:val="2"/>
          </w:tcPr>
          <w:p>
            <w:pPr>
              <w:ind w:left="60"/>
              <w:spacing w:after="0" w:line="109" w:lineRule="exact"/>
              <w:rPr>
                <w:sz w:val="20"/>
                <w:szCs w:val="20"/>
                <w:color w:val="auto"/>
              </w:rPr>
            </w:pPr>
            <w:r>
              <w:rPr>
                <w:rFonts w:ascii="Arial" w:cs="Arial" w:eastAsia="Arial" w:hAnsi="Arial"/>
                <w:sz w:val="10"/>
                <w:szCs w:val="10"/>
                <w:color w:val="auto"/>
              </w:rPr>
              <w:t>assurance department whose fuction includes staying abreast of and adhering to</w:t>
            </w: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Market Abuse Regulation. As a consequence of the</w:t>
            </w:r>
          </w:p>
        </w:tc>
        <w:tc>
          <w:tcPr>
            <w:tcW w:w="3760" w:type="dxa"/>
            <w:vAlign w:val="bottom"/>
            <w:gridSpan w:val="2"/>
          </w:tcPr>
          <w:p>
            <w:pPr>
              <w:ind w:left="60"/>
              <w:spacing w:after="0"/>
              <w:rPr>
                <w:sz w:val="20"/>
                <w:szCs w:val="20"/>
                <w:color w:val="auto"/>
              </w:rPr>
            </w:pPr>
            <w:r>
              <w:rPr>
                <w:rFonts w:ascii="Arial" w:cs="Arial" w:eastAsia="Arial" w:hAnsi="Arial"/>
                <w:sz w:val="10"/>
                <w:szCs w:val="10"/>
                <w:color w:val="auto"/>
              </w:rPr>
              <w:t>regulatory and legislative changes relevant to quality standards.</w:t>
            </w:r>
          </w:p>
        </w:tc>
        <w:tc>
          <w:tcPr>
            <w:tcW w:w="82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listing on the Nasdaq Global Select market, we are</w:t>
            </w:r>
          </w:p>
        </w:tc>
        <w:tc>
          <w:tcPr>
            <w:tcW w:w="4580" w:type="dxa"/>
            <w:vAlign w:val="bottom"/>
            <w:tcBorders>
              <w:right w:val="single" w:sz="8" w:color="029C93"/>
            </w:tcBorders>
            <w:gridSpan w:val="3"/>
            <w:vMerge w:val="restart"/>
          </w:tcPr>
          <w:p>
            <w:pPr>
              <w:ind w:left="60"/>
              <w:spacing w:after="0"/>
              <w:rPr>
                <w:sz w:val="20"/>
                <w:szCs w:val="20"/>
                <w:color w:val="auto"/>
              </w:rPr>
            </w:pPr>
            <w:r>
              <w:rPr>
                <w:rFonts w:ascii="Arial" w:cs="Arial" w:eastAsia="Arial" w:hAnsi="Arial"/>
                <w:sz w:val="10"/>
                <w:szCs w:val="10"/>
                <w:color w:val="auto"/>
                <w:w w:val="99"/>
              </w:rPr>
              <w:t>Genmab has also established relevant procedures and guidelines to ensure transparency with respect</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gridSpan w:val="3"/>
          </w:tcPr>
          <w:p>
            <w:pPr>
              <w:ind w:left="40"/>
              <w:spacing w:after="0" w:line="96" w:lineRule="exact"/>
              <w:rPr>
                <w:sz w:val="20"/>
                <w:szCs w:val="20"/>
                <w:color w:val="auto"/>
              </w:rPr>
            </w:pPr>
            <w:r>
              <w:rPr>
                <w:rFonts w:ascii="Arial" w:cs="Arial" w:eastAsia="Arial" w:hAnsi="Arial"/>
                <w:sz w:val="10"/>
                <w:szCs w:val="10"/>
                <w:color w:val="auto"/>
              </w:rPr>
              <w:t>subject to additional U.S. regulatory requirements,</w:t>
            </w:r>
          </w:p>
        </w:tc>
        <w:tc>
          <w:tcPr>
            <w:tcW w:w="4580" w:type="dxa"/>
            <w:vAlign w:val="bottom"/>
            <w:tcBorders>
              <w:right w:val="single" w:sz="8" w:color="029C93"/>
            </w:tcBorders>
            <w:gridSpan w:val="3"/>
            <w:vMerge w:val="continue"/>
          </w:tcPr>
          <w:p>
            <w:pPr>
              <w:spacing w:after="0"/>
              <w:rPr>
                <w:sz w:val="8"/>
                <w:szCs w:val="8"/>
                <w:color w:val="auto"/>
              </w:rPr>
            </w:pPr>
          </w:p>
        </w:tc>
        <w:tc>
          <w:tcPr>
            <w:tcW w:w="600" w:type="dxa"/>
            <w:vAlign w:val="bottom"/>
            <w:tcBorders>
              <w:right w:val="single" w:sz="8" w:color="029C93"/>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including U.S. securities laws and the U.S. Foreign</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to providing timely, adequate and correct information to the market and otherwise comply with</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Corrupt Practices Act, and may become more exposed</w:t>
            </w:r>
          </w:p>
        </w:tc>
        <w:tc>
          <w:tcPr>
            <w:tcW w:w="3760" w:type="dxa"/>
            <w:vAlign w:val="bottom"/>
            <w:gridSpan w:val="2"/>
          </w:tcPr>
          <w:p>
            <w:pPr>
              <w:ind w:left="60"/>
              <w:spacing w:after="0"/>
              <w:rPr>
                <w:sz w:val="20"/>
                <w:szCs w:val="20"/>
                <w:color w:val="auto"/>
              </w:rPr>
            </w:pPr>
            <w:r>
              <w:rPr>
                <w:rFonts w:ascii="Arial" w:cs="Arial" w:eastAsia="Arial" w:hAnsi="Arial"/>
                <w:sz w:val="10"/>
                <w:szCs w:val="10"/>
                <w:color w:val="auto"/>
              </w:rPr>
              <w:t>applicable securities laws and other legal and regulatory requirements.</w:t>
            </w:r>
          </w:p>
        </w:tc>
        <w:tc>
          <w:tcPr>
            <w:tcW w:w="82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tcPr>
          <w:p>
            <w:pPr>
              <w:ind w:left="40"/>
              <w:spacing w:after="0"/>
              <w:rPr>
                <w:sz w:val="20"/>
                <w:szCs w:val="20"/>
                <w:color w:val="auto"/>
              </w:rPr>
            </w:pPr>
            <w:r>
              <w:rPr>
                <w:rFonts w:ascii="Arial" w:cs="Arial" w:eastAsia="Arial" w:hAnsi="Arial"/>
                <w:sz w:val="10"/>
                <w:szCs w:val="10"/>
                <w:color w:val="auto"/>
              </w:rPr>
              <w:t>to U.S. class actions.</w:t>
            </w:r>
          </w:p>
        </w:tc>
        <w:tc>
          <w:tcPr>
            <w:tcW w:w="40" w:type="dxa"/>
            <w:vAlign w:val="bottom"/>
          </w:tcPr>
          <w:p>
            <w:pPr>
              <w:spacing w:after="0"/>
              <w:rPr>
                <w:sz w:val="10"/>
                <w:szCs w:val="10"/>
                <w:color w:val="auto"/>
              </w:rPr>
            </w:pPr>
          </w:p>
        </w:tc>
        <w:tc>
          <w:tcPr>
            <w:tcW w:w="660" w:type="dxa"/>
            <w:vAlign w:val="bottom"/>
            <w:tcBorders>
              <w:right w:val="single" w:sz="8" w:color="029C93"/>
            </w:tcBorders>
          </w:tcPr>
          <w:p>
            <w:pPr>
              <w:spacing w:after="0"/>
              <w:rPr>
                <w:sz w:val="10"/>
                <w:szCs w:val="10"/>
                <w:color w:val="auto"/>
              </w:rPr>
            </w:pPr>
          </w:p>
        </w:tc>
        <w:tc>
          <w:tcPr>
            <w:tcW w:w="1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2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right w:val="single" w:sz="8" w:color="029C93"/>
            </w:tcBorders>
          </w:tcPr>
          <w:p>
            <w:pPr>
              <w:spacing w:after="0"/>
              <w:rPr>
                <w:sz w:val="10"/>
                <w:szCs w:val="10"/>
                <w:color w:val="auto"/>
              </w:rPr>
            </w:pP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w w:val="98"/>
              </w:rPr>
              <w:t>Genmab has an Internal Audit function that reports to the Audit and Finance Committee of the Board of</w:t>
            </w: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Borders>
              <w:bottom w:val="single" w:sz="8" w:color="029C93"/>
            </w:tcBorders>
          </w:tcPr>
          <w:p>
            <w:pPr>
              <w:spacing w:after="0"/>
              <w:rPr>
                <w:sz w:val="9"/>
                <w:szCs w:val="9"/>
                <w:color w:val="auto"/>
              </w:rPr>
            </w:pPr>
          </w:p>
        </w:tc>
        <w:tc>
          <w:tcPr>
            <w:tcW w:w="40" w:type="dxa"/>
            <w:vAlign w:val="bottom"/>
            <w:tcBorders>
              <w:bottom w:val="single" w:sz="8" w:color="029C93"/>
            </w:tcBorders>
          </w:tcPr>
          <w:p>
            <w:pPr>
              <w:spacing w:after="0"/>
              <w:rPr>
                <w:sz w:val="9"/>
                <w:szCs w:val="9"/>
                <w:color w:val="auto"/>
              </w:rPr>
            </w:pPr>
          </w:p>
        </w:tc>
        <w:tc>
          <w:tcPr>
            <w:tcW w:w="660" w:type="dxa"/>
            <w:vAlign w:val="bottom"/>
            <w:tcBorders>
              <w:bottom w:val="single" w:sz="8" w:color="029C93"/>
              <w:right w:val="single" w:sz="8" w:color="029C93"/>
            </w:tcBorders>
          </w:tcPr>
          <w:p>
            <w:pPr>
              <w:spacing w:after="0"/>
              <w:rPr>
                <w:sz w:val="9"/>
                <w:szCs w:val="9"/>
                <w:color w:val="auto"/>
              </w:rPr>
            </w:pPr>
          </w:p>
        </w:tc>
        <w:tc>
          <w:tcPr>
            <w:tcW w:w="3760" w:type="dxa"/>
            <w:vAlign w:val="bottom"/>
            <w:tcBorders>
              <w:bottom w:val="single" w:sz="8" w:color="029C93"/>
            </w:tcBorders>
            <w:gridSpan w:val="2"/>
          </w:tcPr>
          <w:p>
            <w:pPr>
              <w:ind w:left="60"/>
              <w:spacing w:after="0" w:line="114" w:lineRule="exact"/>
              <w:rPr>
                <w:sz w:val="20"/>
                <w:szCs w:val="20"/>
                <w:color w:val="auto"/>
              </w:rPr>
            </w:pPr>
            <w:r>
              <w:rPr>
                <w:rFonts w:ascii="Arial" w:cs="Arial" w:eastAsia="Arial" w:hAnsi="Arial"/>
                <w:sz w:val="10"/>
                <w:szCs w:val="10"/>
                <w:color w:val="auto"/>
              </w:rPr>
              <w:t>Directors and administratively reports to the CFO.</w:t>
            </w:r>
          </w:p>
        </w:tc>
        <w:tc>
          <w:tcPr>
            <w:tcW w:w="820" w:type="dxa"/>
            <w:vAlign w:val="bottom"/>
            <w:tcBorders>
              <w:bottom w:val="single" w:sz="8" w:color="029C93"/>
              <w:right w:val="single" w:sz="8" w:color="029C93"/>
            </w:tcBorders>
          </w:tcPr>
          <w:p>
            <w:pPr>
              <w:spacing w:after="0"/>
              <w:rPr>
                <w:sz w:val="9"/>
                <w:szCs w:val="9"/>
                <w:color w:val="auto"/>
              </w:rPr>
            </w:pPr>
          </w:p>
        </w:tc>
        <w:tc>
          <w:tcPr>
            <w:tcW w:w="600" w:type="dxa"/>
            <w:vAlign w:val="bottom"/>
            <w:tcBorders>
              <w:bottom w:val="single" w:sz="8" w:color="029C93"/>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shd w:val="clear" w:color="auto" w:fill="E6E6E7"/>
          </w:tcPr>
          <w:p>
            <w:pPr>
              <w:ind w:left="40"/>
              <w:spacing w:after="0"/>
              <w:rPr>
                <w:sz w:val="20"/>
                <w:szCs w:val="20"/>
                <w:color w:val="auto"/>
              </w:rPr>
            </w:pPr>
            <w:r>
              <w:rPr>
                <w:rFonts w:ascii="Arial" w:cs="Arial" w:eastAsia="Arial" w:hAnsi="Arial"/>
                <w:sz w:val="10"/>
                <w:szCs w:val="10"/>
                <w:color w:val="auto"/>
              </w:rPr>
              <w:t>Legislation, regulations, industry codes and practices,</w:t>
            </w:r>
          </w:p>
        </w:tc>
        <w:tc>
          <w:tcPr>
            <w:tcW w:w="4580" w:type="dxa"/>
            <w:vAlign w:val="bottom"/>
            <w:tcBorders>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auto"/>
              </w:rPr>
              <w:t>To prevent unwarranted consequences of new and amended legislation, regulations, etc., Genmab</w:t>
            </w:r>
          </w:p>
        </w:tc>
        <w:tc>
          <w:tcPr>
            <w:tcW w:w="600" w:type="dxa"/>
            <w:vAlign w:val="bottom"/>
            <w:tcBorders>
              <w:right w:val="single" w:sz="8" w:color="029C93"/>
            </w:tcBorders>
            <w:shd w:val="clear" w:color="auto" w:fill="E6E6E7"/>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and their application may change from time to time.</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8"/>
              </w:rPr>
              <w:t>strives to stay current with respect to all applicable legislation, regulations, industry codes and practices</w:t>
            </w:r>
          </w:p>
        </w:tc>
        <w:tc>
          <w:tcPr>
            <w:tcW w:w="600" w:type="dxa"/>
            <w:vAlign w:val="bottom"/>
            <w:tcBorders>
              <w:right w:val="single" w:sz="8" w:color="029C93"/>
            </w:tcBorders>
            <w:shd w:val="clear" w:color="auto" w:fill="E6E6E7"/>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by means of its internal compliance function and related governance bodies as well as internal and</w:t>
            </w:r>
          </w:p>
        </w:tc>
        <w:tc>
          <w:tcPr>
            <w:tcW w:w="600" w:type="dxa"/>
            <w:vAlign w:val="bottom"/>
            <w:tcBorders>
              <w:right w:val="single" w:sz="8" w:color="029C93"/>
            </w:tcBorders>
            <w:shd w:val="clear" w:color="auto" w:fill="E6E6E7"/>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9"/>
              </w:rPr>
              <w:t>external legal counsel. Also, internal procedures for review and refinement of contracts are ongoing to</w:t>
            </w:r>
          </w:p>
        </w:tc>
        <w:tc>
          <w:tcPr>
            <w:tcW w:w="600" w:type="dxa"/>
            <w:vAlign w:val="bottom"/>
            <w:tcBorders>
              <w:right w:val="single" w:sz="8" w:color="029C93"/>
            </w:tcBorders>
            <w:shd w:val="clear" w:color="auto" w:fill="E6E6E7"/>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ensure contractual consistency and compliance with applicable legislation, regulation, and other</w:t>
            </w:r>
          </w:p>
        </w:tc>
        <w:tc>
          <w:tcPr>
            <w:tcW w:w="600" w:type="dxa"/>
            <w:vAlign w:val="bottom"/>
            <w:tcBorders>
              <w:right w:val="single" w:sz="8" w:color="029C93"/>
            </w:tcBorders>
            <w:shd w:val="clear" w:color="auto" w:fill="E6E6E7"/>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029C93"/>
              <w:bottom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shd w:val="clear" w:color="auto" w:fill="E6E6E7"/>
          </w:tcPr>
          <w:p>
            <w:pPr>
              <w:spacing w:after="0"/>
              <w:rPr>
                <w:sz w:val="11"/>
                <w:szCs w:val="11"/>
                <w:color w:val="auto"/>
              </w:rPr>
            </w:pPr>
          </w:p>
        </w:tc>
        <w:tc>
          <w:tcPr>
            <w:tcW w:w="40" w:type="dxa"/>
            <w:vAlign w:val="bottom"/>
            <w:tcBorders>
              <w:bottom w:val="single" w:sz="8" w:color="029C93"/>
            </w:tcBorders>
            <w:shd w:val="clear" w:color="auto" w:fill="E6E6E7"/>
          </w:tcPr>
          <w:p>
            <w:pPr>
              <w:spacing w:after="0"/>
              <w:rPr>
                <w:sz w:val="11"/>
                <w:szCs w:val="11"/>
                <w:color w:val="auto"/>
              </w:rPr>
            </w:pPr>
          </w:p>
        </w:tc>
        <w:tc>
          <w:tcPr>
            <w:tcW w:w="660" w:type="dxa"/>
            <w:vAlign w:val="bottom"/>
            <w:tcBorders>
              <w:bottom w:val="single" w:sz="8" w:color="029C93"/>
              <w:right w:val="single" w:sz="8" w:color="029C93"/>
            </w:tcBorders>
            <w:shd w:val="clear" w:color="auto" w:fill="E6E6E7"/>
          </w:tcPr>
          <w:p>
            <w:pPr>
              <w:spacing w:after="0"/>
              <w:rPr>
                <w:sz w:val="11"/>
                <w:szCs w:val="11"/>
                <w:color w:val="auto"/>
              </w:rPr>
            </w:pPr>
          </w:p>
        </w:tc>
        <w:tc>
          <w:tcPr>
            <w:tcW w:w="3760" w:type="dxa"/>
            <w:vAlign w:val="bottom"/>
            <w:tcBorders>
              <w:bottom w:val="single" w:sz="8" w:color="029C93"/>
            </w:tcBorders>
            <w:gridSpan w:val="2"/>
            <w:shd w:val="clear" w:color="auto" w:fill="E6E6E7"/>
          </w:tcPr>
          <w:p>
            <w:pPr>
              <w:ind w:left="60"/>
              <w:spacing w:after="0"/>
              <w:rPr>
                <w:sz w:val="20"/>
                <w:szCs w:val="20"/>
                <w:color w:val="auto"/>
              </w:rPr>
            </w:pPr>
            <w:r>
              <w:rPr>
                <w:rFonts w:ascii="Arial" w:cs="Arial" w:eastAsia="Arial" w:hAnsi="Arial"/>
                <w:sz w:val="10"/>
                <w:szCs w:val="10"/>
                <w:color w:val="auto"/>
              </w:rPr>
              <w:t>standards.</w:t>
            </w:r>
          </w:p>
        </w:tc>
        <w:tc>
          <w:tcPr>
            <w:tcW w:w="820" w:type="dxa"/>
            <w:vAlign w:val="bottom"/>
            <w:tcBorders>
              <w:bottom w:val="single" w:sz="8" w:color="029C93"/>
              <w:right w:val="single" w:sz="8" w:color="029C93"/>
            </w:tcBorders>
            <w:shd w:val="clear" w:color="auto" w:fill="E6E6E7"/>
          </w:tcPr>
          <w:p>
            <w:pPr>
              <w:spacing w:after="0"/>
              <w:rPr>
                <w:sz w:val="11"/>
                <w:szCs w:val="11"/>
                <w:color w:val="auto"/>
              </w:rPr>
            </w:pPr>
          </w:p>
        </w:tc>
        <w:tc>
          <w:tcPr>
            <w:tcW w:w="600" w:type="dxa"/>
            <w:vAlign w:val="bottom"/>
            <w:tcBorders>
              <w:bottom w:val="single" w:sz="8" w:color="029C93"/>
              <w:right w:val="single" w:sz="8" w:color="029C93"/>
            </w:tcBorders>
            <w:shd w:val="clear" w:color="auto" w:fill="E6E6E7"/>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280" w:type="dxa"/>
            <w:vAlign w:val="bottom"/>
            <w:tcBorders>
              <w:left w:val="single" w:sz="8" w:color="029C93"/>
              <w:right w:val="single" w:sz="8" w:color="029C93"/>
            </w:tcBorders>
          </w:tcPr>
          <w:p>
            <w:pPr>
              <w:ind w:left="80"/>
              <w:spacing w:after="0" w:line="110" w:lineRule="exact"/>
              <w:rPr>
                <w:sz w:val="20"/>
                <w:szCs w:val="20"/>
                <w:color w:val="auto"/>
              </w:rPr>
            </w:pPr>
            <w:r>
              <w:rPr>
                <w:rFonts w:ascii="Arial" w:cs="Arial" w:eastAsia="Arial" w:hAnsi="Arial"/>
                <w:sz w:val="10"/>
                <w:szCs w:val="10"/>
                <w:b w:val="1"/>
                <w:bCs w:val="1"/>
                <w:color w:val="auto"/>
              </w:rPr>
              <w:t>Intellectual Property</w:t>
            </w:r>
          </w:p>
        </w:tc>
        <w:tc>
          <w:tcPr>
            <w:tcW w:w="2520" w:type="dxa"/>
            <w:vAlign w:val="bottom"/>
            <w:tcBorders>
              <w:right w:val="single" w:sz="8" w:color="029C93"/>
            </w:tcBorders>
            <w:gridSpan w:val="3"/>
          </w:tcPr>
          <w:p>
            <w:pPr>
              <w:ind w:left="40"/>
              <w:spacing w:after="0" w:line="110" w:lineRule="exact"/>
              <w:rPr>
                <w:sz w:val="20"/>
                <w:szCs w:val="20"/>
                <w:color w:val="auto"/>
              </w:rPr>
            </w:pPr>
            <w:r>
              <w:rPr>
                <w:rFonts w:ascii="Arial" w:cs="Arial" w:eastAsia="Arial" w:hAnsi="Arial"/>
                <w:sz w:val="10"/>
                <w:szCs w:val="10"/>
                <w:color w:val="auto"/>
              </w:rPr>
              <w:t>Genmab is dependent on protecting our own</w:t>
            </w:r>
          </w:p>
        </w:tc>
        <w:tc>
          <w:tcPr>
            <w:tcW w:w="4580" w:type="dxa"/>
            <w:vAlign w:val="bottom"/>
            <w:tcBorders>
              <w:right w:val="single" w:sz="8" w:color="029C93"/>
            </w:tcBorders>
            <w:gridSpan w:val="3"/>
          </w:tcPr>
          <w:p>
            <w:pPr>
              <w:ind w:left="60"/>
              <w:spacing w:after="0" w:line="110" w:lineRule="exact"/>
              <w:rPr>
                <w:sz w:val="20"/>
                <w:szCs w:val="20"/>
                <w:color w:val="auto"/>
              </w:rPr>
            </w:pPr>
            <w:r>
              <w:rPr>
                <w:rFonts w:ascii="Arial" w:cs="Arial" w:eastAsia="Arial" w:hAnsi="Arial"/>
                <w:sz w:val="10"/>
                <w:szCs w:val="10"/>
                <w:color w:val="auto"/>
                <w:w w:val="99"/>
              </w:rPr>
              <w:t>Genmab files and prosecutes patent applications to optimally protect its products and technologies. To</w:t>
            </w:r>
          </w:p>
        </w:tc>
        <w:tc>
          <w:tcPr>
            <w:tcW w:w="600" w:type="dxa"/>
            <w:vAlign w:val="bottom"/>
            <w:tcBorders>
              <w:right w:val="single" w:sz="8" w:color="029C93"/>
            </w:tcBorders>
          </w:tcPr>
          <w:p>
            <w:pPr>
              <w:ind w:left="60"/>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gridSpan w:val="3"/>
          </w:tcPr>
          <w:p>
            <w:pPr>
              <w:ind w:left="40"/>
              <w:spacing w:after="0" w:line="95" w:lineRule="exact"/>
              <w:rPr>
                <w:sz w:val="20"/>
                <w:szCs w:val="20"/>
                <w:color w:val="auto"/>
              </w:rPr>
            </w:pPr>
            <w:r>
              <w:rPr>
                <w:rFonts w:ascii="Arial" w:cs="Arial" w:eastAsia="Arial" w:hAnsi="Arial"/>
                <w:sz w:val="10"/>
                <w:szCs w:val="10"/>
                <w:color w:val="auto"/>
              </w:rPr>
              <w:t>intellectual property rights to regain our investments</w:t>
            </w:r>
          </w:p>
        </w:tc>
        <w:tc>
          <w:tcPr>
            <w:tcW w:w="4580" w:type="dxa"/>
            <w:vAlign w:val="bottom"/>
            <w:tcBorders>
              <w:right w:val="single" w:sz="8" w:color="029C93"/>
            </w:tcBorders>
            <w:gridSpan w:val="3"/>
          </w:tcPr>
          <w:p>
            <w:pPr>
              <w:ind w:left="60"/>
              <w:spacing w:after="0" w:line="95" w:lineRule="exact"/>
              <w:rPr>
                <w:sz w:val="20"/>
                <w:szCs w:val="20"/>
                <w:color w:val="auto"/>
              </w:rPr>
            </w:pPr>
            <w:r>
              <w:rPr>
                <w:rFonts w:ascii="Arial" w:cs="Arial" w:eastAsia="Arial" w:hAnsi="Arial"/>
                <w:sz w:val="10"/>
                <w:szCs w:val="10"/>
                <w:color w:val="auto"/>
              </w:rPr>
              <w:t>protect trade secrets and technologies, Genmab maintains strict confidentiality standards and</w:t>
            </w:r>
          </w:p>
        </w:tc>
        <w:tc>
          <w:tcPr>
            <w:tcW w:w="600" w:type="dxa"/>
            <w:vAlign w:val="bottom"/>
            <w:tcBorders>
              <w:right w:val="single" w:sz="8" w:color="029C93"/>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ind w:left="40"/>
              <w:spacing w:after="0" w:line="109" w:lineRule="exact"/>
              <w:rPr>
                <w:sz w:val="20"/>
                <w:szCs w:val="20"/>
                <w:color w:val="auto"/>
              </w:rPr>
            </w:pPr>
            <w:r>
              <w:rPr>
                <w:rFonts w:ascii="Arial" w:cs="Arial" w:eastAsia="Arial" w:hAnsi="Arial"/>
                <w:sz w:val="10"/>
                <w:szCs w:val="10"/>
                <w:color w:val="auto"/>
              </w:rPr>
              <w:t>and protect our competitive positions.</w:t>
            </w: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3760" w:type="dxa"/>
            <w:vAlign w:val="bottom"/>
            <w:gridSpan w:val="2"/>
          </w:tcPr>
          <w:p>
            <w:pPr>
              <w:ind w:left="60"/>
              <w:spacing w:after="0" w:line="109" w:lineRule="exact"/>
              <w:rPr>
                <w:sz w:val="20"/>
                <w:szCs w:val="20"/>
                <w:color w:val="auto"/>
              </w:rPr>
            </w:pPr>
            <w:r>
              <w:rPr>
                <w:rFonts w:ascii="Arial" w:cs="Arial" w:eastAsia="Arial" w:hAnsi="Arial"/>
                <w:sz w:val="10"/>
                <w:szCs w:val="10"/>
                <w:color w:val="auto"/>
              </w:rPr>
              <w:t>agreements for employees and collaborating parties.</w:t>
            </w: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We may become involved in lawsuits to protect or</w:t>
            </w:r>
          </w:p>
        </w:tc>
        <w:tc>
          <w:tcPr>
            <w:tcW w:w="1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enforce our patents or other intellectual property which</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Genmab actively monitors third-party patent positions within our relevant fields to avoid violating any</w:t>
            </w: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could result in costly litigation and unfavorable</w:t>
            </w:r>
          </w:p>
        </w:tc>
        <w:tc>
          <w:tcPr>
            <w:tcW w:w="3760" w:type="dxa"/>
            <w:vAlign w:val="bottom"/>
            <w:gridSpan w:val="2"/>
          </w:tcPr>
          <w:p>
            <w:pPr>
              <w:ind w:left="60"/>
              <w:spacing w:after="0" w:line="109" w:lineRule="exact"/>
              <w:rPr>
                <w:sz w:val="20"/>
                <w:szCs w:val="20"/>
                <w:color w:val="auto"/>
              </w:rPr>
            </w:pPr>
            <w:r>
              <w:rPr>
                <w:rFonts w:ascii="Arial" w:cs="Arial" w:eastAsia="Arial" w:hAnsi="Arial"/>
                <w:sz w:val="10"/>
                <w:szCs w:val="10"/>
                <w:color w:val="auto"/>
              </w:rPr>
              <w:t>third-party patent rights.</w:t>
            </w: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tcPr>
          <w:p>
            <w:pPr>
              <w:ind w:left="40"/>
              <w:spacing w:after="0"/>
              <w:rPr>
                <w:sz w:val="20"/>
                <w:szCs w:val="20"/>
                <w:color w:val="auto"/>
              </w:rPr>
            </w:pPr>
            <w:r>
              <w:rPr>
                <w:rFonts w:ascii="Arial" w:cs="Arial" w:eastAsia="Arial" w:hAnsi="Arial"/>
                <w:sz w:val="10"/>
                <w:szCs w:val="10"/>
                <w:color w:val="auto"/>
              </w:rPr>
              <w:t>outcomes.</w:t>
            </w:r>
          </w:p>
        </w:tc>
        <w:tc>
          <w:tcPr>
            <w:tcW w:w="40" w:type="dxa"/>
            <w:vAlign w:val="bottom"/>
          </w:tcPr>
          <w:p>
            <w:pPr>
              <w:spacing w:after="0"/>
              <w:rPr>
                <w:sz w:val="10"/>
                <w:szCs w:val="10"/>
                <w:color w:val="auto"/>
              </w:rPr>
            </w:pPr>
          </w:p>
        </w:tc>
        <w:tc>
          <w:tcPr>
            <w:tcW w:w="660" w:type="dxa"/>
            <w:vAlign w:val="bottom"/>
            <w:tcBorders>
              <w:right w:val="single" w:sz="8" w:color="029C93"/>
            </w:tcBorders>
          </w:tcPr>
          <w:p>
            <w:pPr>
              <w:spacing w:after="0"/>
              <w:rPr>
                <w:sz w:val="10"/>
                <w:szCs w:val="10"/>
                <w:color w:val="auto"/>
              </w:rPr>
            </w:pPr>
          </w:p>
        </w:tc>
        <w:tc>
          <w:tcPr>
            <w:tcW w:w="1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2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Claims may be asserted against us that we infringe the</w:t>
            </w:r>
          </w:p>
        </w:tc>
        <w:tc>
          <w:tcPr>
            <w:tcW w:w="1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2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intellectual property of third parties, which could result</w:t>
            </w:r>
          </w:p>
        </w:tc>
        <w:tc>
          <w:tcPr>
            <w:tcW w:w="1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029C93"/>
              <w:bottom w:val="single" w:sz="8" w:color="029C93"/>
              <w:right w:val="single" w:sz="8" w:color="029C93"/>
            </w:tcBorders>
          </w:tcPr>
          <w:p>
            <w:pPr>
              <w:spacing w:after="0"/>
              <w:rPr>
                <w:sz w:val="11"/>
                <w:szCs w:val="11"/>
                <w:color w:val="auto"/>
              </w:rPr>
            </w:pPr>
          </w:p>
        </w:tc>
        <w:tc>
          <w:tcPr>
            <w:tcW w:w="2520" w:type="dxa"/>
            <w:vAlign w:val="bottom"/>
            <w:tcBorders>
              <w:bottom w:val="single" w:sz="8" w:color="029C93"/>
              <w:right w:val="single" w:sz="8" w:color="029C93"/>
            </w:tcBorders>
            <w:gridSpan w:val="3"/>
          </w:tcPr>
          <w:p>
            <w:pPr>
              <w:ind w:left="40"/>
              <w:spacing w:after="0"/>
              <w:rPr>
                <w:sz w:val="20"/>
                <w:szCs w:val="20"/>
                <w:color w:val="auto"/>
              </w:rPr>
            </w:pPr>
            <w:r>
              <w:rPr>
                <w:rFonts w:ascii="Arial" w:cs="Arial" w:eastAsia="Arial" w:hAnsi="Arial"/>
                <w:sz w:val="10"/>
                <w:szCs w:val="10"/>
                <w:color w:val="auto"/>
              </w:rPr>
              <w:t>in costly litigation and unfavorable outcomes.</w:t>
            </w:r>
          </w:p>
        </w:tc>
        <w:tc>
          <w:tcPr>
            <w:tcW w:w="120" w:type="dxa"/>
            <w:vAlign w:val="bottom"/>
            <w:tcBorders>
              <w:bottom w:val="single" w:sz="8" w:color="029C93"/>
            </w:tcBorders>
          </w:tcPr>
          <w:p>
            <w:pPr>
              <w:spacing w:after="0"/>
              <w:rPr>
                <w:sz w:val="11"/>
                <w:szCs w:val="11"/>
                <w:color w:val="auto"/>
              </w:rPr>
            </w:pPr>
          </w:p>
        </w:tc>
        <w:tc>
          <w:tcPr>
            <w:tcW w:w="3640" w:type="dxa"/>
            <w:vAlign w:val="bottom"/>
            <w:tcBorders>
              <w:bottom w:val="single" w:sz="8" w:color="029C93"/>
            </w:tcBorders>
          </w:tcPr>
          <w:p>
            <w:pPr>
              <w:spacing w:after="0"/>
              <w:rPr>
                <w:sz w:val="11"/>
                <w:szCs w:val="11"/>
                <w:color w:val="auto"/>
              </w:rPr>
            </w:pPr>
          </w:p>
        </w:tc>
        <w:tc>
          <w:tcPr>
            <w:tcW w:w="82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280" w:type="dxa"/>
            <w:vAlign w:val="bottom"/>
            <w:tcBorders>
              <w:left w:val="single" w:sz="8" w:color="029C93"/>
              <w:right w:val="single" w:sz="8" w:color="029C93"/>
            </w:tcBorders>
          </w:tcPr>
          <w:p>
            <w:pPr>
              <w:ind w:left="80"/>
              <w:spacing w:after="0"/>
              <w:rPr>
                <w:sz w:val="20"/>
                <w:szCs w:val="20"/>
                <w:color w:val="auto"/>
              </w:rPr>
            </w:pPr>
            <w:r>
              <w:rPr>
                <w:rFonts w:ascii="Arial" w:cs="Arial" w:eastAsia="Arial" w:hAnsi="Arial"/>
                <w:sz w:val="10"/>
                <w:szCs w:val="10"/>
                <w:b w:val="1"/>
                <w:bCs w:val="1"/>
                <w:color w:val="auto"/>
              </w:rPr>
              <w:t>Finances</w:t>
            </w:r>
          </w:p>
        </w:tc>
        <w:tc>
          <w:tcPr>
            <w:tcW w:w="1820" w:type="dxa"/>
            <w:vAlign w:val="bottom"/>
            <w:shd w:val="clear" w:color="auto" w:fill="E6E6E7"/>
          </w:tcPr>
          <w:p>
            <w:pPr>
              <w:ind w:left="40"/>
              <w:spacing w:after="0"/>
              <w:rPr>
                <w:sz w:val="20"/>
                <w:szCs w:val="20"/>
                <w:color w:val="auto"/>
              </w:rPr>
            </w:pPr>
            <w:r>
              <w:rPr>
                <w:rFonts w:ascii="Arial" w:cs="Arial" w:eastAsia="Arial" w:hAnsi="Arial"/>
                <w:sz w:val="10"/>
                <w:szCs w:val="10"/>
                <w:color w:val="auto"/>
              </w:rPr>
              <w:t>Genmab may need additional funding.</w:t>
            </w:r>
          </w:p>
        </w:tc>
        <w:tc>
          <w:tcPr>
            <w:tcW w:w="40" w:type="dxa"/>
            <w:vAlign w:val="bottom"/>
            <w:shd w:val="clear" w:color="auto" w:fill="E6E6E7"/>
          </w:tcPr>
          <w:p>
            <w:pPr>
              <w:spacing w:after="0"/>
              <w:rPr>
                <w:sz w:val="10"/>
                <w:szCs w:val="10"/>
                <w:color w:val="auto"/>
              </w:rPr>
            </w:pPr>
          </w:p>
        </w:tc>
        <w:tc>
          <w:tcPr>
            <w:tcW w:w="660" w:type="dxa"/>
            <w:vAlign w:val="bottom"/>
            <w:tcBorders>
              <w:right w:val="single" w:sz="8" w:color="029C93"/>
            </w:tcBorders>
            <w:shd w:val="clear" w:color="auto" w:fill="E6E6E7"/>
          </w:tcPr>
          <w:p>
            <w:pPr>
              <w:spacing w:after="0"/>
              <w:rPr>
                <w:sz w:val="10"/>
                <w:szCs w:val="10"/>
                <w:color w:val="auto"/>
              </w:rPr>
            </w:pPr>
          </w:p>
        </w:tc>
        <w:tc>
          <w:tcPr>
            <w:tcW w:w="4580" w:type="dxa"/>
            <w:vAlign w:val="bottom"/>
            <w:tcBorders>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auto"/>
              </w:rPr>
              <w:t>Because Genmab’s future commercial potential and operating profits are hard to predict, Genmab’s</w:t>
            </w:r>
          </w:p>
        </w:tc>
        <w:tc>
          <w:tcPr>
            <w:tcW w:w="600" w:type="dxa"/>
            <w:vAlign w:val="bottom"/>
            <w:tcBorders>
              <w:right w:val="single" w:sz="8" w:color="029C93"/>
            </w:tcBorders>
            <w:shd w:val="clear" w:color="auto" w:fill="E6E6E7"/>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policy is to maintain a strong capital base so as to maintain investor, creditor and market confidence,</w:t>
            </w:r>
          </w:p>
        </w:tc>
        <w:tc>
          <w:tcPr>
            <w:tcW w:w="600" w:type="dxa"/>
            <w:vAlign w:val="bottom"/>
            <w:tcBorders>
              <w:right w:val="single" w:sz="8" w:color="029C93"/>
            </w:tcBorders>
            <w:shd w:val="clear" w:color="auto" w:fill="E6E6E7"/>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shd w:val="clear" w:color="auto" w:fill="E6E6E7"/>
          </w:tcPr>
          <w:p>
            <w:pPr>
              <w:spacing w:after="0"/>
              <w:rPr>
                <w:sz w:val="11"/>
                <w:szCs w:val="11"/>
                <w:color w:val="auto"/>
              </w:rPr>
            </w:pPr>
          </w:p>
        </w:tc>
        <w:tc>
          <w:tcPr>
            <w:tcW w:w="40" w:type="dxa"/>
            <w:vAlign w:val="bottom"/>
            <w:tcBorders>
              <w:bottom w:val="single" w:sz="8" w:color="029C93"/>
            </w:tcBorders>
            <w:shd w:val="clear" w:color="auto" w:fill="E6E6E7"/>
          </w:tcPr>
          <w:p>
            <w:pPr>
              <w:spacing w:after="0"/>
              <w:rPr>
                <w:sz w:val="11"/>
                <w:szCs w:val="11"/>
                <w:color w:val="auto"/>
              </w:rPr>
            </w:pPr>
          </w:p>
        </w:tc>
        <w:tc>
          <w:tcPr>
            <w:tcW w:w="660" w:type="dxa"/>
            <w:vAlign w:val="bottom"/>
            <w:tcBorders>
              <w:bottom w:val="single" w:sz="8" w:color="029C93"/>
              <w:right w:val="single" w:sz="8" w:color="029C93"/>
            </w:tcBorders>
            <w:shd w:val="clear" w:color="auto" w:fill="E6E6E7"/>
          </w:tcPr>
          <w:p>
            <w:pPr>
              <w:spacing w:after="0"/>
              <w:rPr>
                <w:sz w:val="11"/>
                <w:szCs w:val="11"/>
                <w:color w:val="auto"/>
              </w:rPr>
            </w:pPr>
          </w:p>
        </w:tc>
        <w:tc>
          <w:tcPr>
            <w:tcW w:w="3760" w:type="dxa"/>
            <w:vAlign w:val="bottom"/>
            <w:tcBorders>
              <w:bottom w:val="single" w:sz="8" w:color="029C93"/>
            </w:tcBorders>
            <w:gridSpan w:val="2"/>
            <w:shd w:val="clear" w:color="auto" w:fill="E6E6E7"/>
          </w:tcPr>
          <w:p>
            <w:pPr>
              <w:ind w:left="60"/>
              <w:spacing w:after="0"/>
              <w:rPr>
                <w:sz w:val="20"/>
                <w:szCs w:val="20"/>
                <w:color w:val="auto"/>
              </w:rPr>
            </w:pPr>
            <w:r>
              <w:rPr>
                <w:rFonts w:ascii="Arial" w:cs="Arial" w:eastAsia="Arial" w:hAnsi="Arial"/>
                <w:sz w:val="10"/>
                <w:szCs w:val="10"/>
                <w:color w:val="auto"/>
                <w:w w:val="96"/>
              </w:rPr>
              <w:t>and a continuous advancement of Genmab’s product pipeline and business in general.</w:t>
            </w:r>
          </w:p>
        </w:tc>
        <w:tc>
          <w:tcPr>
            <w:tcW w:w="820" w:type="dxa"/>
            <w:vAlign w:val="bottom"/>
            <w:tcBorders>
              <w:bottom w:val="single" w:sz="8" w:color="029C93"/>
              <w:right w:val="single" w:sz="8" w:color="029C93"/>
            </w:tcBorders>
            <w:shd w:val="clear" w:color="auto" w:fill="E6E6E7"/>
          </w:tcPr>
          <w:p>
            <w:pPr>
              <w:spacing w:after="0"/>
              <w:rPr>
                <w:sz w:val="11"/>
                <w:szCs w:val="11"/>
                <w:color w:val="auto"/>
              </w:rPr>
            </w:pPr>
          </w:p>
        </w:tc>
        <w:tc>
          <w:tcPr>
            <w:tcW w:w="600" w:type="dxa"/>
            <w:vAlign w:val="bottom"/>
            <w:tcBorders>
              <w:bottom w:val="single" w:sz="8" w:color="029C93"/>
              <w:right w:val="single" w:sz="8" w:color="029C93"/>
            </w:tcBorders>
            <w:shd w:val="clear" w:color="auto" w:fill="E6E6E7"/>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r>
              <w:rPr>
                <w:rFonts w:ascii="Arial" w:cs="Arial" w:eastAsia="Arial" w:hAnsi="Arial"/>
                <w:sz w:val="10"/>
                <w:szCs w:val="10"/>
                <w:color w:val="auto"/>
              </w:rPr>
              <w:t>Genmab A/S</w:t>
            </w:r>
          </w:p>
        </w:tc>
        <w:tc>
          <w:tcPr>
            <w:tcW w:w="1820" w:type="dxa"/>
            <w:vAlign w:val="bottom"/>
          </w:tcPr>
          <w:p>
            <w:pPr>
              <w:spacing w:after="0"/>
              <w:rPr>
                <w:sz w:val="20"/>
                <w:szCs w:val="20"/>
                <w:color w:val="auto"/>
              </w:rPr>
            </w:pPr>
          </w:p>
        </w:tc>
        <w:tc>
          <w:tcPr>
            <w:tcW w:w="4460" w:type="dxa"/>
            <w:vAlign w:val="bottom"/>
            <w:gridSpan w:val="4"/>
          </w:tcPr>
          <w:p>
            <w:pPr>
              <w:ind w:left="40"/>
              <w:spacing w:after="0"/>
              <w:rPr>
                <w:sz w:val="20"/>
                <w:szCs w:val="20"/>
                <w:color w:val="auto"/>
              </w:rPr>
            </w:pPr>
            <w:r>
              <w:rPr>
                <w:rFonts w:ascii="Arial" w:cs="Arial" w:eastAsia="Arial" w:hAnsi="Arial"/>
                <w:sz w:val="10"/>
                <w:szCs w:val="10"/>
                <w:color w:val="auto"/>
              </w:rPr>
              <w:t>Tel: +45 7020 2728</w:t>
            </w: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w w:val="96"/>
              </w:rPr>
              <w:t>Company Announcement no. 05</w:t>
            </w:r>
          </w:p>
        </w:tc>
        <w:tc>
          <w:tcPr>
            <w:tcW w:w="0" w:type="dxa"/>
            <w:vAlign w:val="bottom"/>
          </w:tcPr>
          <w:p>
            <w:pPr>
              <w:spacing w:after="0"/>
              <w:rPr>
                <w:sz w:val="1"/>
                <w:szCs w:val="1"/>
                <w:color w:val="auto"/>
              </w:rPr>
            </w:pPr>
          </w:p>
        </w:tc>
      </w:tr>
      <w:tr>
        <w:trPr>
          <w:trHeight w:val="109"/>
        </w:trPr>
        <w:tc>
          <w:tcPr>
            <w:tcW w:w="12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w w:val="98"/>
              </w:rPr>
              <w:t>Page 61/158</w:t>
            </w:r>
          </w:p>
        </w:tc>
        <w:tc>
          <w:tcPr>
            <w:tcW w:w="0" w:type="dxa"/>
            <w:vAlign w:val="bottom"/>
          </w:tcPr>
          <w:p>
            <w:pPr>
              <w:spacing w:after="0"/>
              <w:rPr>
                <w:sz w:val="1"/>
                <w:szCs w:val="1"/>
                <w:color w:val="auto"/>
              </w:rPr>
            </w:pPr>
          </w:p>
        </w:tc>
      </w:tr>
      <w:tr>
        <w:trPr>
          <w:trHeight w:val="105"/>
        </w:trPr>
        <w:tc>
          <w:tcPr>
            <w:tcW w:w="3100" w:type="dxa"/>
            <w:vAlign w:val="bottom"/>
            <w:gridSpan w:val="2"/>
          </w:tcPr>
          <w:p>
            <w:pPr>
              <w:spacing w:after="0" w:line="105" w:lineRule="exact"/>
              <w:rPr>
                <w:sz w:val="20"/>
                <w:szCs w:val="20"/>
                <w:color w:val="auto"/>
              </w:rPr>
            </w:pPr>
            <w:r>
              <w:rPr>
                <w:rFonts w:ascii="Arial" w:cs="Arial" w:eastAsia="Arial" w:hAnsi="Arial"/>
                <w:sz w:val="10"/>
                <w:szCs w:val="10"/>
                <w:color w:val="auto"/>
              </w:rPr>
              <w:t>1560 Copenhagen V, Denmark</w:t>
            </w:r>
          </w:p>
        </w:tc>
        <w:tc>
          <w:tcPr>
            <w:tcW w:w="4460" w:type="dxa"/>
            <w:vAlign w:val="bottom"/>
            <w:gridSpan w:val="4"/>
          </w:tcPr>
          <w:p>
            <w:pPr>
              <w:ind w:left="40"/>
              <w:spacing w:after="0" w:line="105" w:lineRule="exact"/>
              <w:rPr>
                <w:sz w:val="20"/>
                <w:szCs w:val="20"/>
                <w:color w:val="auto"/>
              </w:rPr>
            </w:pPr>
            <w:r>
              <w:rPr>
                <w:rFonts w:ascii="Arial" w:cs="Arial" w:eastAsia="Arial" w:hAnsi="Arial"/>
                <w:sz w:val="10"/>
                <w:szCs w:val="10"/>
                <w:color w:val="0000FF"/>
              </w:rPr>
              <w:t>www.genmab.com</w:t>
            </w:r>
          </w:p>
        </w:tc>
        <w:tc>
          <w:tcPr>
            <w:tcW w:w="14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1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64" w:name="page65"/>
    <w:bookmarkEnd w:id="6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1280" w:type="dxa"/>
            <w:vAlign w:val="bottom"/>
            <w:tcBorders>
              <w:left w:val="single" w:sz="8" w:color="029C93"/>
              <w:right w:val="single" w:sz="8" w:color="029C93"/>
            </w:tcBorders>
            <w:shd w:val="clear" w:color="auto" w:fill="029C93"/>
          </w:tcPr>
          <w:p>
            <w:pPr>
              <w:ind w:left="80"/>
              <w:spacing w:after="0"/>
              <w:rPr>
                <w:sz w:val="20"/>
                <w:szCs w:val="20"/>
                <w:color w:val="auto"/>
              </w:rPr>
            </w:pPr>
            <w:r>
              <w:rPr>
                <w:rFonts w:ascii="Arial" w:cs="Arial" w:eastAsia="Arial" w:hAnsi="Arial"/>
                <w:sz w:val="10"/>
                <w:szCs w:val="10"/>
                <w:b w:val="1"/>
                <w:bCs w:val="1"/>
                <w:color w:val="FFFFFF"/>
              </w:rPr>
              <w:t>Risk related to</w:t>
            </w:r>
          </w:p>
        </w:tc>
        <w:tc>
          <w:tcPr>
            <w:tcW w:w="1820" w:type="dxa"/>
            <w:vAlign w:val="bottom"/>
            <w:shd w:val="clear" w:color="auto" w:fill="029C93"/>
          </w:tcPr>
          <w:p>
            <w:pPr>
              <w:ind w:left="40"/>
              <w:spacing w:after="0"/>
              <w:rPr>
                <w:sz w:val="20"/>
                <w:szCs w:val="20"/>
                <w:color w:val="auto"/>
              </w:rPr>
            </w:pPr>
            <w:r>
              <w:rPr>
                <w:rFonts w:ascii="Arial" w:cs="Arial" w:eastAsia="Arial" w:hAnsi="Arial"/>
                <w:sz w:val="10"/>
                <w:szCs w:val="10"/>
                <w:b w:val="1"/>
                <w:bCs w:val="1"/>
                <w:color w:val="FFFFFF"/>
              </w:rPr>
              <w:t>Risk areas</w:t>
            </w:r>
          </w:p>
        </w:tc>
        <w:tc>
          <w:tcPr>
            <w:tcW w:w="40" w:type="dxa"/>
            <w:vAlign w:val="bottom"/>
            <w:shd w:val="clear" w:color="auto" w:fill="029C93"/>
          </w:tcPr>
          <w:p>
            <w:pPr>
              <w:spacing w:after="0"/>
              <w:rPr>
                <w:sz w:val="10"/>
                <w:szCs w:val="10"/>
                <w:color w:val="auto"/>
              </w:rPr>
            </w:pPr>
          </w:p>
        </w:tc>
        <w:tc>
          <w:tcPr>
            <w:tcW w:w="660" w:type="dxa"/>
            <w:vAlign w:val="bottom"/>
            <w:tcBorders>
              <w:right w:val="single" w:sz="8" w:color="029C93"/>
            </w:tcBorders>
            <w:shd w:val="clear" w:color="auto" w:fill="029C93"/>
          </w:tcPr>
          <w:p>
            <w:pPr>
              <w:spacing w:after="0"/>
              <w:rPr>
                <w:sz w:val="10"/>
                <w:szCs w:val="10"/>
                <w:color w:val="auto"/>
              </w:rPr>
            </w:pPr>
          </w:p>
        </w:tc>
        <w:tc>
          <w:tcPr>
            <w:tcW w:w="3740" w:type="dxa"/>
            <w:vAlign w:val="bottom"/>
            <w:gridSpan w:val="2"/>
            <w:shd w:val="clear" w:color="auto" w:fill="029C93"/>
          </w:tcPr>
          <w:p>
            <w:pPr>
              <w:ind w:left="60"/>
              <w:spacing w:after="0"/>
              <w:rPr>
                <w:sz w:val="20"/>
                <w:szCs w:val="20"/>
                <w:color w:val="auto"/>
              </w:rPr>
            </w:pPr>
            <w:r>
              <w:rPr>
                <w:rFonts w:ascii="Arial" w:cs="Arial" w:eastAsia="Arial" w:hAnsi="Arial"/>
                <w:sz w:val="10"/>
                <w:szCs w:val="10"/>
                <w:b w:val="1"/>
                <w:bCs w:val="1"/>
                <w:color w:val="FFFFFF"/>
              </w:rPr>
              <w:t>Mitigation</w:t>
            </w:r>
          </w:p>
        </w:tc>
        <w:tc>
          <w:tcPr>
            <w:tcW w:w="840" w:type="dxa"/>
            <w:vAlign w:val="bottom"/>
            <w:tcBorders>
              <w:right w:val="single" w:sz="8" w:color="029C93"/>
            </w:tcBorders>
            <w:shd w:val="clear" w:color="auto" w:fill="029C93"/>
          </w:tcPr>
          <w:p>
            <w:pPr>
              <w:spacing w:after="0"/>
              <w:rPr>
                <w:sz w:val="10"/>
                <w:szCs w:val="10"/>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Risk</w:t>
            </w:r>
          </w:p>
        </w:tc>
      </w:tr>
      <w:tr>
        <w:trPr>
          <w:trHeight w:val="143"/>
        </w:trPr>
        <w:tc>
          <w:tcPr>
            <w:tcW w:w="1280" w:type="dxa"/>
            <w:vAlign w:val="bottom"/>
            <w:tcBorders>
              <w:left w:val="single" w:sz="8" w:color="029C93"/>
              <w:right w:val="single" w:sz="8" w:color="029C93"/>
            </w:tcBorders>
            <w:shd w:val="clear" w:color="auto" w:fill="029C93"/>
          </w:tcPr>
          <w:p>
            <w:pPr>
              <w:spacing w:after="0"/>
              <w:rPr>
                <w:sz w:val="12"/>
                <w:szCs w:val="12"/>
                <w:color w:val="auto"/>
              </w:rPr>
            </w:pPr>
          </w:p>
        </w:tc>
        <w:tc>
          <w:tcPr>
            <w:tcW w:w="1820" w:type="dxa"/>
            <w:vAlign w:val="bottom"/>
            <w:shd w:val="clear" w:color="auto" w:fill="029C93"/>
          </w:tcPr>
          <w:p>
            <w:pPr>
              <w:spacing w:after="0"/>
              <w:rPr>
                <w:sz w:val="12"/>
                <w:szCs w:val="12"/>
                <w:color w:val="auto"/>
              </w:rPr>
            </w:pPr>
          </w:p>
        </w:tc>
        <w:tc>
          <w:tcPr>
            <w:tcW w:w="40" w:type="dxa"/>
            <w:vAlign w:val="bottom"/>
            <w:shd w:val="clear" w:color="auto" w:fill="029C93"/>
          </w:tcPr>
          <w:p>
            <w:pPr>
              <w:spacing w:after="0"/>
              <w:rPr>
                <w:sz w:val="12"/>
                <w:szCs w:val="12"/>
                <w:color w:val="auto"/>
              </w:rPr>
            </w:pPr>
          </w:p>
        </w:tc>
        <w:tc>
          <w:tcPr>
            <w:tcW w:w="660" w:type="dxa"/>
            <w:vAlign w:val="bottom"/>
            <w:tcBorders>
              <w:right w:val="single" w:sz="8" w:color="029C93"/>
            </w:tcBorders>
            <w:shd w:val="clear" w:color="auto" w:fill="029C93"/>
          </w:tcPr>
          <w:p>
            <w:pPr>
              <w:spacing w:after="0"/>
              <w:rPr>
                <w:sz w:val="12"/>
                <w:szCs w:val="12"/>
                <w:color w:val="auto"/>
              </w:rPr>
            </w:pPr>
          </w:p>
        </w:tc>
        <w:tc>
          <w:tcPr>
            <w:tcW w:w="120" w:type="dxa"/>
            <w:vAlign w:val="bottom"/>
            <w:shd w:val="clear" w:color="auto" w:fill="029C93"/>
          </w:tcPr>
          <w:p>
            <w:pPr>
              <w:spacing w:after="0"/>
              <w:rPr>
                <w:sz w:val="12"/>
                <w:szCs w:val="12"/>
                <w:color w:val="auto"/>
              </w:rPr>
            </w:pPr>
          </w:p>
        </w:tc>
        <w:tc>
          <w:tcPr>
            <w:tcW w:w="3620" w:type="dxa"/>
            <w:vAlign w:val="bottom"/>
            <w:shd w:val="clear" w:color="auto" w:fill="029C93"/>
          </w:tcPr>
          <w:p>
            <w:pPr>
              <w:spacing w:after="0"/>
              <w:rPr>
                <w:sz w:val="12"/>
                <w:szCs w:val="12"/>
                <w:color w:val="auto"/>
              </w:rPr>
            </w:pPr>
          </w:p>
        </w:tc>
        <w:tc>
          <w:tcPr>
            <w:tcW w:w="840" w:type="dxa"/>
            <w:vAlign w:val="bottom"/>
            <w:tcBorders>
              <w:right w:val="single" w:sz="8" w:color="029C93"/>
            </w:tcBorders>
            <w:shd w:val="clear" w:color="auto" w:fill="029C93"/>
          </w:tcPr>
          <w:p>
            <w:pPr>
              <w:spacing w:after="0"/>
              <w:rPr>
                <w:sz w:val="12"/>
                <w:szCs w:val="12"/>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trend</w:t>
            </w:r>
          </w:p>
        </w:tc>
      </w:tr>
      <w:tr>
        <w:trPr>
          <w:trHeight w:val="118"/>
        </w:trPr>
        <w:tc>
          <w:tcPr>
            <w:tcW w:w="1280" w:type="dxa"/>
            <w:vAlign w:val="bottom"/>
            <w:tcBorders>
              <w:left w:val="single" w:sz="8" w:color="029C93"/>
              <w:right w:val="single" w:sz="8" w:color="029C93"/>
            </w:tcBorders>
          </w:tcPr>
          <w:p>
            <w:pPr>
              <w:spacing w:after="0"/>
              <w:rPr>
                <w:sz w:val="10"/>
                <w:szCs w:val="10"/>
                <w:color w:val="auto"/>
              </w:rPr>
            </w:pPr>
          </w:p>
        </w:tc>
        <w:tc>
          <w:tcPr>
            <w:tcW w:w="2520" w:type="dxa"/>
            <w:vAlign w:val="bottom"/>
            <w:tcBorders>
              <w:right w:val="single" w:sz="8" w:color="029C93"/>
            </w:tcBorders>
            <w:gridSpan w:val="3"/>
          </w:tcPr>
          <w:p>
            <w:pPr>
              <w:ind w:left="40"/>
              <w:spacing w:after="0"/>
              <w:rPr>
                <w:sz w:val="20"/>
                <w:szCs w:val="20"/>
                <w:color w:val="auto"/>
              </w:rPr>
            </w:pPr>
            <w:r>
              <w:rPr>
                <w:rFonts w:ascii="Arial" w:cs="Arial" w:eastAsia="Arial" w:hAnsi="Arial"/>
                <w:sz w:val="10"/>
                <w:szCs w:val="10"/>
                <w:color w:val="auto"/>
              </w:rPr>
              <w:t>Genmab is exposed to different kinds of financial risks,</w:t>
            </w:r>
          </w:p>
        </w:tc>
        <w:tc>
          <w:tcPr>
            <w:tcW w:w="4580" w:type="dxa"/>
            <w:vAlign w:val="bottom"/>
            <w:tcBorders>
              <w:right w:val="single" w:sz="8" w:color="029C93"/>
            </w:tcBorders>
            <w:gridSpan w:val="3"/>
          </w:tcPr>
          <w:p>
            <w:pPr>
              <w:ind w:left="60"/>
              <w:spacing w:after="0"/>
              <w:rPr>
                <w:sz w:val="20"/>
                <w:szCs w:val="20"/>
                <w:color w:val="auto"/>
              </w:rPr>
            </w:pPr>
            <w:r>
              <w:rPr>
                <w:rFonts w:ascii="Arial" w:cs="Arial" w:eastAsia="Arial" w:hAnsi="Arial"/>
                <w:sz w:val="10"/>
                <w:szCs w:val="10"/>
                <w:color w:val="auto"/>
                <w:w w:val="98"/>
              </w:rPr>
              <w:t>Genmab has established financial risk management guidelines to identify and analyze relevant risks, to</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including currency exposure and changes in interest</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8"/>
              </w:rPr>
              <w:t xml:space="preserve">set appropriate risk limits and controls, and to monitor the risks and adherence to limits. </w:t>
            </w:r>
            <w:r>
              <w:rPr>
                <w:rFonts w:ascii="Arial" w:cs="Arial" w:eastAsia="Arial" w:hAnsi="Arial"/>
                <w:sz w:val="10"/>
                <w:szCs w:val="10"/>
                <w:color w:val="029C93"/>
                <w:w w:val="98"/>
              </w:rPr>
              <w:t>Please refer to</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rates as well as changes in Danish, U.S. or foreign tax</w:t>
            </w:r>
          </w:p>
        </w:tc>
        <w:tc>
          <w:tcPr>
            <w:tcW w:w="3740" w:type="dxa"/>
            <w:vAlign w:val="bottom"/>
            <w:gridSpan w:val="2"/>
          </w:tcPr>
          <w:p>
            <w:pPr>
              <w:ind w:left="60"/>
              <w:spacing w:after="0" w:line="109" w:lineRule="exact"/>
              <w:rPr>
                <w:sz w:val="20"/>
                <w:szCs w:val="20"/>
                <w:color w:val="auto"/>
              </w:rPr>
            </w:pPr>
            <w:r>
              <w:rPr>
                <w:rFonts w:ascii="Arial" w:cs="Arial" w:eastAsia="Arial" w:hAnsi="Arial"/>
                <w:sz w:val="10"/>
                <w:szCs w:val="10"/>
                <w:color w:val="029C93"/>
                <w:w w:val="96"/>
              </w:rPr>
              <w:t>Note 4.2 of the financial statements for additional information regarding financial risks.</w:t>
            </w:r>
          </w:p>
        </w:tc>
        <w:tc>
          <w:tcPr>
            <w:tcW w:w="840" w:type="dxa"/>
            <w:vAlign w:val="bottom"/>
            <w:tcBorders>
              <w:right w:val="single" w:sz="8" w:color="029C93"/>
            </w:tcBorders>
          </w:tcPr>
          <w:p>
            <w:pPr>
              <w:spacing w:after="0"/>
              <w:rPr>
                <w:sz w:val="9"/>
                <w:szCs w:val="9"/>
                <w:color w:val="auto"/>
              </w:rPr>
            </w:pPr>
          </w:p>
        </w:tc>
        <w:tc>
          <w:tcPr>
            <w:tcW w:w="600" w:type="dxa"/>
            <w:vAlign w:val="bottom"/>
            <w:tcBorders>
              <w:right w:val="single" w:sz="8" w:color="029C93"/>
            </w:tcBorders>
          </w:tcPr>
          <w:p>
            <w:pPr>
              <w:spacing w:after="0"/>
              <w:rPr>
                <w:sz w:val="9"/>
                <w:szCs w:val="9"/>
                <w:color w:val="auto"/>
              </w:rPr>
            </w:pPr>
          </w:p>
        </w:tc>
      </w:tr>
      <w:tr>
        <w:trPr>
          <w:trHeight w:val="125"/>
        </w:trPr>
        <w:tc>
          <w:tcPr>
            <w:tcW w:w="1280" w:type="dxa"/>
            <w:vAlign w:val="bottom"/>
            <w:tcBorders>
              <w:left w:val="single" w:sz="8" w:color="029C93"/>
              <w:right w:val="single" w:sz="8" w:color="029C93"/>
            </w:tcBorders>
          </w:tcPr>
          <w:p>
            <w:pPr>
              <w:spacing w:after="0"/>
              <w:rPr>
                <w:sz w:val="10"/>
                <w:szCs w:val="10"/>
                <w:color w:val="auto"/>
              </w:rPr>
            </w:pPr>
          </w:p>
        </w:tc>
        <w:tc>
          <w:tcPr>
            <w:tcW w:w="1820" w:type="dxa"/>
            <w:vAlign w:val="bottom"/>
          </w:tcPr>
          <w:p>
            <w:pPr>
              <w:ind w:left="40"/>
              <w:spacing w:after="0"/>
              <w:rPr>
                <w:sz w:val="20"/>
                <w:szCs w:val="20"/>
                <w:color w:val="auto"/>
              </w:rPr>
            </w:pPr>
            <w:r>
              <w:rPr>
                <w:rFonts w:ascii="Arial" w:cs="Arial" w:eastAsia="Arial" w:hAnsi="Arial"/>
                <w:sz w:val="10"/>
                <w:szCs w:val="10"/>
                <w:color w:val="auto"/>
                <w:w w:val="96"/>
              </w:rPr>
              <w:t>laws or related compliance requirements.</w:t>
            </w:r>
          </w:p>
        </w:tc>
        <w:tc>
          <w:tcPr>
            <w:tcW w:w="40" w:type="dxa"/>
            <w:vAlign w:val="bottom"/>
          </w:tcPr>
          <w:p>
            <w:pPr>
              <w:spacing w:after="0"/>
              <w:rPr>
                <w:sz w:val="10"/>
                <w:szCs w:val="10"/>
                <w:color w:val="auto"/>
              </w:rPr>
            </w:pPr>
          </w:p>
        </w:tc>
        <w:tc>
          <w:tcPr>
            <w:tcW w:w="660" w:type="dxa"/>
            <w:vAlign w:val="bottom"/>
            <w:tcBorders>
              <w:right w:val="single" w:sz="8" w:color="029C93"/>
            </w:tcBorders>
          </w:tcPr>
          <w:p>
            <w:pPr>
              <w:spacing w:after="0"/>
              <w:rPr>
                <w:sz w:val="10"/>
                <w:szCs w:val="10"/>
                <w:color w:val="auto"/>
              </w:rPr>
            </w:pPr>
          </w:p>
        </w:tc>
        <w:tc>
          <w:tcPr>
            <w:tcW w:w="1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right w:val="single" w:sz="8" w:color="029C93"/>
            </w:tcBorders>
          </w:tcPr>
          <w:p>
            <w:pPr>
              <w:spacing w:after="0"/>
              <w:rPr>
                <w:sz w:val="10"/>
                <w:szCs w:val="10"/>
                <w:color w:val="auto"/>
              </w:rPr>
            </w:pPr>
          </w:p>
        </w:tc>
        <w:tc>
          <w:tcPr>
            <w:tcW w:w="600" w:type="dxa"/>
            <w:vAlign w:val="bottom"/>
            <w:tcBorders>
              <w:right w:val="single" w:sz="8" w:color="029C93"/>
            </w:tcBorders>
          </w:tcPr>
          <w:p>
            <w:pPr>
              <w:spacing w:after="0"/>
              <w:rPr>
                <w:sz w:val="10"/>
                <w:szCs w:val="10"/>
                <w:color w:val="auto"/>
              </w:rPr>
            </w:pPr>
          </w:p>
        </w:tc>
      </w:tr>
      <w:tr>
        <w:trPr>
          <w:trHeight w:val="146"/>
        </w:trPr>
        <w:tc>
          <w:tcPr>
            <w:tcW w:w="1280" w:type="dxa"/>
            <w:vAlign w:val="bottom"/>
            <w:tcBorders>
              <w:left w:val="single" w:sz="8" w:color="029C93"/>
              <w:bottom w:val="single" w:sz="8" w:color="029C93"/>
              <w:right w:val="single" w:sz="8" w:color="029C93"/>
            </w:tcBorders>
          </w:tcPr>
          <w:p>
            <w:pPr>
              <w:spacing w:after="0"/>
              <w:rPr>
                <w:sz w:val="12"/>
                <w:szCs w:val="12"/>
                <w:color w:val="auto"/>
              </w:rPr>
            </w:pPr>
          </w:p>
        </w:tc>
        <w:tc>
          <w:tcPr>
            <w:tcW w:w="2520" w:type="dxa"/>
            <w:vAlign w:val="bottom"/>
            <w:tcBorders>
              <w:bottom w:val="single" w:sz="8" w:color="029C93"/>
              <w:right w:val="single" w:sz="8" w:color="029C93"/>
            </w:tcBorders>
            <w:gridSpan w:val="3"/>
          </w:tcPr>
          <w:p>
            <w:pPr>
              <w:spacing w:after="0"/>
              <w:rPr>
                <w:sz w:val="12"/>
                <w:szCs w:val="12"/>
                <w:color w:val="auto"/>
              </w:rPr>
            </w:pPr>
          </w:p>
        </w:tc>
        <w:tc>
          <w:tcPr>
            <w:tcW w:w="4580" w:type="dxa"/>
            <w:vAlign w:val="bottom"/>
            <w:tcBorders>
              <w:bottom w:val="single" w:sz="8" w:color="029C93"/>
              <w:right w:val="single" w:sz="8" w:color="029C93"/>
            </w:tcBorders>
            <w:gridSpan w:val="3"/>
          </w:tcPr>
          <w:p>
            <w:pPr>
              <w:spacing w:after="0"/>
              <w:rPr>
                <w:sz w:val="12"/>
                <w:szCs w:val="12"/>
                <w:color w:val="auto"/>
              </w:rPr>
            </w:pPr>
          </w:p>
        </w:tc>
        <w:tc>
          <w:tcPr>
            <w:tcW w:w="600" w:type="dxa"/>
            <w:vAlign w:val="bottom"/>
            <w:tcBorders>
              <w:bottom w:val="single" w:sz="8" w:color="029C93"/>
              <w:right w:val="single" w:sz="8" w:color="029C93"/>
            </w:tcBorders>
          </w:tcPr>
          <w:p>
            <w:pPr>
              <w:spacing w:after="0"/>
              <w:rPr>
                <w:sz w:val="12"/>
                <w:szCs w:val="12"/>
                <w:color w:val="auto"/>
              </w:rPr>
            </w:pPr>
          </w:p>
        </w:tc>
      </w:tr>
      <w:tr>
        <w:trPr>
          <w:trHeight w:val="118"/>
        </w:trPr>
        <w:tc>
          <w:tcPr>
            <w:tcW w:w="1280" w:type="dxa"/>
            <w:vAlign w:val="bottom"/>
            <w:tcBorders>
              <w:left w:val="single" w:sz="8" w:color="029C93"/>
              <w:right w:val="single" w:sz="8" w:color="029C93"/>
            </w:tcBorders>
          </w:tcPr>
          <w:p>
            <w:pPr>
              <w:ind w:left="80"/>
              <w:spacing w:after="0"/>
              <w:rPr>
                <w:sz w:val="20"/>
                <w:szCs w:val="20"/>
                <w:color w:val="auto"/>
              </w:rPr>
            </w:pPr>
            <w:r>
              <w:rPr>
                <w:rFonts w:ascii="Arial" w:cs="Arial" w:eastAsia="Arial" w:hAnsi="Arial"/>
                <w:sz w:val="10"/>
                <w:szCs w:val="10"/>
                <w:b w:val="1"/>
                <w:bCs w:val="1"/>
                <w:color w:val="auto"/>
              </w:rPr>
              <w:t>Management and</w:t>
            </w:r>
          </w:p>
        </w:tc>
        <w:tc>
          <w:tcPr>
            <w:tcW w:w="2520" w:type="dxa"/>
            <w:vAlign w:val="bottom"/>
            <w:tcBorders>
              <w:right w:val="single" w:sz="8" w:color="029C93"/>
            </w:tcBorders>
            <w:gridSpan w:val="3"/>
            <w:shd w:val="clear" w:color="auto" w:fill="E6E6E7"/>
          </w:tcPr>
          <w:p>
            <w:pPr>
              <w:ind w:left="40"/>
              <w:spacing w:after="0"/>
              <w:rPr>
                <w:sz w:val="20"/>
                <w:szCs w:val="20"/>
                <w:color w:val="auto"/>
              </w:rPr>
            </w:pPr>
            <w:r>
              <w:rPr>
                <w:rFonts w:ascii="Arial" w:cs="Arial" w:eastAsia="Arial" w:hAnsi="Arial"/>
                <w:sz w:val="10"/>
                <w:szCs w:val="10"/>
                <w:color w:val="auto"/>
              </w:rPr>
              <w:t>Genmab may have an inability to attract and retain</w:t>
            </w:r>
          </w:p>
        </w:tc>
        <w:tc>
          <w:tcPr>
            <w:tcW w:w="4580" w:type="dxa"/>
            <w:vAlign w:val="bottom"/>
            <w:tcBorders>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auto"/>
              </w:rPr>
              <w:t>To attract and retain our highly skilled team, including the members of Genmab’s Senior Leadership,</w:t>
            </w:r>
          </w:p>
        </w:tc>
        <w:tc>
          <w:tcPr>
            <w:tcW w:w="600" w:type="dxa"/>
            <w:vAlign w:val="bottom"/>
            <w:tcBorders>
              <w:right w:val="single" w:sz="8" w:color="029C93"/>
            </w:tcBorders>
            <w:shd w:val="clear" w:color="auto" w:fill="E6E6E7"/>
          </w:tcPr>
          <w:p>
            <w:pPr>
              <w:ind w:left="60"/>
              <w:spacing w:after="0"/>
              <w:rPr>
                <w:sz w:val="20"/>
                <w:szCs w:val="20"/>
                <w:color w:val="auto"/>
              </w:rPr>
            </w:pPr>
            <w:r>
              <w:rPr>
                <w:rFonts w:ascii="Arial" w:cs="Arial" w:eastAsia="Arial" w:hAnsi="Arial"/>
                <w:sz w:val="10"/>
                <w:szCs w:val="10"/>
                <w:color w:val="auto"/>
              </w:rPr>
              <w:t>&gt;</w:t>
            </w:r>
          </w:p>
        </w:tc>
      </w:tr>
      <w:tr>
        <w:trPr>
          <w:trHeight w:val="111"/>
        </w:trPr>
        <w:tc>
          <w:tcPr>
            <w:tcW w:w="1280" w:type="dxa"/>
            <w:vAlign w:val="bottom"/>
            <w:tcBorders>
              <w:left w:val="single" w:sz="8" w:color="029C93"/>
              <w:right w:val="single" w:sz="8" w:color="029C93"/>
            </w:tcBorders>
          </w:tcPr>
          <w:p>
            <w:pPr>
              <w:ind w:left="80"/>
              <w:spacing w:after="0" w:line="111" w:lineRule="exact"/>
              <w:rPr>
                <w:sz w:val="20"/>
                <w:szCs w:val="20"/>
                <w:color w:val="auto"/>
              </w:rPr>
            </w:pPr>
            <w:r>
              <w:rPr>
                <w:rFonts w:ascii="Arial" w:cs="Arial" w:eastAsia="Arial" w:hAnsi="Arial"/>
                <w:sz w:val="10"/>
                <w:szCs w:val="10"/>
                <w:b w:val="1"/>
                <w:bCs w:val="1"/>
                <w:color w:val="auto"/>
              </w:rPr>
              <w:t>Workforce</w:t>
            </w:r>
          </w:p>
        </w:tc>
        <w:tc>
          <w:tcPr>
            <w:tcW w:w="2520" w:type="dxa"/>
            <w:vAlign w:val="bottom"/>
            <w:tcBorders>
              <w:right w:val="single" w:sz="8" w:color="029C93"/>
            </w:tcBorders>
            <w:gridSpan w:val="3"/>
            <w:shd w:val="clear" w:color="auto" w:fill="E6E6E7"/>
          </w:tcPr>
          <w:p>
            <w:pPr>
              <w:ind w:left="40"/>
              <w:spacing w:after="0" w:line="111" w:lineRule="exact"/>
              <w:rPr>
                <w:sz w:val="20"/>
                <w:szCs w:val="20"/>
                <w:color w:val="auto"/>
              </w:rPr>
            </w:pPr>
            <w:r>
              <w:rPr>
                <w:rFonts w:ascii="Arial" w:cs="Arial" w:eastAsia="Arial" w:hAnsi="Arial"/>
                <w:sz w:val="10"/>
                <w:szCs w:val="10"/>
                <w:color w:val="auto"/>
              </w:rPr>
              <w:t>suitably qualified team members as it continues to</w:t>
            </w:r>
          </w:p>
        </w:tc>
        <w:tc>
          <w:tcPr>
            <w:tcW w:w="4580" w:type="dxa"/>
            <w:vAlign w:val="bottom"/>
            <w:tcBorders>
              <w:right w:val="single" w:sz="8" w:color="029C93"/>
            </w:tcBorders>
            <w:gridSpan w:val="3"/>
            <w:shd w:val="clear" w:color="auto" w:fill="E6E6E7"/>
          </w:tcPr>
          <w:p>
            <w:pPr>
              <w:ind w:left="60"/>
              <w:spacing w:after="0" w:line="111" w:lineRule="exact"/>
              <w:rPr>
                <w:sz w:val="20"/>
                <w:szCs w:val="20"/>
                <w:color w:val="auto"/>
              </w:rPr>
            </w:pPr>
            <w:r>
              <w:rPr>
                <w:rFonts w:ascii="Arial" w:cs="Arial" w:eastAsia="Arial" w:hAnsi="Arial"/>
                <w:sz w:val="10"/>
                <w:szCs w:val="10"/>
                <w:color w:val="auto"/>
              </w:rPr>
              <w:t>Genmab offers competitive remuneration packages, including share-based remuneration. Genmab</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ind w:left="40"/>
              <w:spacing w:after="0" w:line="109" w:lineRule="exact"/>
              <w:rPr>
                <w:sz w:val="20"/>
                <w:szCs w:val="20"/>
                <w:color w:val="auto"/>
              </w:rPr>
            </w:pPr>
            <w:r>
              <w:rPr>
                <w:rFonts w:ascii="Arial" w:cs="Arial" w:eastAsia="Arial" w:hAnsi="Arial"/>
                <w:sz w:val="10"/>
                <w:szCs w:val="10"/>
                <w:color w:val="auto"/>
              </w:rPr>
              <w:t>grow.</w:t>
            </w: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strives to create a positive and energizing working environment with development and training</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opportunities for its team members. Genmab has strong core values that nourish high-integrity and</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shd w:val="clear" w:color="auto" w:fill="E6E6E7"/>
          </w:tcPr>
          <w:p>
            <w:pPr>
              <w:spacing w:after="0"/>
              <w:rPr>
                <w:sz w:val="9"/>
                <w:szCs w:val="9"/>
                <w:color w:val="auto"/>
              </w:rPr>
            </w:pPr>
          </w:p>
        </w:tc>
        <w:tc>
          <w:tcPr>
            <w:tcW w:w="40" w:type="dxa"/>
            <w:vAlign w:val="bottom"/>
            <w:shd w:val="clear" w:color="auto" w:fill="E6E6E7"/>
          </w:tcPr>
          <w:p>
            <w:pPr>
              <w:spacing w:after="0"/>
              <w:rPr>
                <w:sz w:val="9"/>
                <w:szCs w:val="9"/>
                <w:color w:val="auto"/>
              </w:rPr>
            </w:pPr>
          </w:p>
        </w:tc>
        <w:tc>
          <w:tcPr>
            <w:tcW w:w="660" w:type="dxa"/>
            <w:vAlign w:val="bottom"/>
            <w:tcBorders>
              <w:right w:val="single" w:sz="8" w:color="029C93"/>
            </w:tcBorders>
            <w:shd w:val="clear" w:color="auto" w:fill="E6E6E7"/>
          </w:tcPr>
          <w:p>
            <w:pPr>
              <w:spacing w:after="0"/>
              <w:rPr>
                <w:sz w:val="9"/>
                <w:szCs w:val="9"/>
                <w:color w:val="auto"/>
              </w:rPr>
            </w:pP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8"/>
              </w:rPr>
              <w:t xml:space="preserve">ethical behavior, respectful and candid tone and culture, as well as trust and teamwork. </w:t>
            </w:r>
            <w:r>
              <w:rPr>
                <w:rFonts w:ascii="Arial" w:cs="Arial" w:eastAsia="Arial" w:hAnsi="Arial"/>
                <w:sz w:val="10"/>
                <w:szCs w:val="10"/>
                <w:color w:val="029C93"/>
                <w:w w:val="98"/>
              </w:rPr>
              <w:t>Please refer to</w:t>
            </w:r>
          </w:p>
        </w:tc>
        <w:tc>
          <w:tcPr>
            <w:tcW w:w="600" w:type="dxa"/>
            <w:vAlign w:val="bottom"/>
            <w:tcBorders>
              <w:right w:val="single" w:sz="8" w:color="029C93"/>
            </w:tcBorders>
            <w:shd w:val="clear" w:color="auto" w:fill="E6E6E7"/>
          </w:tcPr>
          <w:p>
            <w:pPr>
              <w:spacing w:after="0"/>
              <w:rPr>
                <w:sz w:val="9"/>
                <w:szCs w:val="9"/>
                <w:color w:val="auto"/>
              </w:rPr>
            </w:pPr>
          </w:p>
        </w:tc>
      </w:tr>
      <w:tr>
        <w:trPr>
          <w:trHeight w:val="129"/>
        </w:trPr>
        <w:tc>
          <w:tcPr>
            <w:tcW w:w="1280" w:type="dxa"/>
            <w:vAlign w:val="bottom"/>
            <w:tcBorders>
              <w:left w:val="single" w:sz="8" w:color="029C93"/>
              <w:bottom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shd w:val="clear" w:color="auto" w:fill="E6E6E7"/>
          </w:tcPr>
          <w:p>
            <w:pPr>
              <w:spacing w:after="0"/>
              <w:rPr>
                <w:sz w:val="11"/>
                <w:szCs w:val="11"/>
                <w:color w:val="auto"/>
              </w:rPr>
            </w:pPr>
          </w:p>
        </w:tc>
        <w:tc>
          <w:tcPr>
            <w:tcW w:w="40" w:type="dxa"/>
            <w:vAlign w:val="bottom"/>
            <w:tcBorders>
              <w:bottom w:val="single" w:sz="8" w:color="029C93"/>
            </w:tcBorders>
            <w:shd w:val="clear" w:color="auto" w:fill="E6E6E7"/>
          </w:tcPr>
          <w:p>
            <w:pPr>
              <w:spacing w:after="0"/>
              <w:rPr>
                <w:sz w:val="11"/>
                <w:szCs w:val="11"/>
                <w:color w:val="auto"/>
              </w:rPr>
            </w:pPr>
          </w:p>
        </w:tc>
        <w:tc>
          <w:tcPr>
            <w:tcW w:w="660" w:type="dxa"/>
            <w:vAlign w:val="bottom"/>
            <w:tcBorders>
              <w:bottom w:val="single" w:sz="8" w:color="029C93"/>
              <w:right w:val="single" w:sz="8" w:color="029C93"/>
            </w:tcBorders>
            <w:shd w:val="clear" w:color="auto" w:fill="E6E6E7"/>
          </w:tcPr>
          <w:p>
            <w:pPr>
              <w:spacing w:after="0"/>
              <w:rPr>
                <w:sz w:val="11"/>
                <w:szCs w:val="11"/>
                <w:color w:val="auto"/>
              </w:rPr>
            </w:pPr>
          </w:p>
        </w:tc>
        <w:tc>
          <w:tcPr>
            <w:tcW w:w="4580" w:type="dxa"/>
            <w:vAlign w:val="bottom"/>
            <w:tcBorders>
              <w:bottom w:val="single" w:sz="8" w:color="029C93"/>
              <w:right w:val="single" w:sz="8" w:color="029C93"/>
            </w:tcBorders>
            <w:gridSpan w:val="3"/>
            <w:shd w:val="clear" w:color="auto" w:fill="E6E6E7"/>
          </w:tcPr>
          <w:p>
            <w:pPr>
              <w:ind w:left="60"/>
              <w:spacing w:after="0"/>
              <w:rPr>
                <w:sz w:val="20"/>
                <w:szCs w:val="20"/>
                <w:color w:val="auto"/>
              </w:rPr>
            </w:pPr>
            <w:r>
              <w:rPr>
                <w:rFonts w:ascii="Arial" w:cs="Arial" w:eastAsia="Arial" w:hAnsi="Arial"/>
                <w:sz w:val="10"/>
                <w:szCs w:val="10"/>
                <w:color w:val="029C93"/>
              </w:rPr>
              <w:t>Note 4.6 of the financial statements for additional information regarding share-based compensation.</w:t>
            </w:r>
          </w:p>
        </w:tc>
        <w:tc>
          <w:tcPr>
            <w:tcW w:w="600" w:type="dxa"/>
            <w:vAlign w:val="bottom"/>
            <w:tcBorders>
              <w:bottom w:val="single" w:sz="8" w:color="029C93"/>
              <w:right w:val="single" w:sz="8" w:color="029C93"/>
            </w:tcBorders>
            <w:shd w:val="clear" w:color="auto" w:fill="E6E6E7"/>
          </w:tcPr>
          <w:p>
            <w:pPr>
              <w:spacing w:after="0"/>
              <w:rPr>
                <w:sz w:val="11"/>
                <w:szCs w:val="11"/>
                <w:color w:val="auto"/>
              </w:rPr>
            </w:pPr>
          </w:p>
        </w:tc>
      </w:tr>
      <w:tr>
        <w:trPr>
          <w:trHeight w:val="110"/>
        </w:trPr>
        <w:tc>
          <w:tcPr>
            <w:tcW w:w="1280" w:type="dxa"/>
            <w:vAlign w:val="bottom"/>
            <w:tcBorders>
              <w:left w:val="single" w:sz="8" w:color="029C93"/>
              <w:right w:val="single" w:sz="8" w:color="029C93"/>
            </w:tcBorders>
          </w:tcPr>
          <w:p>
            <w:pPr>
              <w:ind w:left="80"/>
              <w:spacing w:after="0" w:line="110" w:lineRule="exact"/>
              <w:rPr>
                <w:sz w:val="20"/>
                <w:szCs w:val="20"/>
                <w:color w:val="auto"/>
              </w:rPr>
            </w:pPr>
            <w:r>
              <w:rPr>
                <w:rFonts w:ascii="Arial" w:cs="Arial" w:eastAsia="Arial" w:hAnsi="Arial"/>
                <w:sz w:val="10"/>
                <w:szCs w:val="10"/>
                <w:b w:val="1"/>
                <w:bCs w:val="1"/>
                <w:color w:val="auto"/>
              </w:rPr>
              <w:t>Cybersecurity</w:t>
            </w:r>
          </w:p>
        </w:tc>
        <w:tc>
          <w:tcPr>
            <w:tcW w:w="2520" w:type="dxa"/>
            <w:vAlign w:val="bottom"/>
            <w:tcBorders>
              <w:right w:val="single" w:sz="8" w:color="029C93"/>
            </w:tcBorders>
            <w:gridSpan w:val="3"/>
          </w:tcPr>
          <w:p>
            <w:pPr>
              <w:ind w:left="40"/>
              <w:spacing w:after="0" w:line="110" w:lineRule="exact"/>
              <w:rPr>
                <w:sz w:val="20"/>
                <w:szCs w:val="20"/>
                <w:color w:val="auto"/>
              </w:rPr>
            </w:pPr>
            <w:r>
              <w:rPr>
                <w:rFonts w:ascii="Arial" w:cs="Arial" w:eastAsia="Arial" w:hAnsi="Arial"/>
                <w:sz w:val="10"/>
                <w:szCs w:val="10"/>
                <w:color w:val="auto"/>
              </w:rPr>
              <w:t>Genmab may be subject to malicious cyber-attacks</w:t>
            </w:r>
          </w:p>
        </w:tc>
        <w:tc>
          <w:tcPr>
            <w:tcW w:w="4580" w:type="dxa"/>
            <w:vAlign w:val="bottom"/>
            <w:tcBorders>
              <w:right w:val="single" w:sz="8" w:color="029C93"/>
            </w:tcBorders>
            <w:gridSpan w:val="3"/>
          </w:tcPr>
          <w:p>
            <w:pPr>
              <w:ind w:left="60"/>
              <w:spacing w:after="0" w:line="110" w:lineRule="exact"/>
              <w:rPr>
                <w:sz w:val="20"/>
                <w:szCs w:val="20"/>
                <w:color w:val="auto"/>
              </w:rPr>
            </w:pPr>
            <w:r>
              <w:rPr>
                <w:rFonts w:ascii="Arial" w:cs="Arial" w:eastAsia="Arial" w:hAnsi="Arial"/>
                <w:sz w:val="10"/>
                <w:szCs w:val="10"/>
                <w:color w:val="auto"/>
              </w:rPr>
              <w:t>Genmab has implemented robust security controls and processes to enhance the identification of</w:t>
            </w:r>
          </w:p>
        </w:tc>
        <w:tc>
          <w:tcPr>
            <w:tcW w:w="600" w:type="dxa"/>
            <w:vAlign w:val="bottom"/>
            <w:tcBorders>
              <w:right w:val="single" w:sz="8" w:color="029C93"/>
            </w:tcBorders>
          </w:tcPr>
          <w:p>
            <w:pPr>
              <w:ind w:left="60"/>
              <w:spacing w:after="0" w:line="110" w:lineRule="exact"/>
              <w:rPr>
                <w:sz w:val="20"/>
                <w:szCs w:val="20"/>
                <w:color w:val="auto"/>
              </w:rPr>
            </w:pPr>
            <w:r>
              <w:rPr>
                <w:rFonts w:ascii="Arial" w:cs="Arial" w:eastAsia="Arial" w:hAnsi="Arial"/>
                <w:sz w:val="10"/>
                <w:szCs w:val="10"/>
                <w:color w:val="auto"/>
              </w:rPr>
              <w:t>&gt;</w:t>
            </w: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which can lead to the theft or leakage of intellectual</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7"/>
              </w:rPr>
              <w:t>potential data/systems security issues and mitigate the risk of security breaches. Genmab makes use of</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w w:val="98"/>
              </w:rPr>
              <w:t>property, sensitive business data, or personal employee</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w w:val="98"/>
              </w:rPr>
              <w:t>the National Institute of Standards and Technology (NIST) Cybersecurity Framework and other security</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or patient data, with the result of significant business</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standards to define and implement such security controls. Due to the continually changing threat</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tcPr>
          <w:p>
            <w:pPr>
              <w:ind w:left="40"/>
              <w:spacing w:after="0" w:line="109" w:lineRule="exact"/>
              <w:rPr>
                <w:sz w:val="20"/>
                <w:szCs w:val="20"/>
                <w:color w:val="auto"/>
              </w:rPr>
            </w:pPr>
            <w:r>
              <w:rPr>
                <w:rFonts w:ascii="Arial" w:cs="Arial" w:eastAsia="Arial" w:hAnsi="Arial"/>
                <w:sz w:val="10"/>
                <w:szCs w:val="10"/>
                <w:color w:val="auto"/>
              </w:rPr>
              <w:t>disruptions, monetary loss or fines from authorities, or</w:t>
            </w: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environment, regular assessments are executed to ensure that implemented security controls and</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ind w:left="40"/>
              <w:spacing w:after="0" w:line="109" w:lineRule="exact"/>
              <w:rPr>
                <w:sz w:val="20"/>
                <w:szCs w:val="20"/>
                <w:color w:val="auto"/>
              </w:rPr>
            </w:pPr>
            <w:r>
              <w:rPr>
                <w:rFonts w:ascii="Arial" w:cs="Arial" w:eastAsia="Arial" w:hAnsi="Arial"/>
                <w:sz w:val="10"/>
                <w:szCs w:val="10"/>
                <w:color w:val="auto"/>
              </w:rPr>
              <w:t>reputational damage.</w:t>
            </w: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processes follow the threat profile of the Company and effectively support Genmab’s ambitious</w:t>
            </w:r>
          </w:p>
        </w:tc>
        <w:tc>
          <w:tcPr>
            <w:tcW w:w="600" w:type="dxa"/>
            <w:vAlign w:val="bottom"/>
            <w:tcBorders>
              <w:right w:val="single" w:sz="8" w:color="029C93"/>
            </w:tcBorders>
          </w:tcPr>
          <w:p>
            <w:pPr>
              <w:spacing w:after="0"/>
              <w:rPr>
                <w:sz w:val="9"/>
                <w:szCs w:val="9"/>
                <w:color w:val="auto"/>
              </w:rPr>
            </w:pPr>
          </w:p>
        </w:tc>
      </w:tr>
      <w:tr>
        <w:trPr>
          <w:trHeight w:val="104"/>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4" w:lineRule="exact"/>
              <w:rPr>
                <w:sz w:val="20"/>
                <w:szCs w:val="20"/>
                <w:color w:val="auto"/>
              </w:rPr>
            </w:pPr>
            <w:r>
              <w:rPr>
                <w:rFonts w:ascii="Arial" w:cs="Arial" w:eastAsia="Arial" w:hAnsi="Arial"/>
                <w:sz w:val="10"/>
                <w:szCs w:val="10"/>
                <w:color w:val="auto"/>
                <w:w w:val="97"/>
              </w:rPr>
              <w:t>business strategy. The risk of security breaches is regarded as enterprise risk and the Company’s threat</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profile, the security program and security incidents are presented and discussed in meetings of the</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gridSpan w:val="3"/>
          </w:tcPr>
          <w:p>
            <w:pPr>
              <w:ind w:left="60"/>
              <w:spacing w:after="0" w:line="109" w:lineRule="exact"/>
              <w:rPr>
                <w:sz w:val="20"/>
                <w:szCs w:val="20"/>
                <w:color w:val="auto"/>
              </w:rPr>
            </w:pPr>
            <w:r>
              <w:rPr>
                <w:rFonts w:ascii="Arial" w:cs="Arial" w:eastAsia="Arial" w:hAnsi="Arial"/>
                <w:sz w:val="10"/>
                <w:szCs w:val="10"/>
                <w:color w:val="auto"/>
              </w:rPr>
              <w:t>Global Compliance and Risk Committee and the Audit and Finance Committee of the Board of</w:t>
            </w:r>
          </w:p>
        </w:tc>
        <w:tc>
          <w:tcPr>
            <w:tcW w:w="600" w:type="dxa"/>
            <w:vAlign w:val="bottom"/>
            <w:tcBorders>
              <w:right w:val="single" w:sz="8" w:color="029C93"/>
            </w:tcBorders>
          </w:tcPr>
          <w:p>
            <w:pPr>
              <w:spacing w:after="0"/>
              <w:rPr>
                <w:sz w:val="9"/>
                <w:szCs w:val="9"/>
                <w:color w:val="auto"/>
              </w:rPr>
            </w:pPr>
          </w:p>
        </w:tc>
      </w:tr>
      <w:tr>
        <w:trPr>
          <w:trHeight w:val="129"/>
        </w:trPr>
        <w:tc>
          <w:tcPr>
            <w:tcW w:w="1280" w:type="dxa"/>
            <w:vAlign w:val="bottom"/>
            <w:tcBorders>
              <w:left w:val="single" w:sz="8" w:color="029C93"/>
              <w:bottom w:val="single" w:sz="8" w:color="029C93"/>
              <w:right w:val="single" w:sz="8" w:color="029C93"/>
            </w:tcBorders>
          </w:tcPr>
          <w:p>
            <w:pPr>
              <w:spacing w:after="0"/>
              <w:rPr>
                <w:sz w:val="11"/>
                <w:szCs w:val="11"/>
                <w:color w:val="auto"/>
              </w:rPr>
            </w:pPr>
          </w:p>
        </w:tc>
        <w:tc>
          <w:tcPr>
            <w:tcW w:w="1820" w:type="dxa"/>
            <w:vAlign w:val="bottom"/>
            <w:tcBorders>
              <w:bottom w:val="single" w:sz="8" w:color="029C93"/>
            </w:tcBorders>
          </w:tcPr>
          <w:p>
            <w:pPr>
              <w:spacing w:after="0"/>
              <w:rPr>
                <w:sz w:val="11"/>
                <w:szCs w:val="11"/>
                <w:color w:val="auto"/>
              </w:rPr>
            </w:pPr>
          </w:p>
        </w:tc>
        <w:tc>
          <w:tcPr>
            <w:tcW w:w="40" w:type="dxa"/>
            <w:vAlign w:val="bottom"/>
            <w:tcBorders>
              <w:bottom w:val="single" w:sz="8" w:color="029C93"/>
            </w:tcBorders>
          </w:tcPr>
          <w:p>
            <w:pPr>
              <w:spacing w:after="0"/>
              <w:rPr>
                <w:sz w:val="11"/>
                <w:szCs w:val="11"/>
                <w:color w:val="auto"/>
              </w:rPr>
            </w:pPr>
          </w:p>
        </w:tc>
        <w:tc>
          <w:tcPr>
            <w:tcW w:w="660" w:type="dxa"/>
            <w:vAlign w:val="bottom"/>
            <w:tcBorders>
              <w:bottom w:val="single" w:sz="8" w:color="029C93"/>
              <w:right w:val="single" w:sz="8" w:color="029C93"/>
            </w:tcBorders>
          </w:tcPr>
          <w:p>
            <w:pPr>
              <w:spacing w:after="0"/>
              <w:rPr>
                <w:sz w:val="11"/>
                <w:szCs w:val="11"/>
                <w:color w:val="auto"/>
              </w:rPr>
            </w:pPr>
          </w:p>
        </w:tc>
        <w:tc>
          <w:tcPr>
            <w:tcW w:w="3740" w:type="dxa"/>
            <w:vAlign w:val="bottom"/>
            <w:tcBorders>
              <w:bottom w:val="single" w:sz="8" w:color="029C93"/>
            </w:tcBorders>
            <w:gridSpan w:val="2"/>
          </w:tcPr>
          <w:p>
            <w:pPr>
              <w:ind w:left="60"/>
              <w:spacing w:after="0"/>
              <w:rPr>
                <w:sz w:val="20"/>
                <w:szCs w:val="20"/>
                <w:color w:val="auto"/>
              </w:rPr>
            </w:pPr>
            <w:r>
              <w:rPr>
                <w:rFonts w:ascii="Arial" w:cs="Arial" w:eastAsia="Arial" w:hAnsi="Arial"/>
                <w:sz w:val="10"/>
                <w:szCs w:val="10"/>
                <w:color w:val="auto"/>
              </w:rPr>
              <w:t>Directors.</w:t>
            </w:r>
          </w:p>
        </w:tc>
        <w:tc>
          <w:tcPr>
            <w:tcW w:w="840" w:type="dxa"/>
            <w:vAlign w:val="bottom"/>
            <w:tcBorders>
              <w:bottom w:val="single" w:sz="8" w:color="029C93"/>
              <w:right w:val="single" w:sz="8" w:color="029C93"/>
            </w:tcBorders>
          </w:tcPr>
          <w:p>
            <w:pPr>
              <w:spacing w:after="0"/>
              <w:rPr>
                <w:sz w:val="11"/>
                <w:szCs w:val="11"/>
                <w:color w:val="auto"/>
              </w:rPr>
            </w:pPr>
          </w:p>
        </w:tc>
        <w:tc>
          <w:tcPr>
            <w:tcW w:w="600" w:type="dxa"/>
            <w:vAlign w:val="bottom"/>
            <w:tcBorders>
              <w:bottom w:val="single" w:sz="8" w:color="029C93"/>
              <w:right w:val="single" w:sz="8" w:color="029C93"/>
            </w:tcBorders>
          </w:tcPr>
          <w:p>
            <w:pPr>
              <w:spacing w:after="0"/>
              <w:rPr>
                <w:sz w:val="11"/>
                <w:szCs w:val="11"/>
                <w:color w:val="auto"/>
              </w:rPr>
            </w:pPr>
          </w:p>
        </w:tc>
      </w:tr>
      <w:tr>
        <w:trPr>
          <w:trHeight w:val="110"/>
        </w:trPr>
        <w:tc>
          <w:tcPr>
            <w:tcW w:w="1280" w:type="dxa"/>
            <w:vAlign w:val="bottom"/>
            <w:tcBorders>
              <w:left w:val="single" w:sz="8" w:color="029C93"/>
              <w:right w:val="single" w:sz="8" w:color="029C93"/>
            </w:tcBorders>
          </w:tcPr>
          <w:p>
            <w:pPr>
              <w:ind w:left="80"/>
              <w:spacing w:after="0" w:line="110" w:lineRule="exact"/>
              <w:rPr>
                <w:sz w:val="20"/>
                <w:szCs w:val="20"/>
                <w:color w:val="auto"/>
              </w:rPr>
            </w:pPr>
            <w:r>
              <w:rPr>
                <w:rFonts w:ascii="Arial" w:cs="Arial" w:eastAsia="Arial" w:hAnsi="Arial"/>
                <w:sz w:val="10"/>
                <w:szCs w:val="10"/>
                <w:b w:val="1"/>
                <w:bCs w:val="1"/>
                <w:color w:val="auto"/>
              </w:rPr>
              <w:t>COVID-19 Pandemic</w:t>
            </w:r>
          </w:p>
        </w:tc>
        <w:tc>
          <w:tcPr>
            <w:tcW w:w="2520" w:type="dxa"/>
            <w:vAlign w:val="bottom"/>
            <w:tcBorders>
              <w:right w:val="single" w:sz="8" w:color="029C93"/>
            </w:tcBorders>
            <w:gridSpan w:val="3"/>
            <w:shd w:val="clear" w:color="auto" w:fill="E6E6E7"/>
          </w:tcPr>
          <w:p>
            <w:pPr>
              <w:ind w:left="40"/>
              <w:spacing w:after="0" w:line="110" w:lineRule="exact"/>
              <w:rPr>
                <w:sz w:val="20"/>
                <w:szCs w:val="20"/>
                <w:color w:val="auto"/>
              </w:rPr>
            </w:pPr>
            <w:r>
              <w:rPr>
                <w:rFonts w:ascii="Arial" w:cs="Arial" w:eastAsia="Arial" w:hAnsi="Arial"/>
                <w:sz w:val="10"/>
                <w:szCs w:val="10"/>
                <w:color w:val="auto"/>
              </w:rPr>
              <w:t>The global outbreak of COVID-19 has continued to</w:t>
            </w:r>
          </w:p>
        </w:tc>
        <w:tc>
          <w:tcPr>
            <w:tcW w:w="4580" w:type="dxa"/>
            <w:vAlign w:val="bottom"/>
            <w:tcBorders>
              <w:right w:val="single" w:sz="8" w:color="029C93"/>
            </w:tcBorders>
            <w:gridSpan w:val="3"/>
            <w:shd w:val="clear" w:color="auto" w:fill="E6E6E7"/>
          </w:tcPr>
          <w:p>
            <w:pPr>
              <w:ind w:left="60"/>
              <w:spacing w:after="0" w:line="110" w:lineRule="exact"/>
              <w:rPr>
                <w:sz w:val="20"/>
                <w:szCs w:val="20"/>
                <w:color w:val="auto"/>
              </w:rPr>
            </w:pPr>
            <w:r>
              <w:rPr>
                <w:rFonts w:ascii="Arial" w:cs="Arial" w:eastAsia="Arial" w:hAnsi="Arial"/>
                <w:sz w:val="10"/>
                <w:szCs w:val="10"/>
                <w:color w:val="auto"/>
                <w:w w:val="99"/>
              </w:rPr>
              <w:t>Genmab has a COVID-19 response team, led by the CEO, that monitors the situation and implements</w:t>
            </w:r>
          </w:p>
        </w:tc>
        <w:tc>
          <w:tcPr>
            <w:tcW w:w="600" w:type="dxa"/>
            <w:vAlign w:val="bottom"/>
            <w:tcBorders>
              <w:right w:val="single" w:sz="8" w:color="029C93"/>
            </w:tcBorders>
            <w:shd w:val="clear" w:color="auto" w:fill="E6E6E7"/>
          </w:tcPr>
          <w:p>
            <w:pPr>
              <w:ind w:left="60"/>
              <w:spacing w:after="0" w:line="110" w:lineRule="exact"/>
              <w:rPr>
                <w:sz w:val="20"/>
                <w:szCs w:val="20"/>
                <w:color w:val="auto"/>
              </w:rPr>
            </w:pPr>
            <w:r>
              <w:rPr>
                <w:rFonts w:ascii="Arial" w:cs="Arial" w:eastAsia="Arial" w:hAnsi="Arial"/>
                <w:sz w:val="10"/>
                <w:szCs w:val="10"/>
                <w:color w:val="auto"/>
              </w:rPr>
              <w:t>=</w:t>
            </w:r>
          </w:p>
        </w:tc>
      </w:tr>
      <w:tr>
        <w:trPr>
          <w:trHeight w:val="95"/>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gridSpan w:val="3"/>
            <w:shd w:val="clear" w:color="auto" w:fill="E6E6E7"/>
          </w:tcPr>
          <w:p>
            <w:pPr>
              <w:ind w:left="40"/>
              <w:spacing w:after="0" w:line="95" w:lineRule="exact"/>
              <w:rPr>
                <w:sz w:val="20"/>
                <w:szCs w:val="20"/>
                <w:color w:val="auto"/>
              </w:rPr>
            </w:pPr>
            <w:r>
              <w:rPr>
                <w:rFonts w:ascii="Arial" w:cs="Arial" w:eastAsia="Arial" w:hAnsi="Arial"/>
                <w:sz w:val="10"/>
                <w:szCs w:val="10"/>
                <w:color w:val="auto"/>
              </w:rPr>
              <w:t>evolve, may be further prolonged, and may have long-</w:t>
            </w:r>
          </w:p>
        </w:tc>
        <w:tc>
          <w:tcPr>
            <w:tcW w:w="4580" w:type="dxa"/>
            <w:vAlign w:val="bottom"/>
            <w:tcBorders>
              <w:right w:val="single" w:sz="8" w:color="029C93"/>
            </w:tcBorders>
            <w:gridSpan w:val="3"/>
            <w:shd w:val="clear" w:color="auto" w:fill="E6E6E7"/>
          </w:tcPr>
          <w:p>
            <w:pPr>
              <w:ind w:left="60"/>
              <w:spacing w:after="0" w:line="95" w:lineRule="exact"/>
              <w:rPr>
                <w:sz w:val="20"/>
                <w:szCs w:val="20"/>
                <w:color w:val="auto"/>
              </w:rPr>
            </w:pPr>
            <w:r>
              <w:rPr>
                <w:rFonts w:ascii="Arial" w:cs="Arial" w:eastAsia="Arial" w:hAnsi="Arial"/>
                <w:sz w:val="10"/>
                <w:szCs w:val="10"/>
                <w:color w:val="auto"/>
              </w:rPr>
              <w:t>precautionary measures based on local recommendations, as necessary to help limit the impact of</w:t>
            </w:r>
          </w:p>
        </w:tc>
        <w:tc>
          <w:tcPr>
            <w:tcW w:w="600" w:type="dxa"/>
            <w:vAlign w:val="bottom"/>
            <w:tcBorders>
              <w:right w:val="single" w:sz="8" w:color="029C93"/>
            </w:tcBorders>
            <w:shd w:val="clear" w:color="auto" w:fill="E6E6E7"/>
          </w:tcPr>
          <w:p>
            <w:pPr>
              <w:spacing w:after="0"/>
              <w:rPr>
                <w:sz w:val="8"/>
                <w:szCs w:val="8"/>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term impacts on the development, regulatory approval</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COVID-19 at our workplace and on our communities, and that helps ensure business continuity and</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and commercialization of our product candidates and</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mitigate effects on employee well-being. While global health authorities and global vaccination efforts</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on net sales of our approved products. The extent,</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w w:val="98"/>
              </w:rPr>
              <w:t>alleviated some of the adverse impacts of the COVID-19 pandemic, Genmab assesses the situation on</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length and consequences of the pandemic</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an ongoing basis in close contact with clinical trial sites, physicians and CROs to evaluate the</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are uncertain and impossible to predict. The factors</w:t>
            </w:r>
          </w:p>
        </w:tc>
        <w:tc>
          <w:tcPr>
            <w:tcW w:w="4580" w:type="dxa"/>
            <w:vAlign w:val="bottom"/>
            <w:tcBorders>
              <w:right w:val="single" w:sz="8" w:color="029C93"/>
            </w:tcBorders>
            <w:gridSpan w:val="3"/>
            <w:shd w:val="clear" w:color="auto" w:fill="E6E6E7"/>
          </w:tcPr>
          <w:p>
            <w:pPr>
              <w:ind w:left="60"/>
              <w:spacing w:after="0" w:line="109" w:lineRule="exact"/>
              <w:rPr>
                <w:sz w:val="20"/>
                <w:szCs w:val="20"/>
                <w:color w:val="auto"/>
              </w:rPr>
            </w:pPr>
            <w:r>
              <w:rPr>
                <w:rFonts w:ascii="Arial" w:cs="Arial" w:eastAsia="Arial" w:hAnsi="Arial"/>
                <w:sz w:val="10"/>
                <w:szCs w:val="10"/>
                <w:color w:val="auto"/>
              </w:rPr>
              <w:t>impact and challenges posed by the COVID-19 situation and manage them accordingly.</w:t>
            </w: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discussed above, as well as other factors which are</w:t>
            </w:r>
          </w:p>
        </w:tc>
        <w:tc>
          <w:tcPr>
            <w:tcW w:w="120" w:type="dxa"/>
            <w:vAlign w:val="bottom"/>
            <w:shd w:val="clear" w:color="auto" w:fill="E6E6E7"/>
          </w:tcPr>
          <w:p>
            <w:pPr>
              <w:spacing w:after="0"/>
              <w:rPr>
                <w:sz w:val="9"/>
                <w:szCs w:val="9"/>
                <w:color w:val="auto"/>
              </w:rPr>
            </w:pPr>
          </w:p>
        </w:tc>
        <w:tc>
          <w:tcPr>
            <w:tcW w:w="3620" w:type="dxa"/>
            <w:vAlign w:val="bottom"/>
            <w:shd w:val="clear" w:color="auto" w:fill="E6E6E7"/>
          </w:tcPr>
          <w:p>
            <w:pPr>
              <w:spacing w:after="0"/>
              <w:rPr>
                <w:sz w:val="9"/>
                <w:szCs w:val="9"/>
                <w:color w:val="auto"/>
              </w:rPr>
            </w:pPr>
          </w:p>
        </w:tc>
        <w:tc>
          <w:tcPr>
            <w:tcW w:w="840" w:type="dxa"/>
            <w:vAlign w:val="bottom"/>
            <w:tcBorders>
              <w:right w:val="single" w:sz="8" w:color="029C93"/>
            </w:tcBorders>
            <w:shd w:val="clear" w:color="auto" w:fill="E6E6E7"/>
          </w:tcPr>
          <w:p>
            <w:pPr>
              <w:spacing w:after="0"/>
              <w:rPr>
                <w:sz w:val="9"/>
                <w:szCs w:val="9"/>
                <w:color w:val="auto"/>
              </w:rPr>
            </w:pP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currently unanticipated or unforeseeable, may result in</w:t>
            </w:r>
          </w:p>
        </w:tc>
        <w:tc>
          <w:tcPr>
            <w:tcW w:w="120" w:type="dxa"/>
            <w:vAlign w:val="bottom"/>
            <w:shd w:val="clear" w:color="auto" w:fill="E6E6E7"/>
          </w:tcPr>
          <w:p>
            <w:pPr>
              <w:spacing w:after="0"/>
              <w:rPr>
                <w:sz w:val="9"/>
                <w:szCs w:val="9"/>
                <w:color w:val="auto"/>
              </w:rPr>
            </w:pPr>
          </w:p>
        </w:tc>
        <w:tc>
          <w:tcPr>
            <w:tcW w:w="3620" w:type="dxa"/>
            <w:vAlign w:val="bottom"/>
            <w:shd w:val="clear" w:color="auto" w:fill="E6E6E7"/>
          </w:tcPr>
          <w:p>
            <w:pPr>
              <w:spacing w:after="0"/>
              <w:rPr>
                <w:sz w:val="9"/>
                <w:szCs w:val="9"/>
                <w:color w:val="auto"/>
              </w:rPr>
            </w:pPr>
          </w:p>
        </w:tc>
        <w:tc>
          <w:tcPr>
            <w:tcW w:w="840" w:type="dxa"/>
            <w:vAlign w:val="bottom"/>
            <w:tcBorders>
              <w:right w:val="single" w:sz="8" w:color="029C93"/>
            </w:tcBorders>
            <w:shd w:val="clear" w:color="auto" w:fill="E6E6E7"/>
          </w:tcPr>
          <w:p>
            <w:pPr>
              <w:spacing w:after="0"/>
              <w:rPr>
                <w:sz w:val="9"/>
                <w:szCs w:val="9"/>
                <w:color w:val="auto"/>
              </w:rPr>
            </w:pPr>
          </w:p>
        </w:tc>
        <w:tc>
          <w:tcPr>
            <w:tcW w:w="600" w:type="dxa"/>
            <w:vAlign w:val="bottom"/>
            <w:tcBorders>
              <w:right w:val="single" w:sz="8" w:color="029C93"/>
            </w:tcBorders>
            <w:shd w:val="clear" w:color="auto" w:fill="E6E6E7"/>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gridSpan w:val="3"/>
            <w:shd w:val="clear" w:color="auto" w:fill="E6E6E7"/>
          </w:tcPr>
          <w:p>
            <w:pPr>
              <w:ind w:left="40"/>
              <w:spacing w:after="0" w:line="109" w:lineRule="exact"/>
              <w:rPr>
                <w:sz w:val="20"/>
                <w:szCs w:val="20"/>
                <w:color w:val="auto"/>
              </w:rPr>
            </w:pPr>
            <w:r>
              <w:rPr>
                <w:rFonts w:ascii="Arial" w:cs="Arial" w:eastAsia="Arial" w:hAnsi="Arial"/>
                <w:sz w:val="10"/>
                <w:szCs w:val="10"/>
                <w:color w:val="auto"/>
              </w:rPr>
              <w:t>further and other unforeseen material adverse</w:t>
            </w:r>
          </w:p>
        </w:tc>
        <w:tc>
          <w:tcPr>
            <w:tcW w:w="120" w:type="dxa"/>
            <w:vAlign w:val="bottom"/>
            <w:shd w:val="clear" w:color="auto" w:fill="E6E6E7"/>
          </w:tcPr>
          <w:p>
            <w:pPr>
              <w:spacing w:after="0"/>
              <w:rPr>
                <w:sz w:val="9"/>
                <w:szCs w:val="9"/>
                <w:color w:val="auto"/>
              </w:rPr>
            </w:pPr>
          </w:p>
        </w:tc>
        <w:tc>
          <w:tcPr>
            <w:tcW w:w="3620" w:type="dxa"/>
            <w:vAlign w:val="bottom"/>
            <w:shd w:val="clear" w:color="auto" w:fill="E6E6E7"/>
          </w:tcPr>
          <w:p>
            <w:pPr>
              <w:spacing w:after="0"/>
              <w:rPr>
                <w:sz w:val="9"/>
                <w:szCs w:val="9"/>
                <w:color w:val="auto"/>
              </w:rPr>
            </w:pPr>
          </w:p>
        </w:tc>
        <w:tc>
          <w:tcPr>
            <w:tcW w:w="840" w:type="dxa"/>
            <w:vAlign w:val="bottom"/>
            <w:tcBorders>
              <w:right w:val="single" w:sz="8" w:color="029C93"/>
            </w:tcBorders>
            <w:shd w:val="clear" w:color="auto" w:fill="E6E6E7"/>
          </w:tcPr>
          <w:p>
            <w:pPr>
              <w:spacing w:after="0"/>
              <w:rPr>
                <w:sz w:val="9"/>
                <w:szCs w:val="9"/>
                <w:color w:val="auto"/>
              </w:rPr>
            </w:pPr>
          </w:p>
        </w:tc>
        <w:tc>
          <w:tcPr>
            <w:tcW w:w="600" w:type="dxa"/>
            <w:vAlign w:val="bottom"/>
            <w:tcBorders>
              <w:right w:val="single" w:sz="8" w:color="029C93"/>
            </w:tcBorders>
            <w:shd w:val="clear" w:color="auto" w:fill="E6E6E7"/>
          </w:tcPr>
          <w:p>
            <w:pPr>
              <w:spacing w:after="0"/>
              <w:rPr>
                <w:sz w:val="9"/>
                <w:szCs w:val="9"/>
                <w:color w:val="auto"/>
              </w:rPr>
            </w:pPr>
          </w:p>
        </w:tc>
      </w:tr>
      <w:tr>
        <w:trPr>
          <w:trHeight w:val="114"/>
        </w:trPr>
        <w:tc>
          <w:tcPr>
            <w:tcW w:w="1280" w:type="dxa"/>
            <w:vAlign w:val="bottom"/>
            <w:tcBorders>
              <w:left w:val="single" w:sz="8" w:color="029C93"/>
              <w:bottom w:val="single" w:sz="8" w:color="029C93"/>
              <w:right w:val="single" w:sz="8" w:color="029C93"/>
            </w:tcBorders>
          </w:tcPr>
          <w:p>
            <w:pPr>
              <w:spacing w:after="0"/>
              <w:rPr>
                <w:sz w:val="9"/>
                <w:szCs w:val="9"/>
                <w:color w:val="auto"/>
              </w:rPr>
            </w:pPr>
          </w:p>
        </w:tc>
        <w:tc>
          <w:tcPr>
            <w:tcW w:w="2520" w:type="dxa"/>
            <w:vAlign w:val="bottom"/>
            <w:tcBorders>
              <w:bottom w:val="single" w:sz="8" w:color="029C93"/>
              <w:right w:val="single" w:sz="8" w:color="029C93"/>
            </w:tcBorders>
            <w:gridSpan w:val="3"/>
            <w:shd w:val="clear" w:color="auto" w:fill="E6E6E7"/>
          </w:tcPr>
          <w:p>
            <w:pPr>
              <w:ind w:left="40"/>
              <w:spacing w:after="0" w:line="114" w:lineRule="exact"/>
              <w:rPr>
                <w:sz w:val="20"/>
                <w:szCs w:val="20"/>
                <w:color w:val="auto"/>
              </w:rPr>
            </w:pPr>
            <w:r>
              <w:rPr>
                <w:rFonts w:ascii="Arial" w:cs="Arial" w:eastAsia="Arial" w:hAnsi="Arial"/>
                <w:sz w:val="10"/>
                <w:szCs w:val="10"/>
                <w:color w:val="auto"/>
              </w:rPr>
              <w:t>impacts on our business and financial performance.</w:t>
            </w:r>
          </w:p>
        </w:tc>
        <w:tc>
          <w:tcPr>
            <w:tcW w:w="120" w:type="dxa"/>
            <w:vAlign w:val="bottom"/>
            <w:tcBorders>
              <w:bottom w:val="single" w:sz="8" w:color="029C93"/>
            </w:tcBorders>
            <w:shd w:val="clear" w:color="auto" w:fill="E6E6E7"/>
          </w:tcPr>
          <w:p>
            <w:pPr>
              <w:spacing w:after="0"/>
              <w:rPr>
                <w:sz w:val="9"/>
                <w:szCs w:val="9"/>
                <w:color w:val="auto"/>
              </w:rPr>
            </w:pPr>
          </w:p>
        </w:tc>
        <w:tc>
          <w:tcPr>
            <w:tcW w:w="3620" w:type="dxa"/>
            <w:vAlign w:val="bottom"/>
            <w:tcBorders>
              <w:bottom w:val="single" w:sz="8" w:color="029C93"/>
            </w:tcBorders>
            <w:shd w:val="clear" w:color="auto" w:fill="E6E6E7"/>
          </w:tcPr>
          <w:p>
            <w:pPr>
              <w:spacing w:after="0"/>
              <w:rPr>
                <w:sz w:val="9"/>
                <w:szCs w:val="9"/>
                <w:color w:val="auto"/>
              </w:rPr>
            </w:pPr>
          </w:p>
        </w:tc>
        <w:tc>
          <w:tcPr>
            <w:tcW w:w="840" w:type="dxa"/>
            <w:vAlign w:val="bottom"/>
            <w:tcBorders>
              <w:bottom w:val="single" w:sz="8" w:color="029C93"/>
              <w:right w:val="single" w:sz="8" w:color="029C93"/>
            </w:tcBorders>
            <w:shd w:val="clear" w:color="auto" w:fill="E6E6E7"/>
          </w:tcPr>
          <w:p>
            <w:pPr>
              <w:spacing w:after="0"/>
              <w:rPr>
                <w:sz w:val="9"/>
                <w:szCs w:val="9"/>
                <w:color w:val="auto"/>
              </w:rPr>
            </w:pPr>
          </w:p>
        </w:tc>
        <w:tc>
          <w:tcPr>
            <w:tcW w:w="600" w:type="dxa"/>
            <w:vAlign w:val="bottom"/>
            <w:tcBorders>
              <w:bottom w:val="single" w:sz="8" w:color="029C93"/>
              <w:right w:val="single" w:sz="8" w:color="029C93"/>
            </w:tcBorders>
            <w:shd w:val="clear" w:color="auto" w:fill="E6E6E7"/>
          </w:tcPr>
          <w:p>
            <w:pPr>
              <w:spacing w:after="0"/>
              <w:rPr>
                <w:sz w:val="9"/>
                <w:szCs w:val="9"/>
                <w:color w:val="auto"/>
              </w:rPr>
            </w:pPr>
          </w:p>
        </w:tc>
      </w:tr>
      <w:tr>
        <w:trPr>
          <w:trHeight w:val="229"/>
        </w:trPr>
        <w:tc>
          <w:tcPr>
            <w:tcW w:w="1280" w:type="dxa"/>
            <w:vAlign w:val="bottom"/>
          </w:tcPr>
          <w:p>
            <w:pPr>
              <w:spacing w:after="0"/>
              <w:rPr>
                <w:sz w:val="20"/>
                <w:szCs w:val="20"/>
                <w:color w:val="auto"/>
              </w:rPr>
            </w:pPr>
            <w:r>
              <w:rPr>
                <w:rFonts w:ascii="Arial" w:cs="Arial" w:eastAsia="Arial" w:hAnsi="Arial"/>
                <w:sz w:val="10"/>
                <w:szCs w:val="10"/>
                <w:color w:val="auto"/>
              </w:rPr>
              <w:t>Genmab A/S</w:t>
            </w:r>
          </w:p>
        </w:tc>
        <w:tc>
          <w:tcPr>
            <w:tcW w:w="1820" w:type="dxa"/>
            <w:vAlign w:val="bottom"/>
          </w:tcPr>
          <w:p>
            <w:pPr>
              <w:spacing w:after="0"/>
              <w:rPr>
                <w:sz w:val="19"/>
                <w:szCs w:val="19"/>
                <w:color w:val="auto"/>
              </w:rPr>
            </w:pPr>
          </w:p>
        </w:tc>
        <w:tc>
          <w:tcPr>
            <w:tcW w:w="4440" w:type="dxa"/>
            <w:vAlign w:val="bottom"/>
            <w:gridSpan w:val="4"/>
          </w:tcPr>
          <w:p>
            <w:pPr>
              <w:ind w:left="40"/>
              <w:spacing w:after="0"/>
              <w:rPr>
                <w:sz w:val="20"/>
                <w:szCs w:val="20"/>
                <w:color w:val="auto"/>
              </w:rPr>
            </w:pPr>
            <w:r>
              <w:rPr>
                <w:rFonts w:ascii="Arial" w:cs="Arial" w:eastAsia="Arial" w:hAnsi="Arial"/>
                <w:sz w:val="10"/>
                <w:szCs w:val="10"/>
                <w:color w:val="auto"/>
              </w:rPr>
              <w:t>Tel: +45 7020 2728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w w:val="97"/>
              </w:rPr>
              <w:t>Company Announcement no. 05</w:t>
            </w:r>
          </w:p>
        </w:tc>
      </w:tr>
      <w:tr>
        <w:trPr>
          <w:trHeight w:val="109"/>
        </w:trPr>
        <w:tc>
          <w:tcPr>
            <w:tcW w:w="12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w w:val="98"/>
              </w:rPr>
              <w:t>Page 62/158</w:t>
            </w:r>
          </w:p>
        </w:tc>
      </w:tr>
      <w:tr>
        <w:trPr>
          <w:trHeight w:val="105"/>
        </w:trPr>
        <w:tc>
          <w:tcPr>
            <w:tcW w:w="3100" w:type="dxa"/>
            <w:vAlign w:val="bottom"/>
            <w:gridSpan w:val="2"/>
          </w:tcPr>
          <w:p>
            <w:pPr>
              <w:spacing w:after="0" w:line="105" w:lineRule="exact"/>
              <w:rPr>
                <w:sz w:val="20"/>
                <w:szCs w:val="20"/>
                <w:color w:val="auto"/>
              </w:rPr>
            </w:pPr>
            <w:r>
              <w:rPr>
                <w:rFonts w:ascii="Arial" w:cs="Arial" w:eastAsia="Arial" w:hAnsi="Arial"/>
                <w:sz w:val="10"/>
                <w:szCs w:val="10"/>
                <w:color w:val="auto"/>
              </w:rPr>
              <w:t>1560 Copenhagen V, Denmark</w:t>
            </w:r>
          </w:p>
        </w:tc>
        <w:tc>
          <w:tcPr>
            <w:tcW w:w="4440" w:type="dxa"/>
            <w:vAlign w:val="bottom"/>
            <w:gridSpan w:val="4"/>
          </w:tcPr>
          <w:p>
            <w:pPr>
              <w:ind w:left="40"/>
              <w:spacing w:after="0" w:line="105" w:lineRule="exact"/>
              <w:rPr>
                <w:sz w:val="20"/>
                <w:szCs w:val="20"/>
                <w:color w:val="auto"/>
              </w:rPr>
            </w:pPr>
            <w:r>
              <w:rPr>
                <w:rFonts w:ascii="Arial" w:cs="Arial" w:eastAsia="Arial" w:hAnsi="Arial"/>
                <w:sz w:val="10"/>
                <w:szCs w:val="10"/>
                <w:color w:val="0000FF"/>
              </w:rPr>
              <w:t>www.genmab.com</w:t>
            </w:r>
          </w:p>
        </w:tc>
        <w:tc>
          <w:tcPr>
            <w:tcW w:w="14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1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5" w:name="page66"/>
    <w:bookmarkEnd w:id="6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1280" w:type="dxa"/>
            <w:vAlign w:val="bottom"/>
            <w:tcBorders>
              <w:left w:val="single" w:sz="8" w:color="029C93"/>
              <w:right w:val="single" w:sz="8" w:color="029C93"/>
            </w:tcBorders>
            <w:shd w:val="clear" w:color="auto" w:fill="029C93"/>
          </w:tcPr>
          <w:p>
            <w:pPr>
              <w:ind w:left="80"/>
              <w:spacing w:after="0"/>
              <w:rPr>
                <w:sz w:val="20"/>
                <w:szCs w:val="20"/>
                <w:color w:val="auto"/>
              </w:rPr>
            </w:pPr>
            <w:r>
              <w:rPr>
                <w:rFonts w:ascii="Arial" w:cs="Arial" w:eastAsia="Arial" w:hAnsi="Arial"/>
                <w:sz w:val="10"/>
                <w:szCs w:val="10"/>
                <w:b w:val="1"/>
                <w:bCs w:val="1"/>
                <w:color w:val="FFFFFF"/>
              </w:rPr>
              <w:t>Risk related to</w:t>
            </w:r>
          </w:p>
        </w:tc>
        <w:tc>
          <w:tcPr>
            <w:tcW w:w="2520" w:type="dxa"/>
            <w:vAlign w:val="bottom"/>
            <w:tcBorders>
              <w:right w:val="single" w:sz="8" w:color="029C93"/>
            </w:tcBorders>
            <w:shd w:val="clear" w:color="auto" w:fill="029C93"/>
          </w:tcPr>
          <w:p>
            <w:pPr>
              <w:ind w:left="40"/>
              <w:spacing w:after="0"/>
              <w:rPr>
                <w:sz w:val="20"/>
                <w:szCs w:val="20"/>
                <w:color w:val="auto"/>
              </w:rPr>
            </w:pPr>
            <w:r>
              <w:rPr>
                <w:rFonts w:ascii="Arial" w:cs="Arial" w:eastAsia="Arial" w:hAnsi="Arial"/>
                <w:sz w:val="10"/>
                <w:szCs w:val="10"/>
                <w:b w:val="1"/>
                <w:bCs w:val="1"/>
                <w:color w:val="FFFFFF"/>
              </w:rPr>
              <w:t>Risk areas</w:t>
            </w:r>
          </w:p>
        </w:tc>
        <w:tc>
          <w:tcPr>
            <w:tcW w:w="458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Mitigation</w:t>
            </w: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Risk</w:t>
            </w:r>
          </w:p>
        </w:tc>
      </w:tr>
      <w:tr>
        <w:trPr>
          <w:trHeight w:val="143"/>
        </w:trPr>
        <w:tc>
          <w:tcPr>
            <w:tcW w:w="1280" w:type="dxa"/>
            <w:vAlign w:val="bottom"/>
            <w:tcBorders>
              <w:left w:val="single" w:sz="8" w:color="029C93"/>
              <w:right w:val="single" w:sz="8" w:color="029C93"/>
            </w:tcBorders>
            <w:shd w:val="clear" w:color="auto" w:fill="029C93"/>
          </w:tcPr>
          <w:p>
            <w:pPr>
              <w:spacing w:after="0"/>
              <w:rPr>
                <w:sz w:val="12"/>
                <w:szCs w:val="12"/>
                <w:color w:val="auto"/>
              </w:rPr>
            </w:pPr>
          </w:p>
        </w:tc>
        <w:tc>
          <w:tcPr>
            <w:tcW w:w="2520" w:type="dxa"/>
            <w:vAlign w:val="bottom"/>
            <w:tcBorders>
              <w:right w:val="single" w:sz="8" w:color="029C93"/>
            </w:tcBorders>
            <w:shd w:val="clear" w:color="auto" w:fill="029C93"/>
          </w:tcPr>
          <w:p>
            <w:pPr>
              <w:spacing w:after="0"/>
              <w:rPr>
                <w:sz w:val="12"/>
                <w:szCs w:val="12"/>
                <w:color w:val="auto"/>
              </w:rPr>
            </w:pPr>
          </w:p>
        </w:tc>
        <w:tc>
          <w:tcPr>
            <w:tcW w:w="4580" w:type="dxa"/>
            <w:vAlign w:val="bottom"/>
            <w:tcBorders>
              <w:right w:val="single" w:sz="8" w:color="029C93"/>
            </w:tcBorders>
            <w:shd w:val="clear" w:color="auto" w:fill="029C93"/>
          </w:tcPr>
          <w:p>
            <w:pPr>
              <w:spacing w:after="0"/>
              <w:rPr>
                <w:sz w:val="12"/>
                <w:szCs w:val="12"/>
                <w:color w:val="auto"/>
              </w:rPr>
            </w:pPr>
          </w:p>
        </w:tc>
        <w:tc>
          <w:tcPr>
            <w:tcW w:w="600" w:type="dxa"/>
            <w:vAlign w:val="bottom"/>
            <w:tcBorders>
              <w:right w:val="single" w:sz="8" w:color="029C93"/>
            </w:tcBorders>
            <w:shd w:val="clear" w:color="auto" w:fill="029C93"/>
          </w:tcPr>
          <w:p>
            <w:pPr>
              <w:ind w:left="60"/>
              <w:spacing w:after="0"/>
              <w:rPr>
                <w:sz w:val="20"/>
                <w:szCs w:val="20"/>
                <w:color w:val="auto"/>
              </w:rPr>
            </w:pPr>
            <w:r>
              <w:rPr>
                <w:rFonts w:ascii="Arial" w:cs="Arial" w:eastAsia="Arial" w:hAnsi="Arial"/>
                <w:sz w:val="10"/>
                <w:szCs w:val="10"/>
                <w:b w:val="1"/>
                <w:bCs w:val="1"/>
                <w:color w:val="FFFFFF"/>
              </w:rPr>
              <w:t>trend</w:t>
            </w:r>
          </w:p>
        </w:tc>
      </w:tr>
      <w:tr>
        <w:trPr>
          <w:trHeight w:val="118"/>
        </w:trPr>
        <w:tc>
          <w:tcPr>
            <w:tcW w:w="1280" w:type="dxa"/>
            <w:vAlign w:val="bottom"/>
            <w:tcBorders>
              <w:left w:val="single" w:sz="8" w:color="029C93"/>
              <w:right w:val="single" w:sz="8" w:color="029C93"/>
            </w:tcBorders>
          </w:tcPr>
          <w:p>
            <w:pPr>
              <w:ind w:left="80"/>
              <w:spacing w:after="0"/>
              <w:rPr>
                <w:sz w:val="20"/>
                <w:szCs w:val="20"/>
                <w:color w:val="auto"/>
              </w:rPr>
            </w:pPr>
            <w:r>
              <w:rPr>
                <w:rFonts w:ascii="Arial" w:cs="Arial" w:eastAsia="Arial" w:hAnsi="Arial"/>
                <w:sz w:val="10"/>
                <w:szCs w:val="10"/>
                <w:b w:val="1"/>
                <w:bCs w:val="1"/>
                <w:color w:val="auto"/>
              </w:rPr>
              <w:t>Climate</w:t>
            </w:r>
          </w:p>
        </w:tc>
        <w:tc>
          <w:tcPr>
            <w:tcW w:w="2520" w:type="dxa"/>
            <w:vAlign w:val="bottom"/>
            <w:tcBorders>
              <w:right w:val="single" w:sz="8" w:color="029C93"/>
            </w:tcBorders>
          </w:tcPr>
          <w:p>
            <w:pPr>
              <w:ind w:left="40"/>
              <w:spacing w:after="0"/>
              <w:rPr>
                <w:sz w:val="20"/>
                <w:szCs w:val="20"/>
                <w:color w:val="auto"/>
              </w:rPr>
            </w:pPr>
            <w:r>
              <w:rPr>
                <w:rFonts w:ascii="Arial" w:cs="Arial" w:eastAsia="Arial" w:hAnsi="Arial"/>
                <w:sz w:val="10"/>
                <w:szCs w:val="10"/>
                <w:color w:val="auto"/>
              </w:rPr>
              <w:t>Genmab’s inability to manage the carbon footprint from</w:t>
            </w:r>
          </w:p>
        </w:tc>
        <w:tc>
          <w:tcPr>
            <w:tcW w:w="458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In 2022, we continued the assessment of our carbon footprint and the implementation of the TCFD</w:t>
            </w:r>
          </w:p>
        </w:tc>
        <w:tc>
          <w:tcPr>
            <w:tcW w:w="60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w:t>
            </w:r>
          </w:p>
        </w:tc>
      </w:tr>
      <w:tr>
        <w:trPr>
          <w:trHeight w:val="95"/>
        </w:trPr>
        <w:tc>
          <w:tcPr>
            <w:tcW w:w="1280" w:type="dxa"/>
            <w:vAlign w:val="bottom"/>
            <w:tcBorders>
              <w:left w:val="single" w:sz="8" w:color="029C93"/>
              <w:right w:val="single" w:sz="8" w:color="029C93"/>
            </w:tcBorders>
          </w:tcPr>
          <w:p>
            <w:pPr>
              <w:spacing w:after="0"/>
              <w:rPr>
                <w:sz w:val="8"/>
                <w:szCs w:val="8"/>
                <w:color w:val="auto"/>
              </w:rPr>
            </w:pPr>
          </w:p>
        </w:tc>
        <w:tc>
          <w:tcPr>
            <w:tcW w:w="2520" w:type="dxa"/>
            <w:vAlign w:val="bottom"/>
            <w:tcBorders>
              <w:right w:val="single" w:sz="8" w:color="029C93"/>
            </w:tcBorders>
          </w:tcPr>
          <w:p>
            <w:pPr>
              <w:ind w:left="40"/>
              <w:spacing w:after="0" w:line="95" w:lineRule="exact"/>
              <w:rPr>
                <w:sz w:val="20"/>
                <w:szCs w:val="20"/>
                <w:color w:val="auto"/>
              </w:rPr>
            </w:pPr>
            <w:r>
              <w:rPr>
                <w:rFonts w:ascii="Arial" w:cs="Arial" w:eastAsia="Arial" w:hAnsi="Arial"/>
                <w:sz w:val="10"/>
                <w:szCs w:val="10"/>
                <w:color w:val="auto"/>
              </w:rPr>
              <w:t>our business operations; climate-related events may</w:t>
            </w:r>
          </w:p>
        </w:tc>
        <w:tc>
          <w:tcPr>
            <w:tcW w:w="4580" w:type="dxa"/>
            <w:vAlign w:val="bottom"/>
            <w:tcBorders>
              <w:right w:val="single" w:sz="8" w:color="029C93"/>
            </w:tcBorders>
          </w:tcPr>
          <w:p>
            <w:pPr>
              <w:ind w:left="60"/>
              <w:spacing w:after="0" w:line="95" w:lineRule="exact"/>
              <w:rPr>
                <w:sz w:val="20"/>
                <w:szCs w:val="20"/>
                <w:color w:val="auto"/>
              </w:rPr>
            </w:pPr>
            <w:r>
              <w:rPr>
                <w:rFonts w:ascii="Arial" w:cs="Arial" w:eastAsia="Arial" w:hAnsi="Arial"/>
                <w:sz w:val="10"/>
                <w:szCs w:val="10"/>
                <w:color w:val="auto"/>
                <w:w w:val="99"/>
              </w:rPr>
              <w:t>recommendations. We calculated our Scope 1 and 2 emissions for 2022 in accordance with the global</w:t>
            </w:r>
          </w:p>
        </w:tc>
        <w:tc>
          <w:tcPr>
            <w:tcW w:w="600" w:type="dxa"/>
            <w:vAlign w:val="bottom"/>
            <w:tcBorders>
              <w:right w:val="single" w:sz="8" w:color="029C93"/>
            </w:tcBorders>
          </w:tcPr>
          <w:p>
            <w:pPr>
              <w:spacing w:after="0"/>
              <w:rPr>
                <w:sz w:val="8"/>
                <w:szCs w:val="8"/>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tcPr>
          <w:p>
            <w:pPr>
              <w:ind w:left="40"/>
              <w:spacing w:after="0" w:line="109" w:lineRule="exact"/>
              <w:rPr>
                <w:sz w:val="20"/>
                <w:szCs w:val="20"/>
                <w:color w:val="auto"/>
              </w:rPr>
            </w:pPr>
            <w:r>
              <w:rPr>
                <w:rFonts w:ascii="Arial" w:cs="Arial" w:eastAsia="Arial" w:hAnsi="Arial"/>
                <w:sz w:val="10"/>
                <w:szCs w:val="10"/>
                <w:color w:val="auto"/>
                <w:w w:val="99"/>
              </w:rPr>
              <w:t>impact our business operations or that of our third-party</w:t>
            </w:r>
          </w:p>
        </w:tc>
        <w:tc>
          <w:tcPr>
            <w:tcW w:w="4580" w:type="dxa"/>
            <w:vAlign w:val="bottom"/>
            <w:tcBorders>
              <w:right w:val="single" w:sz="8" w:color="029C93"/>
            </w:tcBorders>
          </w:tcPr>
          <w:p>
            <w:pPr>
              <w:ind w:left="60"/>
              <w:spacing w:after="0" w:line="109" w:lineRule="exact"/>
              <w:rPr>
                <w:sz w:val="20"/>
                <w:szCs w:val="20"/>
                <w:color w:val="auto"/>
              </w:rPr>
            </w:pPr>
            <w:r>
              <w:rPr>
                <w:rFonts w:ascii="Arial" w:cs="Arial" w:eastAsia="Arial" w:hAnsi="Arial"/>
                <w:sz w:val="10"/>
                <w:szCs w:val="10"/>
                <w:color w:val="auto"/>
                <w:w w:val="99"/>
              </w:rPr>
              <w:t>standard for carbon accounting, the GHG Protocol. In 2022 we also initiated the process of estimating</w:t>
            </w:r>
          </w:p>
        </w:tc>
        <w:tc>
          <w:tcPr>
            <w:tcW w:w="600" w:type="dxa"/>
            <w:vAlign w:val="bottom"/>
            <w:tcBorders>
              <w:right w:val="single" w:sz="8" w:color="029C93"/>
            </w:tcBorders>
          </w:tcPr>
          <w:p>
            <w:pPr>
              <w:spacing w:after="0"/>
              <w:rPr>
                <w:sz w:val="9"/>
                <w:szCs w:val="9"/>
                <w:color w:val="auto"/>
              </w:rPr>
            </w:pPr>
          </w:p>
        </w:tc>
      </w:tr>
      <w:tr>
        <w:trPr>
          <w:trHeight w:val="135"/>
        </w:trPr>
        <w:tc>
          <w:tcPr>
            <w:tcW w:w="1280" w:type="dxa"/>
            <w:vAlign w:val="bottom"/>
            <w:tcBorders>
              <w:left w:val="single" w:sz="8" w:color="029C93"/>
              <w:right w:val="single" w:sz="8" w:color="029C93"/>
            </w:tcBorders>
          </w:tcPr>
          <w:p>
            <w:pPr>
              <w:spacing w:after="0"/>
              <w:rPr>
                <w:sz w:val="11"/>
                <w:szCs w:val="11"/>
                <w:color w:val="auto"/>
              </w:rPr>
            </w:pPr>
          </w:p>
        </w:tc>
        <w:tc>
          <w:tcPr>
            <w:tcW w:w="2520" w:type="dxa"/>
            <w:vAlign w:val="bottom"/>
            <w:tcBorders>
              <w:right w:val="single" w:sz="8" w:color="029C93"/>
            </w:tcBorders>
          </w:tcPr>
          <w:p>
            <w:pPr>
              <w:ind w:left="40"/>
              <w:spacing w:after="0"/>
              <w:rPr>
                <w:sz w:val="20"/>
                <w:szCs w:val="20"/>
                <w:color w:val="auto"/>
              </w:rPr>
            </w:pPr>
            <w:r>
              <w:rPr>
                <w:rFonts w:ascii="Arial" w:cs="Arial" w:eastAsia="Arial" w:hAnsi="Arial"/>
                <w:sz w:val="10"/>
                <w:szCs w:val="10"/>
                <w:color w:val="auto"/>
              </w:rPr>
              <w:t>partners or suppliers.</w:t>
            </w:r>
          </w:p>
        </w:tc>
        <w:tc>
          <w:tcPr>
            <w:tcW w:w="458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rPr>
              <w:t>our Scope 3 footprint in accordance with the GHG Protocol.</w:t>
            </w:r>
          </w:p>
        </w:tc>
        <w:tc>
          <w:tcPr>
            <w:tcW w:w="600" w:type="dxa"/>
            <w:vAlign w:val="bottom"/>
            <w:tcBorders>
              <w:right w:val="single" w:sz="8" w:color="029C93"/>
            </w:tcBorders>
          </w:tcPr>
          <w:p>
            <w:pPr>
              <w:spacing w:after="0"/>
              <w:rPr>
                <w:sz w:val="11"/>
                <w:szCs w:val="11"/>
                <w:color w:val="auto"/>
              </w:rPr>
            </w:pPr>
          </w:p>
        </w:tc>
      </w:tr>
      <w:tr>
        <w:trPr>
          <w:trHeight w:val="228"/>
        </w:trPr>
        <w:tc>
          <w:tcPr>
            <w:tcW w:w="1280" w:type="dxa"/>
            <w:vAlign w:val="bottom"/>
            <w:tcBorders>
              <w:left w:val="single" w:sz="8" w:color="029C93"/>
              <w:right w:val="single" w:sz="8" w:color="029C93"/>
            </w:tcBorders>
          </w:tcPr>
          <w:p>
            <w:pPr>
              <w:spacing w:after="0"/>
              <w:rPr>
                <w:sz w:val="19"/>
                <w:szCs w:val="19"/>
                <w:color w:val="auto"/>
              </w:rPr>
            </w:pPr>
          </w:p>
        </w:tc>
        <w:tc>
          <w:tcPr>
            <w:tcW w:w="2520" w:type="dxa"/>
            <w:vAlign w:val="bottom"/>
            <w:tcBorders>
              <w:right w:val="single" w:sz="8" w:color="029C93"/>
            </w:tcBorders>
          </w:tcPr>
          <w:p>
            <w:pPr>
              <w:spacing w:after="0"/>
              <w:rPr>
                <w:sz w:val="19"/>
                <w:szCs w:val="19"/>
                <w:color w:val="auto"/>
              </w:rPr>
            </w:pPr>
          </w:p>
        </w:tc>
        <w:tc>
          <w:tcPr>
            <w:tcW w:w="4580" w:type="dxa"/>
            <w:vAlign w:val="bottom"/>
            <w:tcBorders>
              <w:right w:val="single" w:sz="8" w:color="029C93"/>
            </w:tcBorders>
          </w:tcPr>
          <w:p>
            <w:pPr>
              <w:ind w:left="60"/>
              <w:spacing w:after="0"/>
              <w:rPr>
                <w:sz w:val="20"/>
                <w:szCs w:val="20"/>
                <w:color w:val="auto"/>
              </w:rPr>
            </w:pPr>
            <w:r>
              <w:rPr>
                <w:rFonts w:ascii="Arial" w:cs="Arial" w:eastAsia="Arial" w:hAnsi="Arial"/>
                <w:sz w:val="10"/>
                <w:szCs w:val="10"/>
                <w:color w:val="auto"/>
                <w:w w:val="97"/>
              </w:rPr>
              <w:t>Genmab makes use of scenario analysis to evaluate our risks and opportunities due to the rapid pace of</w:t>
            </w:r>
          </w:p>
        </w:tc>
        <w:tc>
          <w:tcPr>
            <w:tcW w:w="600" w:type="dxa"/>
            <w:vAlign w:val="bottom"/>
            <w:tcBorders>
              <w:right w:val="single" w:sz="8" w:color="029C93"/>
            </w:tcBorders>
          </w:tcPr>
          <w:p>
            <w:pPr>
              <w:spacing w:after="0"/>
              <w:rPr>
                <w:sz w:val="19"/>
                <w:szCs w:val="1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tcPr>
          <w:p>
            <w:pPr>
              <w:ind w:left="60"/>
              <w:spacing w:after="0" w:line="109" w:lineRule="exact"/>
              <w:rPr>
                <w:sz w:val="20"/>
                <w:szCs w:val="20"/>
                <w:color w:val="auto"/>
              </w:rPr>
            </w:pPr>
            <w:r>
              <w:rPr>
                <w:rFonts w:ascii="Arial" w:cs="Arial" w:eastAsia="Arial" w:hAnsi="Arial"/>
                <w:sz w:val="10"/>
                <w:szCs w:val="10"/>
                <w:color w:val="auto"/>
              </w:rPr>
              <w:t>world climate change. Genmab’s work with climate strategy, carbon reduction targets, climate-related</w:t>
            </w:r>
          </w:p>
        </w:tc>
        <w:tc>
          <w:tcPr>
            <w:tcW w:w="600" w:type="dxa"/>
            <w:vAlign w:val="bottom"/>
            <w:tcBorders>
              <w:right w:val="single" w:sz="8" w:color="029C93"/>
            </w:tcBorders>
          </w:tcPr>
          <w:p>
            <w:pPr>
              <w:spacing w:after="0"/>
              <w:rPr>
                <w:sz w:val="9"/>
                <w:szCs w:val="9"/>
                <w:color w:val="auto"/>
              </w:rPr>
            </w:pPr>
          </w:p>
        </w:tc>
      </w:tr>
      <w:tr>
        <w:trPr>
          <w:trHeight w:val="109"/>
        </w:trPr>
        <w:tc>
          <w:tcPr>
            <w:tcW w:w="1280" w:type="dxa"/>
            <w:vAlign w:val="bottom"/>
            <w:tcBorders>
              <w:left w:val="single" w:sz="8" w:color="029C93"/>
              <w:right w:val="single" w:sz="8" w:color="029C93"/>
            </w:tcBorders>
          </w:tcPr>
          <w:p>
            <w:pPr>
              <w:spacing w:after="0"/>
              <w:rPr>
                <w:sz w:val="9"/>
                <w:szCs w:val="9"/>
                <w:color w:val="auto"/>
              </w:rPr>
            </w:pPr>
          </w:p>
        </w:tc>
        <w:tc>
          <w:tcPr>
            <w:tcW w:w="2520" w:type="dxa"/>
            <w:vAlign w:val="bottom"/>
            <w:tcBorders>
              <w:right w:val="single" w:sz="8" w:color="029C93"/>
            </w:tcBorders>
          </w:tcPr>
          <w:p>
            <w:pPr>
              <w:spacing w:after="0"/>
              <w:rPr>
                <w:sz w:val="9"/>
                <w:szCs w:val="9"/>
                <w:color w:val="auto"/>
              </w:rPr>
            </w:pPr>
          </w:p>
        </w:tc>
        <w:tc>
          <w:tcPr>
            <w:tcW w:w="4580" w:type="dxa"/>
            <w:vAlign w:val="bottom"/>
            <w:tcBorders>
              <w:right w:val="single" w:sz="8" w:color="029C93"/>
            </w:tcBorders>
          </w:tcPr>
          <w:p>
            <w:pPr>
              <w:ind w:left="60"/>
              <w:spacing w:after="0" w:line="109" w:lineRule="exact"/>
              <w:rPr>
                <w:sz w:val="20"/>
                <w:szCs w:val="20"/>
                <w:color w:val="auto"/>
              </w:rPr>
            </w:pPr>
            <w:r>
              <w:rPr>
                <w:rFonts w:ascii="Arial" w:cs="Arial" w:eastAsia="Arial" w:hAnsi="Arial"/>
                <w:sz w:val="10"/>
                <w:szCs w:val="10"/>
                <w:color w:val="auto"/>
              </w:rPr>
              <w:t>financial risk, relevant prevention and mitigation measures will be presented to the Board of Directors</w:t>
            </w:r>
          </w:p>
        </w:tc>
        <w:tc>
          <w:tcPr>
            <w:tcW w:w="600" w:type="dxa"/>
            <w:vAlign w:val="bottom"/>
            <w:tcBorders>
              <w:right w:val="single" w:sz="8" w:color="029C93"/>
            </w:tcBorders>
          </w:tcPr>
          <w:p>
            <w:pPr>
              <w:spacing w:after="0"/>
              <w:rPr>
                <w:sz w:val="9"/>
                <w:szCs w:val="9"/>
                <w:color w:val="auto"/>
              </w:rPr>
            </w:pPr>
          </w:p>
        </w:tc>
      </w:tr>
      <w:tr>
        <w:trPr>
          <w:trHeight w:val="123"/>
        </w:trPr>
        <w:tc>
          <w:tcPr>
            <w:tcW w:w="1280" w:type="dxa"/>
            <w:vAlign w:val="bottom"/>
            <w:tcBorders>
              <w:left w:val="single" w:sz="8" w:color="029C93"/>
              <w:bottom w:val="single" w:sz="8" w:color="029C93"/>
              <w:right w:val="single" w:sz="8" w:color="029C93"/>
            </w:tcBorders>
          </w:tcPr>
          <w:p>
            <w:pPr>
              <w:spacing w:after="0"/>
              <w:rPr>
                <w:sz w:val="10"/>
                <w:szCs w:val="10"/>
                <w:color w:val="auto"/>
              </w:rPr>
            </w:pPr>
          </w:p>
        </w:tc>
        <w:tc>
          <w:tcPr>
            <w:tcW w:w="2520" w:type="dxa"/>
            <w:vAlign w:val="bottom"/>
            <w:tcBorders>
              <w:bottom w:val="single" w:sz="8" w:color="029C93"/>
              <w:right w:val="single" w:sz="8" w:color="029C93"/>
            </w:tcBorders>
          </w:tcPr>
          <w:p>
            <w:pPr>
              <w:spacing w:after="0"/>
              <w:rPr>
                <w:sz w:val="10"/>
                <w:szCs w:val="10"/>
                <w:color w:val="auto"/>
              </w:rPr>
            </w:pPr>
          </w:p>
        </w:tc>
        <w:tc>
          <w:tcPr>
            <w:tcW w:w="4580" w:type="dxa"/>
            <w:vAlign w:val="bottom"/>
            <w:tcBorders>
              <w:bottom w:val="single" w:sz="8" w:color="029C93"/>
              <w:right w:val="single" w:sz="8" w:color="029C93"/>
            </w:tcBorders>
          </w:tcPr>
          <w:p>
            <w:pPr>
              <w:ind w:left="60"/>
              <w:spacing w:after="0"/>
              <w:rPr>
                <w:sz w:val="20"/>
                <w:szCs w:val="20"/>
                <w:color w:val="auto"/>
              </w:rPr>
            </w:pPr>
            <w:r>
              <w:rPr>
                <w:rFonts w:ascii="Arial" w:cs="Arial" w:eastAsia="Arial" w:hAnsi="Arial"/>
                <w:sz w:val="10"/>
                <w:szCs w:val="10"/>
                <w:color w:val="auto"/>
              </w:rPr>
              <w:t>biannually.</w:t>
            </w:r>
          </w:p>
        </w:tc>
        <w:tc>
          <w:tcPr>
            <w:tcW w:w="600" w:type="dxa"/>
            <w:vAlign w:val="bottom"/>
            <w:tcBorders>
              <w:bottom w:val="single" w:sz="8" w:color="029C93"/>
              <w:right w:val="single" w:sz="8" w:color="029C93"/>
            </w:tcBorders>
          </w:tcPr>
          <w:p>
            <w:pPr>
              <w:spacing w:after="0"/>
              <w:rPr>
                <w:sz w:val="10"/>
                <w:szCs w:val="10"/>
                <w:color w:val="auto"/>
              </w:rPr>
            </w:pPr>
          </w:p>
        </w:tc>
      </w:tr>
      <w:tr>
        <w:trPr>
          <w:trHeight w:val="354"/>
        </w:trPr>
        <w:tc>
          <w:tcPr>
            <w:tcW w:w="3800" w:type="dxa"/>
            <w:vAlign w:val="bottom"/>
            <w:gridSpan w:val="2"/>
          </w:tcPr>
          <w:p>
            <w:pPr>
              <w:spacing w:after="0"/>
              <w:rPr>
                <w:sz w:val="20"/>
                <w:szCs w:val="20"/>
                <w:color w:val="auto"/>
              </w:rPr>
            </w:pPr>
            <w:r>
              <w:rPr>
                <w:rFonts w:ascii="Arial" w:cs="Arial" w:eastAsia="Arial" w:hAnsi="Arial"/>
                <w:sz w:val="10"/>
                <w:szCs w:val="10"/>
                <w:color w:val="auto"/>
              </w:rPr>
              <w:t>Risk Level in Relation to Last Year: = Unchanged  &lt; Decreased  &gt; Increased</w:t>
            </w:r>
          </w:p>
        </w:tc>
        <w:tc>
          <w:tcPr>
            <w:tcW w:w="45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Enterprise Risk Management</w:t>
      </w:r>
    </w:p>
    <w:p>
      <w:pPr>
        <w:spacing w:after="0" w:line="132" w:lineRule="exact"/>
        <w:rPr>
          <w:sz w:val="20"/>
          <w:szCs w:val="20"/>
          <w:color w:val="auto"/>
        </w:rPr>
      </w:pPr>
    </w:p>
    <w:p>
      <w:pPr>
        <w:ind w:left="20" w:right="39"/>
        <w:spacing w:after="0" w:line="245" w:lineRule="auto"/>
        <w:rPr>
          <w:sz w:val="20"/>
          <w:szCs w:val="20"/>
          <w:color w:val="auto"/>
        </w:rPr>
      </w:pPr>
      <w:r>
        <w:rPr>
          <w:rFonts w:ascii="Arial" w:cs="Arial" w:eastAsia="Arial" w:hAnsi="Arial"/>
          <w:sz w:val="12"/>
          <w:szCs w:val="12"/>
          <w:color w:val="auto"/>
        </w:rPr>
        <w:t>As an international biotech company dedicated to improving the lives of cancer patients around the world, Genmab operates within a heavily regulated environment that exposes us to an ever-evolving set of risks, some of which are beyond our control. We maintain facilities in four countries, conduct activities in additional areas, and perform an array of essential innovation, research, development, commercialization and support functions, all of which pose risks to our operations and success. Specifically, these operations and activities expose us to risks that include but may not be limited to financial, research and development, regulatory, IT/data/technology, staffing, compliance, legal, and also environmental risks.</w:t>
      </w:r>
    </w:p>
    <w:p>
      <w:pPr>
        <w:spacing w:after="0" w:line="121" w:lineRule="exact"/>
        <w:rPr>
          <w:sz w:val="20"/>
          <w:szCs w:val="20"/>
          <w:color w:val="auto"/>
        </w:rPr>
      </w:pPr>
    </w:p>
    <w:p>
      <w:pPr>
        <w:ind w:left="20" w:right="139"/>
        <w:spacing w:after="0" w:line="245" w:lineRule="auto"/>
        <w:rPr>
          <w:sz w:val="20"/>
          <w:szCs w:val="20"/>
          <w:color w:val="auto"/>
        </w:rPr>
      </w:pPr>
      <w:r>
        <w:rPr>
          <w:rFonts w:ascii="Arial" w:cs="Arial" w:eastAsia="Arial" w:hAnsi="Arial"/>
          <w:sz w:val="12"/>
          <w:szCs w:val="12"/>
          <w:color w:val="auto"/>
        </w:rPr>
        <w:t>In order to assure that we are positioned to effectively identify and mitigate the potential impacts of these risks, Genmab has dedicated significant resources toward enabling a more robust ERM framework under the Global Compliance &amp; Risk function that reports directly to the CEO. In concert with a refreshed Code of Conduct, company policies and procedures, Genmab has chartered a Global Compliance and Risk Governance Committee (GCRC) co-chaired by the CEO and the head of Compliance &amp; Risk. Genmab has also updated our risk model and framework to include significantly enhanced risk oversight, mitigation, governance and reporting, all of which we believe positions us to better manage the risks associated with our business, now and into the future.</w:t>
      </w:r>
    </w:p>
    <w:p>
      <w:pPr>
        <w:spacing w:after="0" w:line="121" w:lineRule="exact"/>
        <w:rPr>
          <w:sz w:val="20"/>
          <w:szCs w:val="20"/>
          <w:color w:val="auto"/>
        </w:rPr>
      </w:pPr>
    </w:p>
    <w:p>
      <w:pPr>
        <w:ind w:left="480" w:right="459" w:hanging="222"/>
        <w:spacing w:after="0" w:line="272" w:lineRule="auto"/>
        <w:tabs>
          <w:tab w:leader="none" w:pos="480" w:val="left"/>
        </w:tabs>
        <w:numPr>
          <w:ilvl w:val="0"/>
          <w:numId w:val="70"/>
        </w:numPr>
        <w:rPr>
          <w:rFonts w:ascii="Times New Roman" w:cs="Times New Roman" w:eastAsia="Times New Roman" w:hAnsi="Times New Roman"/>
          <w:sz w:val="12"/>
          <w:szCs w:val="12"/>
          <w:color w:val="auto"/>
        </w:rPr>
      </w:pPr>
      <w:r>
        <w:rPr>
          <w:rFonts w:ascii="Arial" w:cs="Arial" w:eastAsia="Arial" w:hAnsi="Arial"/>
          <w:sz w:val="12"/>
          <w:szCs w:val="12"/>
          <w:color w:val="auto"/>
        </w:rPr>
        <w:t>Board of Directors and Audit and Finance Committee: Board of Directors delegates ERM/Risk oversight to the Audit and Finance Committee but retains visibility of ERM progress. The Audit and Finance Committee is accountable to ensure management appropriately manages the risks to the business.</w:t>
      </w:r>
    </w:p>
    <w:p>
      <w:pPr>
        <w:spacing w:after="0" w:line="103" w:lineRule="exact"/>
        <w:rPr>
          <w:rFonts w:ascii="Times New Roman" w:cs="Times New Roman" w:eastAsia="Times New Roman" w:hAnsi="Times New Roman"/>
          <w:sz w:val="12"/>
          <w:szCs w:val="12"/>
          <w:color w:val="auto"/>
        </w:rPr>
      </w:pPr>
    </w:p>
    <w:p>
      <w:pPr>
        <w:ind w:left="480" w:right="439" w:hanging="222"/>
        <w:spacing w:after="0" w:line="272" w:lineRule="auto"/>
        <w:tabs>
          <w:tab w:leader="none" w:pos="480" w:val="left"/>
        </w:tabs>
        <w:numPr>
          <w:ilvl w:val="0"/>
          <w:numId w:val="70"/>
        </w:numPr>
        <w:rPr>
          <w:rFonts w:ascii="Times New Roman" w:cs="Times New Roman" w:eastAsia="Times New Roman" w:hAnsi="Times New Roman"/>
          <w:sz w:val="12"/>
          <w:szCs w:val="12"/>
          <w:color w:val="auto"/>
        </w:rPr>
      </w:pPr>
      <w:r>
        <w:rPr>
          <w:rFonts w:ascii="Arial" w:cs="Arial" w:eastAsia="Arial" w:hAnsi="Arial"/>
          <w:sz w:val="12"/>
          <w:szCs w:val="12"/>
          <w:color w:val="auto"/>
        </w:rPr>
        <w:t>Executive Management: Maintains ultimate ownership of and accountability for management of top risks, enabling proper linkage of risk management to strategic initiatives and business decisions.</w:t>
      </w:r>
    </w:p>
    <w:p>
      <w:pPr>
        <w:spacing w:after="0" w:line="103"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70"/>
        </w:numPr>
        <w:rPr>
          <w:rFonts w:ascii="Times New Roman" w:cs="Times New Roman" w:eastAsia="Times New Roman" w:hAnsi="Times New Roman"/>
          <w:sz w:val="12"/>
          <w:szCs w:val="12"/>
          <w:color w:val="auto"/>
        </w:rPr>
      </w:pPr>
      <w:r>
        <w:rPr>
          <w:rFonts w:ascii="Arial" w:cs="Arial" w:eastAsia="Arial" w:hAnsi="Arial"/>
          <w:sz w:val="12"/>
          <w:szCs w:val="12"/>
          <w:color w:val="auto"/>
        </w:rPr>
        <w:t>GCRC: Validation of risk identification, prioritization, strategic and tactical ownership of risk mitigation plans and reporting.</w:t>
      </w:r>
    </w:p>
    <w:p>
      <w:pPr>
        <w:spacing w:after="0" w:line="151" w:lineRule="exact"/>
        <w:rPr>
          <w:rFonts w:ascii="Times New Roman" w:cs="Times New Roman" w:eastAsia="Times New Roman" w:hAnsi="Times New Roman"/>
          <w:sz w:val="12"/>
          <w:szCs w:val="12"/>
          <w:color w:val="auto"/>
        </w:rPr>
      </w:pPr>
    </w:p>
    <w:p>
      <w:pPr>
        <w:ind w:left="480" w:right="219" w:hanging="222"/>
        <w:spacing w:after="0" w:line="254" w:lineRule="auto"/>
        <w:tabs>
          <w:tab w:leader="none" w:pos="480" w:val="left"/>
        </w:tabs>
        <w:numPr>
          <w:ilvl w:val="0"/>
          <w:numId w:val="70"/>
        </w:numPr>
        <w:rPr>
          <w:rFonts w:ascii="Times New Roman" w:cs="Times New Roman" w:eastAsia="Times New Roman" w:hAnsi="Times New Roman"/>
          <w:sz w:val="12"/>
          <w:szCs w:val="12"/>
          <w:color w:val="auto"/>
        </w:rPr>
      </w:pPr>
      <w:r>
        <w:rPr>
          <w:rFonts w:ascii="Arial" w:cs="Arial" w:eastAsia="Arial" w:hAnsi="Arial"/>
          <w:sz w:val="12"/>
          <w:szCs w:val="12"/>
          <w:color w:val="auto"/>
        </w:rPr>
        <w:t>ERM Framework: Routinely gathers risks, evaluates with risk sponsors, prioritizes and reports to the GCRC, Executive Management and Board of Directors, driving deep risk discussions, and supporting risk sponsors and management in facilitating robust enterprise risk management processes, risk-intelligent decision-making and key risk capabilities.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0" w:right="219" w:hanging="222"/>
        <w:spacing w:after="0" w:line="198" w:lineRule="auto"/>
        <w:tabs>
          <w:tab w:leader="none" w:pos="480" w:val="left"/>
        </w:tabs>
        <w:numPr>
          <w:ilvl w:val="0"/>
          <w:numId w:val="71"/>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Risk Sponsors and Business Champions: Manage risks in normal course of business, executing risk plans/mitigation activities, and monitoring and reporting key risk information.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Governance</w:t>
      </w:r>
    </w:p>
    <w:p>
      <w:pPr>
        <w:spacing w:after="0" w:line="151" w:lineRule="exact"/>
        <w:rPr>
          <w:sz w:val="20"/>
          <w:szCs w:val="20"/>
          <w:color w:val="auto"/>
        </w:rPr>
      </w:pPr>
    </w:p>
    <w:p>
      <w:pPr>
        <w:ind w:left="20" w:right="39"/>
        <w:spacing w:after="0" w:line="243" w:lineRule="auto"/>
        <w:rPr>
          <w:sz w:val="20"/>
          <w:szCs w:val="20"/>
          <w:color w:val="auto"/>
        </w:rPr>
      </w:pPr>
      <w:r>
        <w:rPr>
          <w:rFonts w:ascii="Arial" w:cs="Arial" w:eastAsia="Arial" w:hAnsi="Arial"/>
          <w:sz w:val="12"/>
          <w:szCs w:val="12"/>
          <w:color w:val="auto"/>
        </w:rPr>
        <w:t>Genmab works diligently to improve its guidelines and policies for corporate governance, taking into account the recent trends in international and domestic requirements and recommendations. Genmab’s commitment to corporate governance is based on ethics and integrity and forms the basis of its effort to strengthen the confidence that existing and future shareholders, partners, employees and other stakeholders have in Genmab. The role of shareholders and their interaction with Genmab is important. Genmab believes that open and transparent communication is necessary to maintain the confidence of Genmab’s shareholders and achieves this through company announcements, investor meetings and company presentations. Genmab is committed to providing reliable and transparent information about its business, financial results, development programs and scientific results in a clear and timely manner.</w:t>
      </w:r>
    </w:p>
    <w:p>
      <w:pPr>
        <w:spacing w:after="0" w:line="123" w:lineRule="exact"/>
        <w:rPr>
          <w:sz w:val="20"/>
          <w:szCs w:val="20"/>
          <w:color w:val="auto"/>
        </w:rPr>
      </w:pPr>
    </w:p>
    <w:p>
      <w:pPr>
        <w:ind w:left="20" w:right="519"/>
        <w:spacing w:after="0" w:line="273" w:lineRule="auto"/>
        <w:rPr>
          <w:sz w:val="20"/>
          <w:szCs w:val="20"/>
          <w:color w:val="auto"/>
        </w:rPr>
      </w:pPr>
      <w:r>
        <w:rPr>
          <w:rFonts w:ascii="Arial" w:cs="Arial" w:eastAsia="Arial" w:hAnsi="Arial"/>
          <w:sz w:val="12"/>
          <w:szCs w:val="12"/>
          <w:color w:val="auto"/>
        </w:rPr>
        <w:t>All Danish companies listed on the Nasdaq Copenhagen are required to disclose in their annual reports how they address the Recommendations for Corporate Governance issued by the Committee on Corporate Governance in December 2020 (the “Recommendations”), applying the “comply-or-explain” principle.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follows the Recommendations, except for one specific sub-area where Genmab’s corporate governance principles differ from the Recommendations:</w:t>
      </w:r>
    </w:p>
    <w:p>
      <w:pPr>
        <w:spacing w:after="0" w:line="143" w:lineRule="exact"/>
        <w:rPr>
          <w:sz w:val="20"/>
          <w:szCs w:val="20"/>
          <w:color w:val="auto"/>
        </w:rPr>
      </w:pPr>
    </w:p>
    <w:p>
      <w:pPr>
        <w:ind w:left="480" w:right="119" w:hanging="222"/>
        <w:spacing w:after="0" w:line="243" w:lineRule="auto"/>
        <w:tabs>
          <w:tab w:leader="none" w:pos="480" w:val="left"/>
        </w:tabs>
        <w:numPr>
          <w:ilvl w:val="0"/>
          <w:numId w:val="72"/>
        </w:numPr>
        <w:rPr>
          <w:rFonts w:ascii="Times New Roman" w:cs="Times New Roman" w:eastAsia="Times New Roman" w:hAnsi="Times New Roman"/>
          <w:sz w:val="12"/>
          <w:szCs w:val="12"/>
          <w:color w:val="auto"/>
        </w:rPr>
      </w:pPr>
      <w:r>
        <w:rPr>
          <w:rFonts w:ascii="Arial" w:cs="Arial" w:eastAsia="Arial" w:hAnsi="Arial"/>
          <w:sz w:val="12"/>
          <w:szCs w:val="12"/>
          <w:color w:val="auto"/>
        </w:rPr>
        <w:t>The Recommendations provide that according to a company’s takeover contingency procedures, the board of directors abstains from countering any takeover bids by taking actions that seek to prevent the shareholders from deciding on the takeover bid, without the approval of the general meeting. Genmab does not have such a restriction in its takeover contingency procedures and retains the right in certain circumstances to reject takeover bids without consulting the shareholders. Genmab believes this provides the Board of Directors with the needed flexibility to best respond to takeover bids and to negotiate with bidders; retaining this flexibility helps the Board of Directors meet its objectives in protecting and creating value in the interest of the shareholders. Actions will be determined on a case-by-case basis with due consideration to the interests of the shareholders and other stakeholders.</w:t>
      </w:r>
    </w:p>
    <w:p>
      <w:pPr>
        <w:spacing w:after="0" w:line="113" w:lineRule="exact"/>
        <w:rPr>
          <w:sz w:val="20"/>
          <w:szCs w:val="20"/>
          <w:color w:val="auto"/>
        </w:rPr>
      </w:pPr>
    </w:p>
    <w:p>
      <w:pPr>
        <w:ind w:left="20" w:right="39"/>
        <w:spacing w:after="0" w:line="249" w:lineRule="auto"/>
        <w:rPr>
          <w:sz w:val="20"/>
          <w:szCs w:val="20"/>
          <w:color w:val="auto"/>
        </w:rPr>
      </w:pPr>
      <w:r>
        <w:rPr>
          <w:rFonts w:ascii="Arial" w:cs="Arial" w:eastAsia="Arial" w:hAnsi="Arial"/>
          <w:sz w:val="12"/>
          <w:szCs w:val="12"/>
          <w:color w:val="auto"/>
        </w:rPr>
        <w:t xml:space="preserve">Genmab publishes its statutory report on Corporate Governance for the financial year 2022 cf. Article 107b of the Danish Financial Statements Act (“Lovpligtig redegørelse for virksomhedsledelse jf. årsregnskabslovens § 107 b”) on the Company’s website, including a detailed description of the Board of Directors’ consideration in respect of all the Recommendations. The statutory report on Corporate Governance can be found on Genmab’s website </w:t>
      </w:r>
      <w:r>
        <w:rPr>
          <w:rFonts w:ascii="Arial" w:cs="Arial" w:eastAsia="Arial" w:hAnsi="Arial"/>
          <w:sz w:val="12"/>
          <w:szCs w:val="12"/>
          <w:color w:val="029C93"/>
        </w:rPr>
        <w:t>https://ir.genmab.com/corporate-governance</w:t>
      </w:r>
      <w:r>
        <w:rPr>
          <w:rFonts w:ascii="Arial" w:cs="Arial" w:eastAsia="Arial" w:hAnsi="Arial"/>
          <w:sz w:val="12"/>
          <w:szCs w:val="12"/>
          <w:color w:val="000000"/>
        </w:rPr>
        <w: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THE BOARD OF DIRECTORS</w:t>
      </w:r>
    </w:p>
    <w:p>
      <w:pPr>
        <w:spacing w:after="0" w:line="10" w:lineRule="exact"/>
        <w:rPr>
          <w:sz w:val="20"/>
          <w:szCs w:val="20"/>
          <w:color w:val="auto"/>
        </w:rPr>
      </w:pPr>
    </w:p>
    <w:p>
      <w:pPr>
        <w:ind w:left="20" w:right="199"/>
        <w:spacing w:after="0" w:line="244" w:lineRule="auto"/>
        <w:rPr>
          <w:sz w:val="20"/>
          <w:szCs w:val="20"/>
          <w:color w:val="auto"/>
        </w:rPr>
      </w:pPr>
      <w:r>
        <w:rPr>
          <w:rFonts w:ascii="Arial" w:cs="Arial" w:eastAsia="Arial" w:hAnsi="Arial"/>
          <w:sz w:val="12"/>
          <w:szCs w:val="12"/>
          <w:color w:val="auto"/>
        </w:rPr>
        <w:t>The Board of Directors plays an active role within Genmab in setting the strategies and goals for Genmab and monitoring its operations and results. Board duties include establishing policies for strategy, accounting, organization and finance and the appointment of Executive Management members. The Board of Directors also assesses Genmab’s capital and share structure and is responsible for approving share issues and the grant of warrants and RSUs.</w:t>
      </w:r>
    </w:p>
    <w:p>
      <w:pPr>
        <w:spacing w:after="0" w:line="120" w:lineRule="exact"/>
        <w:rPr>
          <w:sz w:val="20"/>
          <w:szCs w:val="20"/>
          <w:color w:val="auto"/>
        </w:rPr>
      </w:pPr>
    </w:p>
    <w:p>
      <w:pPr>
        <w:ind w:left="20" w:right="139"/>
        <w:spacing w:after="0" w:line="255" w:lineRule="auto"/>
        <w:rPr>
          <w:sz w:val="20"/>
          <w:szCs w:val="20"/>
          <w:color w:val="auto"/>
        </w:rPr>
      </w:pPr>
      <w:r>
        <w:rPr>
          <w:rFonts w:ascii="Arial" w:cs="Arial" w:eastAsia="Arial" w:hAnsi="Arial"/>
          <w:sz w:val="12"/>
          <w:szCs w:val="12"/>
          <w:color w:val="auto"/>
        </w:rPr>
        <w:t>The Board of Directors has established an annual process whereby the Board of Directors’ performance is assessed through self-evaluation to verify that the Board of Directors is capable of fulfilling its function and responsibilities. When performing these evaluations external assistance is obtained every year. The outcome of the Board of Directors’ 2022 self-assessment was positive with only minor areas for improvement identified.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7" w:name="page68"/>
    <w:bookmarkEnd w:id="6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BOARD COMMITTEES</w:t>
      </w:r>
    </w:p>
    <w:p>
      <w:pPr>
        <w:spacing w:after="0" w:line="10" w:lineRule="exact"/>
        <w:rPr>
          <w:sz w:val="20"/>
          <w:szCs w:val="20"/>
          <w:color w:val="auto"/>
        </w:rPr>
      </w:pPr>
    </w:p>
    <w:p>
      <w:pPr>
        <w:ind w:left="20" w:right="179"/>
        <w:spacing w:after="0" w:line="241" w:lineRule="auto"/>
        <w:rPr>
          <w:sz w:val="20"/>
          <w:szCs w:val="20"/>
          <w:color w:val="auto"/>
        </w:rPr>
      </w:pPr>
      <w:r>
        <w:rPr>
          <w:rFonts w:ascii="Arial" w:cs="Arial" w:eastAsia="Arial" w:hAnsi="Arial"/>
          <w:sz w:val="12"/>
          <w:szCs w:val="12"/>
          <w:color w:val="auto"/>
        </w:rPr>
        <w:t xml:space="preserve">To support the Board of Directors in its duties, the Board of Directors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of Directors’ meetings. Written charters specifying the tasks and responsibilities for each of the committees are available on Genmab’s website </w:t>
      </w:r>
      <w:r>
        <w:rPr>
          <w:rFonts w:ascii="Arial" w:cs="Arial" w:eastAsia="Arial" w:hAnsi="Arial"/>
          <w:sz w:val="12"/>
          <w:szCs w:val="12"/>
          <w:color w:val="029C93"/>
        </w:rPr>
        <w:t>www.genmab.com</w:t>
      </w:r>
      <w:r>
        <w:rPr>
          <w:rFonts w:ascii="Arial" w:cs="Arial" w:eastAsia="Arial" w:hAnsi="Arial"/>
          <w:sz w:val="12"/>
          <w:szCs w:val="12"/>
          <w:color w:val="auto"/>
        </w:rPr>
        <w:t>.</w:t>
      </w:r>
    </w:p>
    <w:p>
      <w:pPr>
        <w:spacing w:after="0" w:line="123" w:lineRule="exact"/>
        <w:rPr>
          <w:sz w:val="20"/>
          <w:szCs w:val="20"/>
          <w:color w:val="auto"/>
        </w:rPr>
      </w:pPr>
    </w:p>
    <w:p>
      <w:pPr>
        <w:ind w:left="20" w:right="599"/>
        <w:spacing w:after="0" w:line="273" w:lineRule="auto"/>
        <w:rPr>
          <w:sz w:val="20"/>
          <w:szCs w:val="20"/>
          <w:color w:val="auto"/>
        </w:rPr>
      </w:pPr>
      <w:r>
        <w:rPr>
          <w:rFonts w:ascii="Arial" w:cs="Arial" w:eastAsia="Arial" w:hAnsi="Arial"/>
          <w:sz w:val="12"/>
          <w:szCs w:val="12"/>
          <w:color w:val="029C93"/>
        </w:rPr>
        <w:t>For more details on the work, composition and evaluation of the Board of Directors and its committees, reference is made to the statutory report on Corporate Governance.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REMUNERATION POLICY</w:t>
      </w:r>
    </w:p>
    <w:p>
      <w:pPr>
        <w:spacing w:after="0" w:line="10" w:lineRule="exact"/>
        <w:rPr>
          <w:sz w:val="20"/>
          <w:szCs w:val="20"/>
          <w:color w:val="auto"/>
        </w:rPr>
      </w:pPr>
    </w:p>
    <w:p>
      <w:pPr>
        <w:ind w:left="20" w:right="39"/>
        <w:spacing w:after="0" w:line="244" w:lineRule="auto"/>
        <w:rPr>
          <w:sz w:val="20"/>
          <w:szCs w:val="20"/>
          <w:color w:val="auto"/>
        </w:rPr>
      </w:pPr>
      <w:r>
        <w:rPr>
          <w:rFonts w:ascii="Arial" w:cs="Arial" w:eastAsia="Arial" w:hAnsi="Arial"/>
          <w:sz w:val="12"/>
          <w:szCs w:val="12"/>
          <w:color w:val="auto"/>
        </w:rPr>
        <w:t>A Remuneration Policy applying to the compensation of members of the Board of Directors and the registered Executive Management of Genmab A/S has been prepared in accordance with Sections 139 and 139a of the Danish Companies Act and was most recently considered and adopted by the 2021 Annual General Meeting pursuant to the Danish Companies Act (in Danish “Selskabsloven”).</w:t>
      </w:r>
    </w:p>
    <w:p>
      <w:pPr>
        <w:spacing w:after="0" w:line="120" w:lineRule="exact"/>
        <w:rPr>
          <w:sz w:val="20"/>
          <w:szCs w:val="20"/>
          <w:color w:val="auto"/>
        </w:rPr>
      </w:pPr>
    </w:p>
    <w:p>
      <w:pPr>
        <w:ind w:left="20" w:right="159"/>
        <w:spacing w:after="0" w:line="248" w:lineRule="auto"/>
        <w:rPr>
          <w:sz w:val="20"/>
          <w:szCs w:val="20"/>
          <w:color w:val="auto"/>
        </w:rPr>
      </w:pPr>
      <w:r>
        <w:rPr>
          <w:rFonts w:ascii="Arial" w:cs="Arial" w:eastAsia="Arial" w:hAnsi="Arial"/>
          <w:sz w:val="12"/>
          <w:szCs w:val="12"/>
          <w:color w:val="auto"/>
        </w:rPr>
        <w:t xml:space="preserve">The Remuneration Policy contains an exhaustive description of the remuneration components for members of the Board of Directors and the registered Executive Management and includes the reasons for choosing the individual components of the remuneration and a description of the criteria on which the balance between the individual components of the remuneration is based. The latest version, which was adopted by the General Meeting in 2021, can be downloaded from Genmab’s website </w:t>
      </w:r>
      <w:r>
        <w:rPr>
          <w:rFonts w:ascii="Arial" w:cs="Arial" w:eastAsia="Arial" w:hAnsi="Arial"/>
          <w:sz w:val="12"/>
          <w:szCs w:val="12"/>
          <w:color w:val="029C93"/>
        </w:rPr>
        <w:t>https://ir.genmab.com/governance/compensation#content</w:t>
      </w:r>
      <w:r>
        <w:rPr>
          <w:rFonts w:ascii="Arial" w:cs="Arial" w:eastAsia="Arial" w:hAnsi="Arial"/>
          <w:sz w:val="12"/>
          <w:szCs w:val="12"/>
          <w:color w:val="auto"/>
        </w:rPr>
        <w: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COMPENSATION REPORT</w:t>
      </w:r>
    </w:p>
    <w:p>
      <w:pPr>
        <w:spacing w:after="0" w:line="10" w:lineRule="exact"/>
        <w:rPr>
          <w:sz w:val="20"/>
          <w:szCs w:val="20"/>
          <w:color w:val="auto"/>
        </w:rPr>
      </w:pPr>
    </w:p>
    <w:p>
      <w:pPr>
        <w:ind w:left="20" w:right="59"/>
        <w:spacing w:after="0"/>
        <w:rPr>
          <w:sz w:val="20"/>
          <w:szCs w:val="20"/>
          <w:color w:val="auto"/>
        </w:rPr>
      </w:pPr>
      <w:r>
        <w:rPr>
          <w:rFonts w:ascii="Arial" w:cs="Arial" w:eastAsia="Arial" w:hAnsi="Arial"/>
          <w:sz w:val="12"/>
          <w:szCs w:val="12"/>
          <w:color w:val="auto"/>
        </w:rPr>
        <w:t xml:space="preserve">In accordance with the Recommendations, Genmab has prepared a compensation report for the financial year 2022 that includes information on the total remuneration received by each member of the Board of Directors and the registered Executive Management from Genmab A/S and other Group companies for the last three years, including information on the most important content of retention and resignation arrangements and the correlation between the remuneration and company strategy and relevant related goals (the “Compensation Report”). The Compensation Report can be found on Genmab’s website </w:t>
      </w:r>
      <w:r>
        <w:rPr>
          <w:rFonts w:ascii="Arial" w:cs="Arial" w:eastAsia="Arial" w:hAnsi="Arial"/>
          <w:sz w:val="12"/>
          <w:szCs w:val="12"/>
          <w:color w:val="029C93"/>
        </w:rPr>
        <w:t>https://ir.genmab.com/governance/compensation#content</w:t>
      </w:r>
      <w:r>
        <w:rPr>
          <w:rFonts w:ascii="Arial" w:cs="Arial" w:eastAsia="Arial" w:hAnsi="Arial"/>
          <w:sz w:val="12"/>
          <w:szCs w:val="12"/>
          <w:color w:val="000000"/>
        </w:rPr>
        <w: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CHANGE OF CONTROL</w:t>
      </w:r>
    </w:p>
    <w:p>
      <w:pPr>
        <w:spacing w:after="0" w:line="10" w:lineRule="exact"/>
        <w:rPr>
          <w:sz w:val="20"/>
          <w:szCs w:val="20"/>
          <w:color w:val="auto"/>
        </w:rPr>
      </w:pPr>
    </w:p>
    <w:p>
      <w:pPr>
        <w:ind w:left="20" w:right="179"/>
        <w:spacing w:after="0" w:line="244" w:lineRule="auto"/>
        <w:rPr>
          <w:sz w:val="20"/>
          <w:szCs w:val="20"/>
          <w:color w:val="auto"/>
        </w:rPr>
      </w:pPr>
      <w:r>
        <w:rPr>
          <w:rFonts w:ascii="Arial" w:cs="Arial" w:eastAsia="Arial" w:hAnsi="Arial"/>
          <w:sz w:val="12"/>
          <w:szCs w:val="12"/>
          <w:color w:val="auto"/>
        </w:rPr>
        <w:t>The Danish Financial Statements Act (Section 107a) contains rules relating to listed companies with respect to certain disclosures that may be of interest to the stock market and potential takeover bidders, in particular in relation to disclosure of change of control provisions. In the event of a change of control, change of control clauses are included in some of our collaboration, development and license agreements as well as in service agreements for certain employees.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Collaboration, Development and License Agreements</w:t>
      </w:r>
    </w:p>
    <w:p>
      <w:pPr>
        <w:spacing w:after="0" w:line="10" w:lineRule="exact"/>
        <w:rPr>
          <w:sz w:val="20"/>
          <w:szCs w:val="20"/>
          <w:color w:val="auto"/>
        </w:rPr>
      </w:pPr>
    </w:p>
    <w:p>
      <w:pPr>
        <w:ind w:left="20" w:right="219"/>
        <w:spacing w:after="0" w:line="244" w:lineRule="auto"/>
        <w:rPr>
          <w:sz w:val="20"/>
          <w:szCs w:val="20"/>
          <w:color w:val="auto"/>
        </w:rPr>
      </w:pPr>
      <w:r>
        <w:rPr>
          <w:rFonts w:ascii="Arial" w:cs="Arial" w:eastAsia="Arial" w:hAnsi="Arial"/>
          <w:sz w:val="12"/>
          <w:szCs w:val="12"/>
          <w:color w:val="auto"/>
        </w:rPr>
        <w:t>Genmab has entered into collaboration, development and license agreements with external parties, which may be subject to renegotiation in the case of a change of control event as specified in the individual agreements. However, any changes in the agreements are not expected to have significant influence on our financial position.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Service Agreements with Executive Management and Employees</w:t>
      </w:r>
    </w:p>
    <w:p>
      <w:pPr>
        <w:spacing w:after="0" w:line="10" w:lineRule="exact"/>
        <w:rPr>
          <w:sz w:val="20"/>
          <w:szCs w:val="20"/>
          <w:color w:val="auto"/>
        </w:rPr>
      </w:pPr>
    </w:p>
    <w:p>
      <w:pPr>
        <w:ind w:left="20" w:right="99"/>
        <w:spacing w:after="0" w:line="244" w:lineRule="auto"/>
        <w:rPr>
          <w:sz w:val="20"/>
          <w:szCs w:val="20"/>
          <w:color w:val="auto"/>
        </w:rPr>
      </w:pPr>
      <w:r>
        <w:rPr>
          <w:rFonts w:ascii="Arial" w:cs="Arial" w:eastAsia="Arial" w:hAnsi="Arial"/>
          <w:sz w:val="12"/>
          <w:szCs w:val="12"/>
          <w:color w:val="auto"/>
        </w:rPr>
        <w:t>The service agreements with each registered member of the Executive Management may be terminated by Genmab with no less than 12 months’ notice and by the registered member of the Executive Management with no less than six months’ notice. In the event of a change of control of Genmab, the termination notice due to the registered member of the Executive Management is extended to 24 months. In the event of</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8" w:name="page69"/>
    <w:bookmarkEnd w:id="6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termination by Genmab (unless for cause) or by a registered member of Executive Management as a result of a change of control of Genmab, Genmab is obliged to pay a registered member of Executive Management a compensation equal to his/her existing total salary (including benefits) for up to two years in addition to the notice period.</w:t>
      </w:r>
    </w:p>
    <w:p>
      <w:pPr>
        <w:spacing w:after="0" w:line="104" w:lineRule="exact"/>
        <w:rPr>
          <w:sz w:val="20"/>
          <w:szCs w:val="20"/>
          <w:color w:val="auto"/>
        </w:rPr>
      </w:pPr>
    </w:p>
    <w:p>
      <w:pPr>
        <w:ind w:left="20" w:right="99"/>
        <w:spacing w:after="0" w:line="245" w:lineRule="auto"/>
        <w:rPr>
          <w:sz w:val="20"/>
          <w:szCs w:val="20"/>
          <w:color w:val="auto"/>
        </w:rPr>
      </w:pPr>
      <w:r>
        <w:rPr>
          <w:rFonts w:ascii="Arial" w:cs="Arial" w:eastAsia="Arial" w:hAnsi="Arial"/>
          <w:sz w:val="12"/>
          <w:szCs w:val="12"/>
          <w:color w:val="auto"/>
        </w:rPr>
        <w:t>In addition, Genmab has entered into service agreements with a limited number of employees according to which Genmab may become obliged to compensate the employees in connection with a change of control of Genmab. If Genmab, as a result of a change of control, terminates the service agreement without cause or changes the working conditions to the detriment of the employee, the employee shall be entitled to terminate the employment relationship without further cause with one month’s notice in which case Genmab shall pay the employee a compensation equal to one-half, one or two times the employee’s existing annual salary (including benefits).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Change of control clauses related to our warrant and RSU programs are outlined in Note 4.6.</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SHARE CAPITAL</w:t>
      </w:r>
    </w:p>
    <w:p>
      <w:pPr>
        <w:spacing w:after="0" w:line="10" w:lineRule="exact"/>
        <w:rPr>
          <w:sz w:val="20"/>
          <w:szCs w:val="20"/>
          <w:color w:val="auto"/>
        </w:rPr>
      </w:pPr>
    </w:p>
    <w:p>
      <w:pPr>
        <w:ind w:left="20" w:right="259"/>
        <w:spacing w:after="0" w:line="244" w:lineRule="auto"/>
        <w:rPr>
          <w:sz w:val="20"/>
          <w:szCs w:val="20"/>
          <w:color w:val="auto"/>
        </w:rPr>
      </w:pPr>
      <w:r>
        <w:rPr>
          <w:rFonts w:ascii="Arial" w:cs="Arial" w:eastAsia="Arial" w:hAnsi="Arial"/>
          <w:sz w:val="12"/>
          <w:szCs w:val="12"/>
          <w:color w:val="029C93"/>
        </w:rPr>
        <w:t xml:space="preserve">Information on share capital is included in Note 4.7. </w:t>
      </w:r>
      <w:r>
        <w:rPr>
          <w:rFonts w:ascii="Arial" w:cs="Arial" w:eastAsia="Arial" w:hAnsi="Arial"/>
          <w:sz w:val="12"/>
          <w:szCs w:val="12"/>
          <w:color w:val="000000"/>
        </w:rPr>
        <w:t>Unless otherwise provided in the Danish Companies Act, the adoption of any resolution to amend Genmab A/S’</w:t>
      </w:r>
      <w:r>
        <w:rPr>
          <w:rFonts w:ascii="Arial" w:cs="Arial" w:eastAsia="Arial" w:hAnsi="Arial"/>
          <w:sz w:val="12"/>
          <w:szCs w:val="12"/>
          <w:color w:val="029C93"/>
        </w:rPr>
        <w:t xml:space="preserve"> </w:t>
      </w:r>
      <w:r>
        <w:rPr>
          <w:rFonts w:ascii="Arial" w:cs="Arial" w:eastAsia="Arial" w:hAnsi="Arial"/>
          <w:sz w:val="12"/>
          <w:szCs w:val="12"/>
          <w:color w:val="000000"/>
        </w:rPr>
        <w:t xml:space="preserve">articles of association shall be subject to the affirmative vote of not less than two thirds of the votes cast, as well as of the voting share capital represented at the general meeting. Genmab A/S’ entire articles of association can be found on our website </w:t>
      </w:r>
      <w:r>
        <w:rPr>
          <w:rFonts w:ascii="Arial" w:cs="Arial" w:eastAsia="Arial" w:hAnsi="Arial"/>
          <w:sz w:val="12"/>
          <w:szCs w:val="12"/>
          <w:color w:val="029C93"/>
        </w:rPr>
        <w:t>www.genmab.com</w:t>
      </w:r>
      <w:r>
        <w:rPr>
          <w:rFonts w:ascii="Arial" w:cs="Arial" w:eastAsia="Arial" w:hAnsi="Arial"/>
          <w:sz w:val="12"/>
          <w:szCs w:val="12"/>
          <w:color w:val="000000"/>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Board of Directors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Deirdre P. Connelly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Hispanic/American, 62, Female</w:t>
      </w:r>
    </w:p>
    <w:p>
      <w:pPr>
        <w:ind w:left="20" w:right="99"/>
        <w:spacing w:after="0" w:line="236" w:lineRule="auto"/>
        <w:rPr>
          <w:sz w:val="20"/>
          <w:szCs w:val="20"/>
          <w:color w:val="auto"/>
        </w:rPr>
      </w:pPr>
      <w:r>
        <w:rPr>
          <w:rFonts w:ascii="Arial" w:cs="Arial" w:eastAsia="Arial" w:hAnsi="Arial"/>
          <w:sz w:val="12"/>
          <w:szCs w:val="12"/>
          <w:color w:val="auto"/>
        </w:rPr>
        <w:t>Board Chair (Independent, elected by the General Meeting); Chair of the Nominating and Corporate Governance Committee, Member of the Compensation Committee and the Audit and Finance Committee</w:t>
      </w:r>
    </w:p>
    <w:p>
      <w:pPr>
        <w:ind w:left="20"/>
        <w:spacing w:after="0" w:line="237" w:lineRule="auto"/>
        <w:rPr>
          <w:sz w:val="20"/>
          <w:szCs w:val="20"/>
          <w:color w:val="auto"/>
        </w:rPr>
      </w:pPr>
      <w:r>
        <w:rPr>
          <w:rFonts w:ascii="Arial" w:cs="Arial" w:eastAsia="Arial" w:hAnsi="Arial"/>
          <w:sz w:val="12"/>
          <w:szCs w:val="12"/>
          <w:color w:val="auto"/>
        </w:rPr>
        <w:t>First elected 2017, current term expires 2023</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199"/>
        <w:spacing w:after="0" w:line="236" w:lineRule="auto"/>
        <w:rPr>
          <w:sz w:val="20"/>
          <w:szCs w:val="20"/>
          <w:color w:val="auto"/>
        </w:rPr>
      </w:pPr>
      <w:r>
        <w:rPr>
          <w:rFonts w:ascii="Arial" w:cs="Arial" w:eastAsia="Arial" w:hAnsi="Arial"/>
          <w:sz w:val="12"/>
          <w:szCs w:val="12"/>
          <w:color w:val="auto"/>
        </w:rPr>
        <w:t>More than 30 years’ experience as a corporate leader and extensive experience in corporate governance as a board member. Comprehensive experience with business turnaround, corporate culture transformation, product launch and talent development. Successfully directed the launch of more than 20 new pharmaceutical drugs. Former President, North America Pharmaceuticals for GlaxoSmithKline.</w:t>
      </w:r>
    </w:p>
    <w:p>
      <w:pPr>
        <w:ind w:left="20"/>
        <w:spacing w:after="0" w:line="222" w:lineRule="auto"/>
        <w:rPr>
          <w:sz w:val="20"/>
          <w:szCs w:val="20"/>
          <w:color w:val="auto"/>
        </w:rPr>
      </w:pPr>
      <w:r>
        <w:rPr>
          <w:rFonts w:ascii="Arial" w:cs="Arial" w:eastAsia="Arial" w:hAnsi="Arial"/>
          <w:sz w:val="12"/>
          <w:szCs w:val="12"/>
          <w:b w:val="1"/>
          <w:bCs w:val="1"/>
          <w:color w:val="auto"/>
        </w:rPr>
        <w:t>Current Board Positions</w:t>
      </w:r>
    </w:p>
    <w:p>
      <w:pPr>
        <w:ind w:left="20"/>
        <w:spacing w:after="0"/>
        <w:rPr>
          <w:sz w:val="20"/>
          <w:szCs w:val="20"/>
          <w:color w:val="auto"/>
        </w:rPr>
      </w:pPr>
      <w:r>
        <w:rPr>
          <w:rFonts w:ascii="Arial" w:cs="Arial" w:eastAsia="Arial" w:hAnsi="Arial"/>
          <w:sz w:val="12"/>
          <w:szCs w:val="12"/>
          <w:color w:val="auto"/>
        </w:rPr>
        <w:t>Member: Lincoln Financial Corporation</w:t>
      </w:r>
      <w:r>
        <w:rPr>
          <w:rFonts w:ascii="Arial" w:cs="Arial" w:eastAsia="Arial" w:hAnsi="Arial"/>
          <w:sz w:val="18"/>
          <w:szCs w:val="18"/>
          <w:color w:val="auto"/>
          <w:vertAlign w:val="superscript"/>
        </w:rPr>
        <w:t>1</w:t>
      </w:r>
      <w:r>
        <w:rPr>
          <w:rFonts w:ascii="Arial" w:cs="Arial" w:eastAsia="Arial" w:hAnsi="Arial"/>
          <w:sz w:val="12"/>
          <w:szCs w:val="12"/>
          <w:color w:val="auto"/>
        </w:rPr>
        <w:t>, Macy’s Inc.</w:t>
      </w:r>
      <w:r>
        <w:rPr>
          <w:rFonts w:ascii="Arial" w:cs="Arial" w:eastAsia="Arial" w:hAnsi="Arial"/>
          <w:sz w:val="18"/>
          <w:szCs w:val="18"/>
          <w:color w:val="auto"/>
          <w:vertAlign w:val="superscript"/>
        </w:rPr>
        <w:t>2</w:t>
      </w:r>
    </w:p>
    <w:p>
      <w:pPr>
        <w:spacing w:after="0" w:line="62" w:lineRule="exact"/>
        <w:rPr>
          <w:sz w:val="20"/>
          <w:szCs w:val="20"/>
          <w:color w:val="auto"/>
        </w:rPr>
      </w:pPr>
    </w:p>
    <w:p>
      <w:pPr>
        <w:ind w:left="160" w:hanging="138"/>
        <w:spacing w:after="0"/>
        <w:tabs>
          <w:tab w:leader="none" w:pos="1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Chair of Corporate Governance Committee, Member of Audit Committee</w:t>
      </w:r>
    </w:p>
    <w:p>
      <w:pPr>
        <w:spacing w:after="0" w:line="9" w:lineRule="exact"/>
        <w:rPr>
          <w:rFonts w:ascii="Arial" w:cs="Arial" w:eastAsia="Arial" w:hAnsi="Arial"/>
          <w:sz w:val="12"/>
          <w:szCs w:val="12"/>
          <w:color w:val="auto"/>
        </w:rPr>
      </w:pPr>
    </w:p>
    <w:p>
      <w:pPr>
        <w:ind w:left="160" w:hanging="138"/>
        <w:spacing w:after="0"/>
        <w:tabs>
          <w:tab w:leader="none" w:pos="1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Chair of Nominating and Governance Committee, Member of Compensation and Management Development Committee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Pernille Erenbjerg</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Danish, 55, Female</w:t>
      </w:r>
    </w:p>
    <w:p>
      <w:pPr>
        <w:ind w:left="20" w:right="459"/>
        <w:spacing w:after="0" w:line="236" w:lineRule="auto"/>
        <w:rPr>
          <w:sz w:val="20"/>
          <w:szCs w:val="20"/>
          <w:color w:val="auto"/>
        </w:rPr>
      </w:pPr>
      <w:r>
        <w:rPr>
          <w:rFonts w:ascii="Arial" w:cs="Arial" w:eastAsia="Arial" w:hAnsi="Arial"/>
          <w:sz w:val="12"/>
          <w:szCs w:val="12"/>
          <w:color w:val="auto"/>
        </w:rPr>
        <w:t>Deputy Chair (Independent, elected by the General Meeting); Chair of the Audit and Finance Committee, Member of the Nominating and Corporate Governance Committee</w:t>
      </w:r>
    </w:p>
    <w:p>
      <w:pPr>
        <w:ind w:left="20"/>
        <w:spacing w:after="0" w:line="237" w:lineRule="auto"/>
        <w:rPr>
          <w:sz w:val="20"/>
          <w:szCs w:val="20"/>
          <w:color w:val="auto"/>
        </w:rPr>
      </w:pPr>
      <w:r>
        <w:rPr>
          <w:rFonts w:ascii="Arial" w:cs="Arial" w:eastAsia="Arial" w:hAnsi="Arial"/>
          <w:sz w:val="12"/>
          <w:szCs w:val="12"/>
          <w:color w:val="auto"/>
        </w:rPr>
        <w:t>First elected 2015, current term expires 2023</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279"/>
        <w:spacing w:after="0" w:line="241" w:lineRule="auto"/>
        <w:rPr>
          <w:sz w:val="20"/>
          <w:szCs w:val="20"/>
          <w:color w:val="auto"/>
        </w:rPr>
      </w:pPr>
      <w:r>
        <w:rPr>
          <w:rFonts w:ascii="Arial" w:cs="Arial" w:eastAsia="Arial" w:hAnsi="Arial"/>
          <w:sz w:val="12"/>
          <w:szCs w:val="12"/>
          <w:color w:val="auto"/>
        </w:rPr>
        <w:t>Senior executive management and broad business experience from the telecoms, media and tech industries. Extensive experience with operation and strategic transformation of large and complex companies, including digital transformations and digitally based innovation. ESG experience from executive and non-executive positions. Comprehensive all-around background within finance, including extensive exposure to public and private equity and debt investors. Certified Public Accountant background (no longer practicing). Responsible</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9" w:name="page70"/>
    <w:bookmarkEnd w:id="6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59"/>
        <w:spacing w:after="0" w:line="246" w:lineRule="auto"/>
        <w:rPr>
          <w:sz w:val="20"/>
          <w:szCs w:val="20"/>
          <w:color w:val="auto"/>
        </w:rPr>
      </w:pPr>
      <w:r>
        <w:rPr>
          <w:rFonts w:ascii="Arial" w:cs="Arial" w:eastAsia="Arial" w:hAnsi="Arial"/>
          <w:sz w:val="12"/>
          <w:szCs w:val="12"/>
          <w:color w:val="auto"/>
        </w:rPr>
        <w:t>for major transformation processes in complex organizations including M&amp;A. Former CEO and President of TDC Group A/S. Due to her experience and background within accounting, Pernille Erenbjerg qualifies as an audit committee financial expert.</w:t>
      </w:r>
    </w:p>
    <w:p>
      <w:pPr>
        <w:ind w:left="20"/>
        <w:spacing w:after="0"/>
        <w:rPr>
          <w:sz w:val="20"/>
          <w:szCs w:val="20"/>
          <w:color w:val="auto"/>
        </w:rPr>
      </w:pPr>
      <w:r>
        <w:rPr>
          <w:rFonts w:ascii="Arial" w:cs="Arial" w:eastAsia="Arial" w:hAnsi="Arial"/>
          <w:sz w:val="12"/>
          <w:szCs w:val="12"/>
          <w:b w:val="1"/>
          <w:bCs w:val="1"/>
          <w:color w:val="auto"/>
        </w:rPr>
        <w:t>Current Board Positions</w:t>
      </w:r>
    </w:p>
    <w:p>
      <w:pPr>
        <w:ind w:left="20"/>
        <w:spacing w:after="0" w:line="220" w:lineRule="auto"/>
        <w:rPr>
          <w:sz w:val="20"/>
          <w:szCs w:val="20"/>
          <w:color w:val="auto"/>
        </w:rPr>
      </w:pPr>
      <w:r>
        <w:rPr>
          <w:rFonts w:ascii="Arial" w:cs="Arial" w:eastAsia="Arial" w:hAnsi="Arial"/>
          <w:sz w:val="12"/>
          <w:szCs w:val="12"/>
          <w:color w:val="auto"/>
        </w:rPr>
        <w:t>Chair: Nordic Entertainment Group (NENT)</w:t>
      </w:r>
    </w:p>
    <w:p>
      <w:pPr>
        <w:ind w:left="20"/>
        <w:spacing w:after="0" w:line="189" w:lineRule="auto"/>
        <w:rPr>
          <w:sz w:val="20"/>
          <w:szCs w:val="20"/>
          <w:color w:val="auto"/>
        </w:rPr>
      </w:pPr>
      <w:r>
        <w:rPr>
          <w:rFonts w:ascii="Arial" w:cs="Arial" w:eastAsia="Arial" w:hAnsi="Arial"/>
          <w:sz w:val="10"/>
          <w:szCs w:val="10"/>
          <w:color w:val="auto"/>
        </w:rPr>
        <w:t>Deputy Chair: Millicom</w:t>
      </w:r>
      <w:r>
        <w:rPr>
          <w:rFonts w:ascii="Arial" w:cs="Arial" w:eastAsia="Arial" w:hAnsi="Arial"/>
          <w:sz w:val="15"/>
          <w:szCs w:val="15"/>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Member: RTL Group</w:t>
      </w:r>
      <w:r>
        <w:rPr>
          <w:rFonts w:ascii="Arial" w:cs="Arial" w:eastAsia="Arial" w:hAnsi="Arial"/>
          <w:sz w:val="18"/>
          <w:szCs w:val="18"/>
          <w:color w:val="auto"/>
          <w:vertAlign w:val="superscript"/>
        </w:rPr>
        <w:t>2</w:t>
      </w:r>
      <w:r>
        <w:rPr>
          <w:rFonts w:ascii="Arial" w:cs="Arial" w:eastAsia="Arial" w:hAnsi="Arial"/>
          <w:sz w:val="12"/>
          <w:szCs w:val="12"/>
          <w:color w:val="auto"/>
        </w:rPr>
        <w:t>, GlobalConnect</w:t>
      </w:r>
    </w:p>
    <w:p>
      <w:pPr>
        <w:spacing w:after="0" w:line="62" w:lineRule="exact"/>
        <w:rPr>
          <w:sz w:val="20"/>
          <w:szCs w:val="20"/>
          <w:color w:val="auto"/>
        </w:rPr>
      </w:pPr>
    </w:p>
    <w:p>
      <w:pPr>
        <w:ind w:left="160" w:hanging="138"/>
        <w:spacing w:after="0"/>
        <w:tabs>
          <w:tab w:leader="none" w:pos="1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Chair of Compensation Committee</w:t>
      </w:r>
    </w:p>
    <w:p>
      <w:pPr>
        <w:spacing w:after="0" w:line="9" w:lineRule="exact"/>
        <w:rPr>
          <w:rFonts w:ascii="Arial" w:cs="Arial" w:eastAsia="Arial" w:hAnsi="Arial"/>
          <w:sz w:val="12"/>
          <w:szCs w:val="12"/>
          <w:color w:val="auto"/>
        </w:rPr>
      </w:pPr>
    </w:p>
    <w:p>
      <w:pPr>
        <w:ind w:left="160" w:hanging="138"/>
        <w:spacing w:after="0"/>
        <w:tabs>
          <w:tab w:leader="none" w:pos="1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Chair of Audit Committee</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Anders Gersel Pedersen, M.D., Ph.D.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Danish, 71, Male</w:t>
      </w:r>
    </w:p>
    <w:p>
      <w:pPr>
        <w:ind w:left="20"/>
        <w:spacing w:after="0" w:line="236" w:lineRule="auto"/>
        <w:rPr>
          <w:sz w:val="20"/>
          <w:szCs w:val="20"/>
          <w:color w:val="auto"/>
        </w:rPr>
      </w:pPr>
      <w:r>
        <w:rPr>
          <w:rFonts w:ascii="Arial" w:cs="Arial" w:eastAsia="Arial" w:hAnsi="Arial"/>
          <w:sz w:val="12"/>
          <w:szCs w:val="12"/>
          <w:color w:val="auto"/>
        </w:rPr>
        <w:t>Board Member (Non-independent, elected by the General Meeting); Chair of the Compensation Committee, Member of the Nominating and Corporate Governance</w:t>
      </w:r>
    </w:p>
    <w:p>
      <w:pPr>
        <w:ind w:left="20"/>
        <w:spacing w:after="0" w:line="236" w:lineRule="auto"/>
        <w:rPr>
          <w:sz w:val="20"/>
          <w:szCs w:val="20"/>
          <w:color w:val="auto"/>
        </w:rPr>
      </w:pPr>
      <w:r>
        <w:rPr>
          <w:rFonts w:ascii="Arial" w:cs="Arial" w:eastAsia="Arial" w:hAnsi="Arial"/>
          <w:sz w:val="12"/>
          <w:szCs w:val="12"/>
          <w:color w:val="auto"/>
        </w:rPr>
        <w:t>Committee and the Scientific Committee</w:t>
      </w:r>
    </w:p>
    <w:p>
      <w:pPr>
        <w:ind w:left="20"/>
        <w:spacing w:after="0" w:line="237" w:lineRule="auto"/>
        <w:rPr>
          <w:sz w:val="20"/>
          <w:szCs w:val="20"/>
          <w:color w:val="auto"/>
        </w:rPr>
      </w:pPr>
      <w:r>
        <w:rPr>
          <w:rFonts w:ascii="Arial" w:cs="Arial" w:eastAsia="Arial" w:hAnsi="Arial"/>
          <w:sz w:val="12"/>
          <w:szCs w:val="12"/>
          <w:color w:val="auto"/>
        </w:rPr>
        <w:t>First elected 2003, current term expires 2023</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299"/>
        <w:spacing w:after="0" w:line="236" w:lineRule="auto"/>
        <w:rPr>
          <w:sz w:val="20"/>
          <w:szCs w:val="20"/>
          <w:color w:val="auto"/>
        </w:rPr>
      </w:pPr>
      <w:r>
        <w:rPr>
          <w:rFonts w:ascii="Arial" w:cs="Arial" w:eastAsia="Arial" w:hAnsi="Arial"/>
          <w:sz w:val="12"/>
          <w:szCs w:val="12"/>
          <w:color w:val="auto"/>
        </w:rPr>
        <w:t>Business and management experience in the pharmaceutical industry, including expertise in clinical research, development, regulatory affairs and product life cycle management. Former Executive Vice President of Research &amp; Development of H. Lundbeck A/S.</w:t>
      </w:r>
    </w:p>
    <w:p>
      <w:pPr>
        <w:ind w:left="20"/>
        <w:spacing w:after="0" w:line="237" w:lineRule="auto"/>
        <w:rPr>
          <w:sz w:val="20"/>
          <w:szCs w:val="20"/>
          <w:color w:val="auto"/>
        </w:rPr>
      </w:pPr>
      <w:r>
        <w:rPr>
          <w:rFonts w:ascii="Arial" w:cs="Arial" w:eastAsia="Arial" w:hAnsi="Arial"/>
          <w:sz w:val="12"/>
          <w:szCs w:val="12"/>
          <w:b w:val="1"/>
          <w:bCs w:val="1"/>
          <w:color w:val="auto"/>
        </w:rPr>
        <w:t>Current Board Positions</w:t>
      </w:r>
    </w:p>
    <w:p>
      <w:pPr>
        <w:ind w:left="20"/>
        <w:spacing w:after="0" w:line="221" w:lineRule="auto"/>
        <w:rPr>
          <w:sz w:val="20"/>
          <w:szCs w:val="20"/>
          <w:color w:val="auto"/>
        </w:rPr>
      </w:pPr>
      <w:r>
        <w:rPr>
          <w:rFonts w:ascii="Arial" w:cs="Arial" w:eastAsia="Arial" w:hAnsi="Arial"/>
          <w:sz w:val="12"/>
          <w:szCs w:val="12"/>
          <w:color w:val="auto"/>
        </w:rPr>
        <w:t>Chair: Aelis Farma S.A.S.</w:t>
      </w:r>
    </w:p>
    <w:p>
      <w:pPr>
        <w:ind w:left="20"/>
        <w:spacing w:after="0" w:line="189" w:lineRule="auto"/>
        <w:rPr>
          <w:sz w:val="20"/>
          <w:szCs w:val="20"/>
          <w:color w:val="auto"/>
        </w:rPr>
      </w:pPr>
      <w:r>
        <w:rPr>
          <w:rFonts w:ascii="Arial" w:cs="Arial" w:eastAsia="Arial" w:hAnsi="Arial"/>
          <w:sz w:val="10"/>
          <w:szCs w:val="10"/>
          <w:color w:val="auto"/>
        </w:rPr>
        <w:t>Deputy Chair: Bavarian Nordic A/S</w:t>
      </w:r>
      <w:r>
        <w:rPr>
          <w:rFonts w:ascii="Arial" w:cs="Arial" w:eastAsia="Arial" w:hAnsi="Arial"/>
          <w:sz w:val="15"/>
          <w:szCs w:val="15"/>
          <w:color w:val="auto"/>
          <w:vertAlign w:val="superscript"/>
        </w:rPr>
        <w:t>1</w:t>
      </w:r>
    </w:p>
    <w:p>
      <w:pPr>
        <w:ind w:left="20"/>
        <w:spacing w:after="0"/>
        <w:rPr>
          <w:sz w:val="20"/>
          <w:szCs w:val="20"/>
          <w:color w:val="auto"/>
        </w:rPr>
      </w:pPr>
      <w:r>
        <w:rPr>
          <w:rFonts w:ascii="Arial" w:cs="Arial" w:eastAsia="Arial" w:hAnsi="Arial"/>
          <w:sz w:val="12"/>
          <w:szCs w:val="12"/>
          <w:color w:val="auto"/>
        </w:rPr>
        <w:t>Member: Hansa Biopharma AB</w:t>
      </w:r>
      <w:r>
        <w:rPr>
          <w:rFonts w:ascii="Arial" w:cs="Arial" w:eastAsia="Arial" w:hAnsi="Arial"/>
          <w:sz w:val="18"/>
          <w:szCs w:val="18"/>
          <w:b w:val="1"/>
          <w:bCs w:val="1"/>
          <w:color w:val="auto"/>
          <w:vertAlign w:val="superscript"/>
        </w:rPr>
        <w:t>2</w:t>
      </w:r>
      <w:r>
        <w:rPr>
          <w:rFonts w:ascii="Arial" w:cs="Arial" w:eastAsia="Arial" w:hAnsi="Arial"/>
          <w:sz w:val="12"/>
          <w:szCs w:val="12"/>
          <w:color w:val="auto"/>
        </w:rPr>
        <w:t>, Bond 2 Development 2 GP Limited</w:t>
      </w:r>
    </w:p>
    <w:p>
      <w:pPr>
        <w:spacing w:after="0" w:line="71" w:lineRule="exact"/>
        <w:rPr>
          <w:sz w:val="20"/>
          <w:szCs w:val="20"/>
          <w:color w:val="auto"/>
        </w:rPr>
      </w:pPr>
    </w:p>
    <w:p>
      <w:pPr>
        <w:ind w:left="160" w:hanging="138"/>
        <w:spacing w:after="0"/>
        <w:tabs>
          <w:tab w:leader="none" w:pos="1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Member of Nomination and Compensation Committee, Member of Science, Technology &amp; Investment Committee</w:t>
      </w:r>
    </w:p>
    <w:p>
      <w:pPr>
        <w:spacing w:after="0" w:line="9" w:lineRule="exact"/>
        <w:rPr>
          <w:rFonts w:ascii="Arial" w:cs="Arial" w:eastAsia="Arial" w:hAnsi="Arial"/>
          <w:sz w:val="12"/>
          <w:szCs w:val="12"/>
          <w:color w:val="auto"/>
        </w:rPr>
      </w:pPr>
    </w:p>
    <w:p>
      <w:pPr>
        <w:ind w:left="160" w:hanging="138"/>
        <w:spacing w:after="0"/>
        <w:tabs>
          <w:tab w:leader="none" w:pos="1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Chair of Scientific Committee, Member of Remuneration Committee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Paolo Paoletti, M.D.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Italian (U.S. Citizen), 72, Male</w:t>
      </w:r>
    </w:p>
    <w:p>
      <w:pPr>
        <w:ind w:left="20" w:right="1559"/>
        <w:spacing w:after="0" w:line="236" w:lineRule="auto"/>
        <w:rPr>
          <w:sz w:val="20"/>
          <w:szCs w:val="20"/>
          <w:color w:val="auto"/>
        </w:rPr>
      </w:pPr>
      <w:r>
        <w:rPr>
          <w:rFonts w:ascii="Arial" w:cs="Arial" w:eastAsia="Arial" w:hAnsi="Arial"/>
          <w:sz w:val="12"/>
          <w:szCs w:val="12"/>
          <w:color w:val="auto"/>
        </w:rPr>
        <w:t>Board Member (Independent, elected by the General Meeting); Chair of the Scientific Committee, Member of the Compensation Committee First elected 2015, current term expires 2023</w:t>
      </w:r>
    </w:p>
    <w:p>
      <w:pPr>
        <w:ind w:left="20"/>
        <w:spacing w:after="0" w:line="237" w:lineRule="auto"/>
        <w:rPr>
          <w:sz w:val="20"/>
          <w:szCs w:val="20"/>
          <w:color w:val="auto"/>
        </w:rPr>
      </w:pPr>
      <w:r>
        <w:rPr>
          <w:rFonts w:ascii="Arial" w:cs="Arial" w:eastAsia="Arial" w:hAnsi="Arial"/>
          <w:sz w:val="12"/>
          <w:szCs w:val="12"/>
          <w:b w:val="1"/>
          <w:bCs w:val="1"/>
          <w:color w:val="auto"/>
        </w:rPr>
        <w:t>Special Competencies</w:t>
      </w:r>
    </w:p>
    <w:p>
      <w:pPr>
        <w:ind w:left="20" w:right="119"/>
        <w:spacing w:after="0" w:line="236" w:lineRule="auto"/>
        <w:rPr>
          <w:sz w:val="20"/>
          <w:szCs w:val="20"/>
          <w:color w:val="auto"/>
        </w:rPr>
      </w:pPr>
      <w:r>
        <w:rPr>
          <w:rFonts w:ascii="Arial" w:cs="Arial" w:eastAsia="Arial" w:hAnsi="Arial"/>
          <w:sz w:val="12"/>
          <w:szCs w:val="12"/>
          <w:color w:val="auto"/>
        </w:rPr>
        <w:t>Extensive experience in research, development and commercialization in the pharmaceutical industry. Successfully conducted submissions and approvals of new cancer drugs and new indications in the U.S. and in Europe. Responsible for seven new medicines for cancer patients during his 10 years at GlaxoSmithKline and one new cancer medicine during his time at Eli Lilly.</w:t>
      </w:r>
    </w:p>
    <w:p>
      <w:pPr>
        <w:ind w:left="20"/>
        <w:spacing w:after="0" w:line="237" w:lineRule="auto"/>
        <w:rPr>
          <w:sz w:val="20"/>
          <w:szCs w:val="20"/>
          <w:color w:val="auto"/>
        </w:rPr>
      </w:pPr>
      <w:r>
        <w:rPr>
          <w:rFonts w:ascii="Arial" w:cs="Arial" w:eastAsia="Arial" w:hAnsi="Arial"/>
          <w:sz w:val="12"/>
          <w:szCs w:val="12"/>
          <w:b w:val="1"/>
          <w:bCs w:val="1"/>
          <w:color w:val="auto"/>
        </w:rPr>
        <w:t>Current Position, Including Managerial Positions</w:t>
      </w:r>
    </w:p>
    <w:p>
      <w:pPr>
        <w:ind w:left="20"/>
        <w:spacing w:after="0" w:line="237" w:lineRule="auto"/>
        <w:rPr>
          <w:sz w:val="20"/>
          <w:szCs w:val="20"/>
          <w:color w:val="auto"/>
        </w:rPr>
      </w:pPr>
      <w:r>
        <w:rPr>
          <w:rFonts w:ascii="Arial" w:cs="Arial" w:eastAsia="Arial" w:hAnsi="Arial"/>
          <w:sz w:val="12"/>
          <w:szCs w:val="12"/>
          <w:color w:val="auto"/>
        </w:rPr>
        <w:t>Member of the Investment Committee for Apollo Therapeutics Limited</w:t>
      </w:r>
    </w:p>
    <w:p>
      <w:pPr>
        <w:ind w:left="20"/>
        <w:spacing w:after="0" w:line="236" w:lineRule="auto"/>
        <w:rPr>
          <w:sz w:val="20"/>
          <w:szCs w:val="20"/>
          <w:color w:val="auto"/>
        </w:rPr>
      </w:pPr>
      <w:r>
        <w:rPr>
          <w:rFonts w:ascii="Arial" w:cs="Arial" w:eastAsia="Arial" w:hAnsi="Arial"/>
          <w:sz w:val="12"/>
          <w:szCs w:val="12"/>
          <w:color w:val="auto"/>
        </w:rPr>
        <w:t>Scientific Advisor for 3B Future Health Fund</w:t>
      </w:r>
    </w:p>
    <w:p>
      <w:pPr>
        <w:ind w:left="20"/>
        <w:spacing w:after="0" w:line="237" w:lineRule="auto"/>
        <w:rPr>
          <w:sz w:val="20"/>
          <w:szCs w:val="20"/>
          <w:color w:val="auto"/>
        </w:rPr>
      </w:pPr>
      <w:r>
        <w:rPr>
          <w:rFonts w:ascii="Arial" w:cs="Arial" w:eastAsia="Arial" w:hAnsi="Arial"/>
          <w:sz w:val="12"/>
          <w:szCs w:val="12"/>
          <w:b w:val="1"/>
          <w:bCs w:val="1"/>
          <w:color w:val="auto"/>
        </w:rPr>
        <w:t>Current Board Positions</w:t>
      </w:r>
    </w:p>
    <w:p>
      <w:pPr>
        <w:ind w:left="20"/>
        <w:spacing w:after="0"/>
        <w:rPr>
          <w:sz w:val="20"/>
          <w:szCs w:val="20"/>
          <w:color w:val="auto"/>
        </w:rPr>
      </w:pPr>
      <w:r>
        <w:rPr>
          <w:rFonts w:ascii="Arial" w:cs="Arial" w:eastAsia="Arial" w:hAnsi="Arial"/>
          <w:sz w:val="12"/>
          <w:szCs w:val="12"/>
          <w:color w:val="auto"/>
        </w:rPr>
        <w:t>Member: Akamis Bio Limited</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Rolf Hoffmann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German, 63, Male</w:t>
      </w:r>
    </w:p>
    <w:p>
      <w:pPr>
        <w:ind w:left="20" w:right="1619"/>
        <w:spacing w:after="0" w:line="252" w:lineRule="auto"/>
        <w:rPr>
          <w:sz w:val="20"/>
          <w:szCs w:val="20"/>
          <w:color w:val="auto"/>
        </w:rPr>
      </w:pPr>
      <w:r>
        <w:rPr>
          <w:rFonts w:ascii="Arial" w:cs="Arial" w:eastAsia="Arial" w:hAnsi="Arial"/>
          <w:sz w:val="12"/>
          <w:szCs w:val="12"/>
          <w:color w:val="auto"/>
        </w:rPr>
        <w:t>Board Member (Independent, elected by the General Meeting); Member of the Audit and Finance Committee and the Scientific Committee First elected 2017, current term expires 2023</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0" w:name="page71"/>
    <w:bookmarkEnd w:id="7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Special Competencies</w:t>
      </w:r>
    </w:p>
    <w:p>
      <w:pPr>
        <w:spacing w:after="0" w:line="10" w:lineRule="exact"/>
        <w:rPr>
          <w:sz w:val="20"/>
          <w:szCs w:val="20"/>
          <w:color w:val="auto"/>
        </w:rPr>
      </w:pPr>
    </w:p>
    <w:p>
      <w:pPr>
        <w:ind w:left="20" w:right="239"/>
        <w:spacing w:after="0" w:line="236" w:lineRule="auto"/>
        <w:rPr>
          <w:sz w:val="20"/>
          <w:szCs w:val="20"/>
          <w:color w:val="auto"/>
        </w:rPr>
      </w:pPr>
      <w:r>
        <w:rPr>
          <w:rFonts w:ascii="Arial" w:cs="Arial" w:eastAsia="Arial" w:hAnsi="Arial"/>
          <w:sz w:val="12"/>
          <w:szCs w:val="12"/>
          <w:color w:val="auto"/>
        </w:rPr>
        <w:t>Extensive international management experience with expertise in creating and optimizing commercial opportunities in global markets. Additional expertise in P&amp;L management, governance and Corporate Integrity Agreement Management, compliance and organizational efficiency. Over 20 years’ experience in the international pharmaceutical and biotechnology industries at Eli Lilly and Amgen.</w:t>
      </w:r>
    </w:p>
    <w:p>
      <w:pPr>
        <w:ind w:left="20"/>
        <w:spacing w:after="0" w:line="237" w:lineRule="auto"/>
        <w:rPr>
          <w:sz w:val="20"/>
          <w:szCs w:val="20"/>
          <w:color w:val="auto"/>
        </w:rPr>
      </w:pPr>
      <w:r>
        <w:rPr>
          <w:rFonts w:ascii="Arial" w:cs="Arial" w:eastAsia="Arial" w:hAnsi="Arial"/>
          <w:sz w:val="12"/>
          <w:szCs w:val="12"/>
          <w:b w:val="1"/>
          <w:bCs w:val="1"/>
          <w:color w:val="auto"/>
        </w:rPr>
        <w:t>Current Position, Including Managerial Positions</w:t>
      </w:r>
    </w:p>
    <w:p>
      <w:pPr>
        <w:ind w:left="20"/>
        <w:spacing w:after="0" w:line="237" w:lineRule="auto"/>
        <w:rPr>
          <w:sz w:val="20"/>
          <w:szCs w:val="20"/>
          <w:color w:val="auto"/>
        </w:rPr>
      </w:pPr>
      <w:r>
        <w:rPr>
          <w:rFonts w:ascii="Arial" w:cs="Arial" w:eastAsia="Arial" w:hAnsi="Arial"/>
          <w:sz w:val="12"/>
          <w:szCs w:val="12"/>
          <w:color w:val="auto"/>
        </w:rPr>
        <w:t>Adjunct Professor Strategy and Entrepreneurship, University of North Carolina Business School</w:t>
      </w:r>
    </w:p>
    <w:p>
      <w:pPr>
        <w:ind w:left="20"/>
        <w:spacing w:after="0" w:line="221" w:lineRule="auto"/>
        <w:rPr>
          <w:sz w:val="20"/>
          <w:szCs w:val="20"/>
          <w:color w:val="auto"/>
        </w:rPr>
      </w:pPr>
      <w:r>
        <w:rPr>
          <w:rFonts w:ascii="Arial" w:cs="Arial" w:eastAsia="Arial" w:hAnsi="Arial"/>
          <w:sz w:val="12"/>
          <w:szCs w:val="12"/>
          <w:b w:val="1"/>
          <w:bCs w:val="1"/>
          <w:color w:val="auto"/>
        </w:rPr>
        <w:t>Current Board Positions</w:t>
      </w:r>
    </w:p>
    <w:p>
      <w:pPr>
        <w:ind w:left="20"/>
        <w:spacing w:after="0"/>
        <w:rPr>
          <w:sz w:val="20"/>
          <w:szCs w:val="20"/>
          <w:color w:val="auto"/>
        </w:rPr>
      </w:pPr>
      <w:r>
        <w:rPr>
          <w:rFonts w:ascii="Arial" w:cs="Arial" w:eastAsia="Arial" w:hAnsi="Arial"/>
          <w:sz w:val="12"/>
          <w:szCs w:val="12"/>
          <w:color w:val="auto"/>
        </w:rPr>
        <w:t>Member: Paratek Pharmaceuticals, Inc.</w:t>
      </w:r>
      <w:r>
        <w:rPr>
          <w:rFonts w:ascii="Arial" w:cs="Arial" w:eastAsia="Arial" w:hAnsi="Arial"/>
          <w:sz w:val="18"/>
          <w:szCs w:val="18"/>
          <w:color w:val="auto"/>
          <w:vertAlign w:val="superscript"/>
        </w:rPr>
        <w:t>1</w:t>
      </w:r>
      <w:r>
        <w:rPr>
          <w:rFonts w:ascii="Arial" w:cs="Arial" w:eastAsia="Arial" w:hAnsi="Arial"/>
          <w:sz w:val="12"/>
          <w:szCs w:val="12"/>
          <w:color w:val="auto"/>
        </w:rPr>
        <w:t>, IDT Biologika, Semdor Pharma</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Member of Nominating and Corporate Governance Committee</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Elizabeth A. O’Farrell</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58, Female</w:t>
      </w:r>
    </w:p>
    <w:p>
      <w:pPr>
        <w:ind w:left="20" w:right="1439"/>
        <w:spacing w:after="0" w:line="236" w:lineRule="auto"/>
        <w:rPr>
          <w:sz w:val="20"/>
          <w:szCs w:val="20"/>
          <w:color w:val="auto"/>
        </w:rPr>
      </w:pPr>
      <w:r>
        <w:rPr>
          <w:rFonts w:ascii="Arial" w:cs="Arial" w:eastAsia="Arial" w:hAnsi="Arial"/>
          <w:sz w:val="12"/>
          <w:szCs w:val="12"/>
          <w:color w:val="auto"/>
        </w:rPr>
        <w:t>Board Member (Independent, elected by the General Meeting); Member of the Compensation Committee and the Audit &amp; Finance Committee First elected 2022, current term expires 2023</w:t>
      </w:r>
    </w:p>
    <w:p>
      <w:pPr>
        <w:ind w:left="20"/>
        <w:spacing w:after="0" w:line="237" w:lineRule="auto"/>
        <w:rPr>
          <w:sz w:val="20"/>
          <w:szCs w:val="20"/>
          <w:color w:val="auto"/>
        </w:rPr>
      </w:pPr>
      <w:r>
        <w:rPr>
          <w:rFonts w:ascii="Arial" w:cs="Arial" w:eastAsia="Arial" w:hAnsi="Arial"/>
          <w:sz w:val="12"/>
          <w:szCs w:val="12"/>
          <w:b w:val="1"/>
          <w:bCs w:val="1"/>
          <w:color w:val="auto"/>
        </w:rPr>
        <w:t>Special Competencies</w:t>
      </w:r>
    </w:p>
    <w:p>
      <w:pPr>
        <w:jc w:val="both"/>
        <w:ind w:left="20" w:right="319"/>
        <w:spacing w:after="0" w:line="236" w:lineRule="auto"/>
        <w:rPr>
          <w:sz w:val="20"/>
          <w:szCs w:val="20"/>
          <w:color w:val="auto"/>
        </w:rPr>
      </w:pPr>
      <w:r>
        <w:rPr>
          <w:rFonts w:ascii="Arial" w:cs="Arial" w:eastAsia="Arial" w:hAnsi="Arial"/>
          <w:sz w:val="12"/>
          <w:szCs w:val="12"/>
          <w:color w:val="auto"/>
        </w:rPr>
        <w:t>Solid financial experience including strategic, operational and reporting across the value chain. Additional expertise in leading cross-functional teams, championing culture, and driving paradigm changing contributions within finance and the enterprise through collaboration and influence. Over 24 years’ experience at Eli Lilly, in addition to experience at Price Waterhouse and Whipple &amp; Company Corporation.</w:t>
      </w:r>
    </w:p>
    <w:p>
      <w:pPr>
        <w:ind w:left="20"/>
        <w:spacing w:after="0" w:line="237" w:lineRule="auto"/>
        <w:rPr>
          <w:sz w:val="20"/>
          <w:szCs w:val="20"/>
          <w:color w:val="auto"/>
        </w:rPr>
      </w:pPr>
      <w:r>
        <w:rPr>
          <w:rFonts w:ascii="Arial" w:cs="Arial" w:eastAsia="Arial" w:hAnsi="Arial"/>
          <w:sz w:val="12"/>
          <w:szCs w:val="12"/>
          <w:b w:val="1"/>
          <w:bCs w:val="1"/>
          <w:color w:val="auto"/>
        </w:rPr>
        <w:t>Current Board Positions</w:t>
      </w:r>
    </w:p>
    <w:p>
      <w:pPr>
        <w:ind w:left="20"/>
        <w:spacing w:after="0" w:line="221" w:lineRule="auto"/>
        <w:rPr>
          <w:sz w:val="20"/>
          <w:szCs w:val="20"/>
          <w:color w:val="auto"/>
        </w:rPr>
      </w:pPr>
      <w:r>
        <w:rPr>
          <w:rFonts w:ascii="Arial" w:cs="Arial" w:eastAsia="Arial" w:hAnsi="Arial"/>
          <w:sz w:val="12"/>
          <w:szCs w:val="12"/>
          <w:color w:val="auto"/>
        </w:rPr>
        <w:t>Chair: PDL BioPharma</w:t>
      </w:r>
    </w:p>
    <w:p>
      <w:pPr>
        <w:ind w:left="20"/>
        <w:spacing w:after="0"/>
        <w:rPr>
          <w:sz w:val="20"/>
          <w:szCs w:val="20"/>
          <w:color w:val="auto"/>
        </w:rPr>
      </w:pPr>
      <w:r>
        <w:rPr>
          <w:rFonts w:ascii="Arial" w:cs="Arial" w:eastAsia="Arial" w:hAnsi="Arial"/>
          <w:sz w:val="12"/>
          <w:szCs w:val="12"/>
          <w:color w:val="auto"/>
        </w:rPr>
        <w:t>Member: LENSAR</w:t>
      </w:r>
      <w:r>
        <w:rPr>
          <w:rFonts w:ascii="Arial" w:cs="Arial" w:eastAsia="Arial" w:hAnsi="Arial"/>
          <w:sz w:val="18"/>
          <w:szCs w:val="18"/>
          <w:color w:val="auto"/>
          <w:vertAlign w:val="superscript"/>
        </w:rPr>
        <w:t>1</w:t>
      </w:r>
      <w:r>
        <w:rPr>
          <w:rFonts w:ascii="Arial" w:cs="Arial" w:eastAsia="Arial" w:hAnsi="Arial"/>
          <w:sz w:val="12"/>
          <w:szCs w:val="12"/>
          <w:color w:val="auto"/>
        </w:rPr>
        <w:t>, Geron Corporation</w:t>
      </w:r>
      <w:r>
        <w:rPr>
          <w:rFonts w:ascii="Arial" w:cs="Arial" w:eastAsia="Arial" w:hAnsi="Arial"/>
          <w:sz w:val="18"/>
          <w:szCs w:val="18"/>
          <w:color w:val="auto"/>
          <w:vertAlign w:val="superscript"/>
        </w:rPr>
        <w:t>2</w:t>
      </w:r>
      <w:r>
        <w:rPr>
          <w:rFonts w:ascii="Arial" w:cs="Arial" w:eastAsia="Arial" w:hAnsi="Arial"/>
          <w:sz w:val="12"/>
          <w:szCs w:val="12"/>
          <w:color w:val="auto"/>
        </w:rPr>
        <w:t>, Karius</w:t>
      </w:r>
      <w:r>
        <w:rPr>
          <w:rFonts w:ascii="Arial" w:cs="Arial" w:eastAsia="Arial" w:hAnsi="Arial"/>
          <w:sz w:val="18"/>
          <w:szCs w:val="18"/>
          <w:color w:val="auto"/>
          <w:vertAlign w:val="superscript"/>
        </w:rPr>
        <w:t>3</w:t>
      </w:r>
    </w:p>
    <w:p>
      <w:pPr>
        <w:spacing w:after="0" w:line="71" w:lineRule="exact"/>
        <w:rPr>
          <w:sz w:val="20"/>
          <w:szCs w:val="20"/>
          <w:color w:val="auto"/>
        </w:rPr>
      </w:pPr>
    </w:p>
    <w:p>
      <w:pPr>
        <w:ind w:left="160" w:hanging="138"/>
        <w:spacing w:after="0"/>
        <w:tabs>
          <w:tab w:leader="none" w:pos="1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Chair of Audit Committee</w:t>
      </w:r>
    </w:p>
    <w:p>
      <w:pPr>
        <w:spacing w:after="0" w:line="9" w:lineRule="exact"/>
        <w:rPr>
          <w:rFonts w:ascii="Arial" w:cs="Arial" w:eastAsia="Arial" w:hAnsi="Arial"/>
          <w:sz w:val="12"/>
          <w:szCs w:val="12"/>
          <w:color w:val="auto"/>
        </w:rPr>
      </w:pPr>
    </w:p>
    <w:p>
      <w:pPr>
        <w:ind w:left="160" w:hanging="138"/>
        <w:spacing w:after="0" w:line="236" w:lineRule="auto"/>
        <w:tabs>
          <w:tab w:leader="none" w:pos="1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Chair of Audit Committee</w:t>
      </w:r>
    </w:p>
    <w:p>
      <w:pPr>
        <w:ind w:left="160" w:hanging="138"/>
        <w:spacing w:after="0"/>
        <w:tabs>
          <w:tab w:leader="none" w:pos="1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Chair of Audit Committee</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Takahiro Hamatani</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Japanese, 48, Male</w:t>
      </w:r>
    </w:p>
    <w:p>
      <w:pPr>
        <w:ind w:left="20"/>
        <w:spacing w:after="0" w:line="236" w:lineRule="auto"/>
        <w:rPr>
          <w:sz w:val="20"/>
          <w:szCs w:val="20"/>
          <w:color w:val="auto"/>
        </w:rPr>
      </w:pPr>
      <w:r>
        <w:rPr>
          <w:rFonts w:ascii="Arial" w:cs="Arial" w:eastAsia="Arial" w:hAnsi="Arial"/>
          <w:sz w:val="12"/>
          <w:szCs w:val="12"/>
          <w:color w:val="auto"/>
        </w:rPr>
        <w:t>Board Member (Non-independent, elected by the employees)</w:t>
      </w:r>
    </w:p>
    <w:p>
      <w:pPr>
        <w:ind w:left="20"/>
        <w:spacing w:after="0" w:line="236" w:lineRule="auto"/>
        <w:rPr>
          <w:sz w:val="20"/>
          <w:szCs w:val="20"/>
          <w:color w:val="auto"/>
        </w:rPr>
      </w:pPr>
      <w:r>
        <w:rPr>
          <w:rFonts w:ascii="Arial" w:cs="Arial" w:eastAsia="Arial" w:hAnsi="Arial"/>
          <w:sz w:val="12"/>
          <w:szCs w:val="12"/>
          <w:color w:val="auto"/>
        </w:rPr>
        <w:t>First elected 2022, current term expires 2025</w:t>
      </w:r>
    </w:p>
    <w:p>
      <w:pPr>
        <w:ind w:left="20"/>
        <w:spacing w:after="0" w:line="237" w:lineRule="auto"/>
        <w:rPr>
          <w:sz w:val="20"/>
          <w:szCs w:val="20"/>
          <w:color w:val="auto"/>
        </w:rPr>
      </w:pPr>
      <w:r>
        <w:rPr>
          <w:rFonts w:ascii="Arial" w:cs="Arial" w:eastAsia="Arial" w:hAnsi="Arial"/>
          <w:sz w:val="12"/>
          <w:szCs w:val="12"/>
          <w:b w:val="1"/>
          <w:bCs w:val="1"/>
          <w:color w:val="auto"/>
        </w:rPr>
        <w:t>Special Competencies</w:t>
      </w:r>
    </w:p>
    <w:p>
      <w:pPr>
        <w:ind w:left="20" w:right="179"/>
        <w:spacing w:after="0" w:line="236" w:lineRule="auto"/>
        <w:rPr>
          <w:sz w:val="20"/>
          <w:szCs w:val="20"/>
          <w:color w:val="auto"/>
        </w:rPr>
      </w:pPr>
      <w:r>
        <w:rPr>
          <w:rFonts w:ascii="Arial" w:cs="Arial" w:eastAsia="Arial" w:hAnsi="Arial"/>
          <w:sz w:val="12"/>
          <w:szCs w:val="12"/>
          <w:color w:val="auto"/>
        </w:rPr>
        <w:t>Over 20 years’ experience in the pharmaceutical industry in various roles including finance, sales/marketing, and corporate strategy. Extensive expertise in strategic business planning and finance business partnering. Experience in successful product launches, geographical expansions, and business development deals. Certified Public Accountant in the U.S.</w:t>
      </w:r>
    </w:p>
    <w:p>
      <w:pPr>
        <w:ind w:left="20"/>
        <w:spacing w:after="0" w:line="237" w:lineRule="auto"/>
        <w:rPr>
          <w:sz w:val="20"/>
          <w:szCs w:val="20"/>
          <w:color w:val="auto"/>
        </w:rPr>
      </w:pPr>
      <w:r>
        <w:rPr>
          <w:rFonts w:ascii="Arial" w:cs="Arial" w:eastAsia="Arial" w:hAnsi="Arial"/>
          <w:sz w:val="12"/>
          <w:szCs w:val="12"/>
          <w:b w:val="1"/>
          <w:bCs w:val="1"/>
          <w:color w:val="auto"/>
        </w:rPr>
        <w:t>Current Position, including Managerial Positions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Senior Director, Finance Japan at Genmab</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Martin Schultz</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Danish, 47, Male</w:t>
      </w:r>
    </w:p>
    <w:p>
      <w:pPr>
        <w:ind w:left="20"/>
        <w:spacing w:after="0" w:line="236" w:lineRule="auto"/>
        <w:rPr>
          <w:sz w:val="20"/>
          <w:szCs w:val="20"/>
          <w:color w:val="auto"/>
        </w:rPr>
      </w:pPr>
      <w:r>
        <w:rPr>
          <w:rFonts w:ascii="Arial" w:cs="Arial" w:eastAsia="Arial" w:hAnsi="Arial"/>
          <w:sz w:val="12"/>
          <w:szCs w:val="12"/>
          <w:color w:val="auto"/>
        </w:rPr>
        <w:t>Board Member (Non-independent, elected by the employees)</w:t>
      </w:r>
    </w:p>
    <w:p>
      <w:pPr>
        <w:ind w:left="20"/>
        <w:spacing w:after="0" w:line="236" w:lineRule="auto"/>
        <w:rPr>
          <w:sz w:val="20"/>
          <w:szCs w:val="20"/>
          <w:color w:val="auto"/>
        </w:rPr>
      </w:pPr>
      <w:r>
        <w:rPr>
          <w:rFonts w:ascii="Arial" w:cs="Arial" w:eastAsia="Arial" w:hAnsi="Arial"/>
          <w:sz w:val="12"/>
          <w:szCs w:val="12"/>
          <w:color w:val="auto"/>
        </w:rPr>
        <w:t>First elected 2022, current term expires 2025</w:t>
      </w:r>
    </w:p>
    <w:p>
      <w:pPr>
        <w:ind w:left="20"/>
        <w:spacing w:after="0" w:line="237" w:lineRule="auto"/>
        <w:rPr>
          <w:sz w:val="20"/>
          <w:szCs w:val="20"/>
          <w:color w:val="auto"/>
        </w:rPr>
      </w:pPr>
      <w:r>
        <w:rPr>
          <w:rFonts w:ascii="Arial" w:cs="Arial" w:eastAsia="Arial" w:hAnsi="Arial"/>
          <w:sz w:val="12"/>
          <w:szCs w:val="12"/>
          <w:b w:val="1"/>
          <w:bCs w:val="1"/>
          <w:color w:val="auto"/>
        </w:rPr>
        <w:t>Special Competencies</w:t>
      </w:r>
    </w:p>
    <w:p>
      <w:pPr>
        <w:ind w:left="20" w:right="599"/>
        <w:spacing w:after="0" w:line="252" w:lineRule="auto"/>
        <w:rPr>
          <w:sz w:val="20"/>
          <w:szCs w:val="20"/>
          <w:color w:val="auto"/>
        </w:rPr>
      </w:pPr>
      <w:r>
        <w:rPr>
          <w:rFonts w:ascii="Arial" w:cs="Arial" w:eastAsia="Arial" w:hAnsi="Arial"/>
          <w:sz w:val="12"/>
          <w:szCs w:val="12"/>
          <w:color w:val="auto"/>
        </w:rPr>
        <w:t>Broad experience within clinical trial management with a substantial understanding and knowledge of research and development. Specific expertise in project management, vendor collaboration, contract and budget management.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1" w:name="page72"/>
    <w:bookmarkEnd w:id="7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Current Position, including Managerial Positions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Senior Director, Clinical Operations at Genmab</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Mijke Zachariasse, Ph.D.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Dutch, 49, Female</w:t>
      </w:r>
    </w:p>
    <w:p>
      <w:pPr>
        <w:ind w:left="20"/>
        <w:spacing w:after="0" w:line="236" w:lineRule="auto"/>
        <w:rPr>
          <w:sz w:val="20"/>
          <w:szCs w:val="20"/>
          <w:color w:val="auto"/>
        </w:rPr>
      </w:pPr>
      <w:r>
        <w:rPr>
          <w:rFonts w:ascii="Arial" w:cs="Arial" w:eastAsia="Arial" w:hAnsi="Arial"/>
          <w:sz w:val="12"/>
          <w:szCs w:val="12"/>
          <w:color w:val="auto"/>
        </w:rPr>
        <w:t>Board Member (Non-independent, elected by the employees)</w:t>
      </w:r>
    </w:p>
    <w:p>
      <w:pPr>
        <w:ind w:left="20"/>
        <w:spacing w:after="0" w:line="236" w:lineRule="auto"/>
        <w:rPr>
          <w:sz w:val="20"/>
          <w:szCs w:val="20"/>
          <w:color w:val="auto"/>
        </w:rPr>
      </w:pPr>
      <w:r>
        <w:rPr>
          <w:rFonts w:ascii="Arial" w:cs="Arial" w:eastAsia="Arial" w:hAnsi="Arial"/>
          <w:sz w:val="12"/>
          <w:szCs w:val="12"/>
          <w:color w:val="auto"/>
        </w:rPr>
        <w:t>First elected 2019, current term expires 2025</w:t>
      </w:r>
    </w:p>
    <w:p>
      <w:pPr>
        <w:ind w:left="20"/>
        <w:spacing w:after="0" w:line="237" w:lineRule="auto"/>
        <w:rPr>
          <w:sz w:val="20"/>
          <w:szCs w:val="20"/>
          <w:color w:val="auto"/>
        </w:rPr>
      </w:pPr>
      <w:r>
        <w:rPr>
          <w:rFonts w:ascii="Arial" w:cs="Arial" w:eastAsia="Arial" w:hAnsi="Arial"/>
          <w:sz w:val="12"/>
          <w:szCs w:val="12"/>
          <w:b w:val="1"/>
          <w:bCs w:val="1"/>
          <w:color w:val="auto"/>
        </w:rPr>
        <w:t>Special Competencies</w:t>
      </w:r>
    </w:p>
    <w:p>
      <w:pPr>
        <w:ind w:left="20" w:right="119"/>
        <w:spacing w:after="0" w:line="236" w:lineRule="auto"/>
        <w:rPr>
          <w:sz w:val="20"/>
          <w:szCs w:val="20"/>
          <w:color w:val="auto"/>
        </w:rPr>
      </w:pPr>
      <w:r>
        <w:rPr>
          <w:rFonts w:ascii="Arial" w:cs="Arial" w:eastAsia="Arial" w:hAnsi="Arial"/>
          <w:sz w:val="12"/>
          <w:szCs w:val="12"/>
          <w:color w:val="auto"/>
        </w:rPr>
        <w:t>Broad experience in people and business management in the natural sciences sector. Specific expertise in building strategic partnerships across sectors, financial and fund management, and setting research strategies in the academic sector.</w:t>
      </w:r>
    </w:p>
    <w:p>
      <w:pPr>
        <w:ind w:left="20"/>
        <w:spacing w:after="0" w:line="237" w:lineRule="auto"/>
        <w:rPr>
          <w:sz w:val="20"/>
          <w:szCs w:val="20"/>
          <w:color w:val="auto"/>
        </w:rPr>
      </w:pPr>
      <w:r>
        <w:rPr>
          <w:rFonts w:ascii="Arial" w:cs="Arial" w:eastAsia="Arial" w:hAnsi="Arial"/>
          <w:sz w:val="12"/>
          <w:szCs w:val="12"/>
          <w:b w:val="1"/>
          <w:bCs w:val="1"/>
          <w:color w:val="auto"/>
        </w:rPr>
        <w:t>Current Position, including Managerial Positions</w:t>
      </w:r>
    </w:p>
    <w:p>
      <w:pPr>
        <w:ind w:left="20"/>
        <w:spacing w:after="0"/>
        <w:rPr>
          <w:sz w:val="20"/>
          <w:szCs w:val="20"/>
          <w:color w:val="auto"/>
        </w:rPr>
      </w:pPr>
      <w:r>
        <w:rPr>
          <w:rFonts w:ascii="Arial" w:cs="Arial" w:eastAsia="Arial" w:hAnsi="Arial"/>
          <w:sz w:val="12"/>
          <w:szCs w:val="12"/>
          <w:color w:val="auto"/>
        </w:rPr>
        <w:t>Senior Director, Head of Antibody Research Materials at Genmab</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Senior Leadership</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Jan G. J. van de Winkel, Ph.D.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Dutch, 61, Male</w:t>
      </w:r>
    </w:p>
    <w:p>
      <w:pPr>
        <w:ind w:left="20"/>
        <w:spacing w:after="0" w:line="236" w:lineRule="auto"/>
        <w:rPr>
          <w:sz w:val="20"/>
          <w:szCs w:val="20"/>
          <w:color w:val="auto"/>
        </w:rPr>
      </w:pPr>
      <w:r>
        <w:rPr>
          <w:rFonts w:ascii="Arial" w:cs="Arial" w:eastAsia="Arial" w:hAnsi="Arial"/>
          <w:sz w:val="12"/>
          <w:szCs w:val="12"/>
          <w:color w:val="auto"/>
        </w:rPr>
        <w:t>President &amp; Chief Executive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ind w:left="20"/>
        <w:spacing w:after="0" w:line="237" w:lineRule="auto"/>
        <w:rPr>
          <w:sz w:val="20"/>
          <w:szCs w:val="20"/>
          <w:color w:val="auto"/>
        </w:rPr>
      </w:pPr>
      <w:r>
        <w:rPr>
          <w:rFonts w:ascii="Arial" w:cs="Arial" w:eastAsia="Arial" w:hAnsi="Arial"/>
          <w:sz w:val="12"/>
          <w:szCs w:val="12"/>
          <w:color w:val="auto"/>
        </w:rPr>
        <w:t>Extensive antibody creation and development expertise, broad knowledge of the biotechnology industry and executive management skills.</w:t>
      </w:r>
    </w:p>
    <w:p>
      <w:pPr>
        <w:ind w:left="20"/>
        <w:spacing w:after="0" w:line="236" w:lineRule="auto"/>
        <w:rPr>
          <w:sz w:val="20"/>
          <w:szCs w:val="20"/>
          <w:color w:val="auto"/>
        </w:rPr>
      </w:pPr>
      <w:r>
        <w:rPr>
          <w:rFonts w:ascii="Arial" w:cs="Arial" w:eastAsia="Arial" w:hAnsi="Arial"/>
          <w:sz w:val="12"/>
          <w:szCs w:val="12"/>
          <w:b w:val="1"/>
          <w:bCs w:val="1"/>
          <w:color w:val="auto"/>
        </w:rPr>
        <w:t>Current Board Positions</w:t>
      </w:r>
    </w:p>
    <w:p>
      <w:pPr>
        <w:ind w:left="20"/>
        <w:spacing w:after="0" w:line="237" w:lineRule="auto"/>
        <w:rPr>
          <w:sz w:val="20"/>
          <w:szCs w:val="20"/>
          <w:color w:val="auto"/>
        </w:rPr>
      </w:pPr>
      <w:r>
        <w:rPr>
          <w:rFonts w:ascii="Arial" w:cs="Arial" w:eastAsia="Arial" w:hAnsi="Arial"/>
          <w:sz w:val="12"/>
          <w:szCs w:val="12"/>
          <w:color w:val="auto"/>
        </w:rPr>
        <w:t>Chair: Hookipa Pharma</w:t>
      </w:r>
    </w:p>
    <w:p>
      <w:pPr>
        <w:ind w:left="20"/>
        <w:spacing w:after="0"/>
        <w:rPr>
          <w:sz w:val="20"/>
          <w:szCs w:val="20"/>
          <w:color w:val="auto"/>
        </w:rPr>
      </w:pPr>
      <w:r>
        <w:rPr>
          <w:rFonts w:ascii="Arial" w:cs="Arial" w:eastAsia="Arial" w:hAnsi="Arial"/>
          <w:sz w:val="12"/>
          <w:szCs w:val="12"/>
          <w:color w:val="auto"/>
        </w:rPr>
        <w:t>Member: Leo Pharma</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Anthony Pagano</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45, Male</w:t>
      </w:r>
    </w:p>
    <w:p>
      <w:pPr>
        <w:ind w:left="20"/>
        <w:spacing w:after="0" w:line="236" w:lineRule="auto"/>
        <w:rPr>
          <w:sz w:val="20"/>
          <w:szCs w:val="20"/>
          <w:color w:val="auto"/>
        </w:rPr>
      </w:pPr>
      <w:r>
        <w:rPr>
          <w:rFonts w:ascii="Arial" w:cs="Arial" w:eastAsia="Arial" w:hAnsi="Arial"/>
          <w:sz w:val="12"/>
          <w:szCs w:val="12"/>
          <w:color w:val="auto"/>
        </w:rPr>
        <w:t>Executive Vice President &amp; Chief Financial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339"/>
        <w:spacing w:after="0" w:line="252" w:lineRule="auto"/>
        <w:rPr>
          <w:sz w:val="20"/>
          <w:szCs w:val="20"/>
          <w:color w:val="auto"/>
        </w:rPr>
      </w:pPr>
      <w:r>
        <w:rPr>
          <w:rFonts w:ascii="Arial" w:cs="Arial" w:eastAsia="Arial" w:hAnsi="Arial"/>
          <w:sz w:val="12"/>
          <w:szCs w:val="12"/>
          <w:color w:val="auto"/>
        </w:rPr>
        <w:t>Significant knowledge and experience in the life sciences industry particularly as it relates to corporate finance, corporate development, strategic planning, general management, treasury, accounting and corporate governance.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Judith Klimovsky, M.D.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Argentinian (U.S. Citizen), 66, Female</w:t>
      </w:r>
    </w:p>
    <w:p>
      <w:pPr>
        <w:ind w:left="20"/>
        <w:spacing w:after="0" w:line="236" w:lineRule="auto"/>
        <w:rPr>
          <w:sz w:val="20"/>
          <w:szCs w:val="20"/>
          <w:color w:val="auto"/>
        </w:rPr>
      </w:pPr>
      <w:r>
        <w:rPr>
          <w:rFonts w:ascii="Arial" w:cs="Arial" w:eastAsia="Arial" w:hAnsi="Arial"/>
          <w:sz w:val="12"/>
          <w:szCs w:val="12"/>
          <w:color w:val="auto"/>
        </w:rPr>
        <w:t>Executive Vice President &amp; Chief Development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219"/>
        <w:spacing w:after="0" w:line="236" w:lineRule="auto"/>
        <w:rPr>
          <w:sz w:val="20"/>
          <w:szCs w:val="20"/>
          <w:color w:val="auto"/>
        </w:rPr>
      </w:pPr>
      <w:r>
        <w:rPr>
          <w:rFonts w:ascii="Arial" w:cs="Arial" w:eastAsia="Arial" w:hAnsi="Arial"/>
          <w:sz w:val="12"/>
          <w:szCs w:val="12"/>
          <w:color w:val="auto"/>
        </w:rPr>
        <w:t>Extensive expertise in oncology drug development from early clinical stages through to marketing approval, experience in clinical practice and leading large teams in pharmaceutical organizations.</w:t>
      </w:r>
    </w:p>
    <w:p>
      <w:pPr>
        <w:ind w:left="20"/>
        <w:spacing w:after="0" w:line="237" w:lineRule="auto"/>
        <w:rPr>
          <w:sz w:val="20"/>
          <w:szCs w:val="20"/>
          <w:color w:val="auto"/>
        </w:rPr>
      </w:pPr>
      <w:r>
        <w:rPr>
          <w:rFonts w:ascii="Arial" w:cs="Arial" w:eastAsia="Arial" w:hAnsi="Arial"/>
          <w:sz w:val="12"/>
          <w:szCs w:val="12"/>
          <w:b w:val="1"/>
          <w:bCs w:val="1"/>
          <w:color w:val="auto"/>
        </w:rPr>
        <w:t>Current Board Positions</w:t>
      </w:r>
    </w:p>
    <w:p>
      <w:pPr>
        <w:ind w:left="20"/>
        <w:spacing w:after="0"/>
        <w:rPr>
          <w:sz w:val="20"/>
          <w:szCs w:val="20"/>
          <w:color w:val="auto"/>
        </w:rPr>
      </w:pPr>
      <w:r>
        <w:rPr>
          <w:rFonts w:ascii="Arial" w:cs="Arial" w:eastAsia="Arial" w:hAnsi="Arial"/>
          <w:sz w:val="12"/>
          <w:szCs w:val="12"/>
          <w:color w:val="auto"/>
        </w:rPr>
        <w:t>Member: Bellicum Pharmaceuticals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Anthony Mancini</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Canadian-Italian (U.S. Citizen), 52, Male</w:t>
      </w:r>
    </w:p>
    <w:p>
      <w:pPr>
        <w:ind w:left="20"/>
        <w:spacing w:after="0" w:line="236" w:lineRule="auto"/>
        <w:rPr>
          <w:sz w:val="20"/>
          <w:szCs w:val="20"/>
          <w:color w:val="auto"/>
        </w:rPr>
      </w:pPr>
      <w:r>
        <w:rPr>
          <w:rFonts w:ascii="Arial" w:cs="Arial" w:eastAsia="Arial" w:hAnsi="Arial"/>
          <w:sz w:val="12"/>
          <w:szCs w:val="12"/>
          <w:color w:val="auto"/>
        </w:rPr>
        <w:t>Executive Vice President &amp; Chief Operating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359"/>
        <w:spacing w:after="0" w:line="252" w:lineRule="auto"/>
        <w:rPr>
          <w:sz w:val="20"/>
          <w:szCs w:val="20"/>
          <w:color w:val="auto"/>
        </w:rPr>
      </w:pPr>
      <w:r>
        <w:rPr>
          <w:rFonts w:ascii="Arial" w:cs="Arial" w:eastAsia="Arial" w:hAnsi="Arial"/>
          <w:sz w:val="12"/>
          <w:szCs w:val="12"/>
          <w:color w:val="auto"/>
        </w:rPr>
        <w:t>Significant expertise and experience in the life sciences industry across strategic and operational leadership roles; commercialization &amp; launch, strategic planning, partnerships/alliances, general management, leading large Biopharma P&amp;Ls and organizations.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69/158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2" w:name="page73"/>
    <w:bookmarkEnd w:id="7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Tahamtan Ahmadi, M.D., Ph.D.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Iranian-German (U.S. Citizen), 50, Male</w:t>
      </w:r>
    </w:p>
    <w:p>
      <w:pPr>
        <w:ind w:left="20"/>
        <w:spacing w:after="0" w:line="236" w:lineRule="auto"/>
        <w:rPr>
          <w:sz w:val="20"/>
          <w:szCs w:val="20"/>
          <w:color w:val="auto"/>
        </w:rPr>
      </w:pPr>
      <w:r>
        <w:rPr>
          <w:rFonts w:ascii="Arial" w:cs="Arial" w:eastAsia="Arial" w:hAnsi="Arial"/>
          <w:sz w:val="12"/>
          <w:szCs w:val="12"/>
          <w:color w:val="auto"/>
        </w:rPr>
        <w:t>Executive Vice President &amp; Chief Medical Officer, Head of Experimental Medicines</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99"/>
        <w:spacing w:after="0" w:line="252" w:lineRule="auto"/>
        <w:rPr>
          <w:sz w:val="20"/>
          <w:szCs w:val="20"/>
          <w:color w:val="auto"/>
        </w:rPr>
      </w:pPr>
      <w:r>
        <w:rPr>
          <w:rFonts w:ascii="Arial" w:cs="Arial" w:eastAsia="Arial" w:hAnsi="Arial"/>
          <w:sz w:val="12"/>
          <w:szCs w:val="12"/>
          <w:color w:val="auto"/>
        </w:rPr>
        <w:t>Significant expertise in global regulatory and clinical drug development across entire spectrum from pre-IND to life cycle management; drug discovery and translational research.</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Birgitte Stephensen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Danish, 62, Female</w:t>
      </w:r>
    </w:p>
    <w:p>
      <w:pPr>
        <w:ind w:left="20"/>
        <w:spacing w:after="0" w:line="236" w:lineRule="auto"/>
        <w:rPr>
          <w:sz w:val="20"/>
          <w:szCs w:val="20"/>
          <w:color w:val="auto"/>
        </w:rPr>
      </w:pPr>
      <w:r>
        <w:rPr>
          <w:rFonts w:ascii="Arial" w:cs="Arial" w:eastAsia="Arial" w:hAnsi="Arial"/>
          <w:sz w:val="12"/>
          <w:szCs w:val="12"/>
          <w:color w:val="auto"/>
        </w:rPr>
        <w:t>Executive Vice President, Chief Legal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Intellectual property and legal expertise in the biotechnology field.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Christopher Cozic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45, Male</w:t>
      </w:r>
    </w:p>
    <w:p>
      <w:pPr>
        <w:ind w:left="20"/>
        <w:spacing w:after="0" w:line="236" w:lineRule="auto"/>
        <w:rPr>
          <w:sz w:val="20"/>
          <w:szCs w:val="20"/>
          <w:color w:val="auto"/>
        </w:rPr>
      </w:pPr>
      <w:r>
        <w:rPr>
          <w:rFonts w:ascii="Arial" w:cs="Arial" w:eastAsia="Arial" w:hAnsi="Arial"/>
          <w:sz w:val="12"/>
          <w:szCs w:val="12"/>
          <w:color w:val="auto"/>
        </w:rPr>
        <w:t>Executive Vice President, Chief People Officer</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right="39"/>
        <w:spacing w:after="0" w:line="252" w:lineRule="auto"/>
        <w:rPr>
          <w:sz w:val="20"/>
          <w:szCs w:val="20"/>
          <w:color w:val="auto"/>
        </w:rPr>
      </w:pPr>
      <w:r>
        <w:rPr>
          <w:rFonts w:ascii="Arial" w:cs="Arial" w:eastAsia="Arial" w:hAnsi="Arial"/>
          <w:sz w:val="12"/>
          <w:szCs w:val="12"/>
          <w:color w:val="auto"/>
        </w:rPr>
        <w:t>Expertise in strategic leadership, organization design, human resource management, policy development, employee relations, organizational development, and a heavy concentration in all aspects of corporate growth and expansion.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Martine J. van Vugt, Ph.D.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Dutch, 52, Female</w:t>
      </w:r>
    </w:p>
    <w:p>
      <w:pPr>
        <w:ind w:left="20"/>
        <w:spacing w:after="0" w:line="236" w:lineRule="auto"/>
        <w:rPr>
          <w:sz w:val="20"/>
          <w:szCs w:val="20"/>
          <w:color w:val="auto"/>
        </w:rPr>
      </w:pPr>
      <w:r>
        <w:rPr>
          <w:rFonts w:ascii="Arial" w:cs="Arial" w:eastAsia="Arial" w:hAnsi="Arial"/>
          <w:sz w:val="12"/>
          <w:szCs w:val="12"/>
          <w:color w:val="auto"/>
        </w:rPr>
        <w:t>Senior Vice President, Corporate Strategy and Planning</w:t>
      </w:r>
    </w:p>
    <w:p>
      <w:pPr>
        <w:ind w:left="20"/>
        <w:spacing w:after="0" w:line="236" w:lineRule="auto"/>
        <w:rPr>
          <w:sz w:val="20"/>
          <w:szCs w:val="20"/>
          <w:color w:val="auto"/>
        </w:rPr>
      </w:pPr>
      <w:r>
        <w:rPr>
          <w:rFonts w:ascii="Arial" w:cs="Arial" w:eastAsia="Arial" w:hAnsi="Arial"/>
          <w:sz w:val="12"/>
          <w:szCs w:val="12"/>
          <w:b w:val="1"/>
          <w:bCs w:val="1"/>
          <w:color w:val="auto"/>
        </w:rPr>
        <w:t>Special Competencies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Extensive knowledge of and experience in Corporate Strategy, Business Development, as well as Portfolio, Project and Alliance Management</w:t>
      </w:r>
      <w:r>
        <w:rPr>
          <w:rFonts w:ascii="Arial" w:cs="Arial" w:eastAsia="Arial" w:hAnsi="Arial"/>
          <w:sz w:val="12"/>
          <w:szCs w:val="12"/>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3" w:name="page74"/>
    <w:bookmarkEnd w:id="7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Shareholders and Share Information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OWNERSHIP</w:t>
      </w:r>
    </w:p>
    <w:p>
      <w:pPr>
        <w:spacing w:after="0" w:line="10" w:lineRule="exact"/>
        <w:rPr>
          <w:sz w:val="20"/>
          <w:szCs w:val="20"/>
          <w:color w:val="auto"/>
        </w:rPr>
      </w:pPr>
    </w:p>
    <w:p>
      <w:pPr>
        <w:ind w:left="20" w:right="359"/>
        <w:spacing w:after="0" w:line="241" w:lineRule="auto"/>
        <w:rPr>
          <w:sz w:val="20"/>
          <w:szCs w:val="20"/>
          <w:color w:val="auto"/>
        </w:rPr>
      </w:pPr>
      <w:r>
        <w:rPr>
          <w:rFonts w:ascii="Arial" w:cs="Arial" w:eastAsia="Arial" w:hAnsi="Arial"/>
          <w:sz w:val="12"/>
          <w:szCs w:val="12"/>
          <w:color w:val="auto"/>
        </w:rPr>
        <w:t>Genmab is dual listed on the Nasdaq Copenhagen and the Nasdaq Global Select Market in the U.S. under the symbol GMAB. Our communication with the capital markets complies with the disclosure rules and regulations of these exchanges. As of December 31, 2022, the number of registered shareholders totaled 78,928 shareholders holding a total of 64,166,414 shares, which represented 97% of the total share capital of 65,961,573. The following table shows share data as of December 31, 2022.</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 Data</w:t>
      </w:r>
    </w:p>
    <w:p>
      <w:pPr>
        <w:spacing w:after="0" w:line="8" w:lineRule="exact"/>
        <w:rPr>
          <w:sz w:val="20"/>
          <w:szCs w:val="20"/>
          <w:color w:val="auto"/>
        </w:rPr>
      </w:pPr>
    </w:p>
    <w:p>
      <w:pPr>
        <w:ind w:left="2860"/>
        <w:spacing w:after="0"/>
        <w:tabs>
          <w:tab w:leader="none" w:pos="5160" w:val="left"/>
        </w:tabs>
        <w:rPr>
          <w:sz w:val="20"/>
          <w:szCs w:val="20"/>
          <w:color w:val="auto"/>
        </w:rPr>
      </w:pPr>
      <w:r>
        <w:rPr>
          <w:rFonts w:ascii="Arial" w:cs="Arial" w:eastAsia="Arial" w:hAnsi="Arial"/>
          <w:sz w:val="13"/>
          <w:szCs w:val="13"/>
          <w:b w:val="1"/>
          <w:bCs w:val="1"/>
          <w:color w:val="auto"/>
        </w:rPr>
        <w:t>Denmark</w:t>
      </w:r>
      <w:r>
        <w:rPr>
          <w:sz w:val="20"/>
          <w:szCs w:val="20"/>
          <w:color w:val="auto"/>
        </w:rPr>
        <w:tab/>
      </w:r>
      <w:r>
        <w:rPr>
          <w:rFonts w:ascii="Arial" w:cs="Arial" w:eastAsia="Arial" w:hAnsi="Arial"/>
          <w:sz w:val="13"/>
          <w:szCs w:val="13"/>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6864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6425" cy="571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p>
      <w:pPr>
        <w:spacing w:after="0" w:line="130" w:lineRule="exact"/>
        <w:rPr>
          <w:sz w:val="20"/>
          <w:szCs w:val="20"/>
          <w:color w:val="auto"/>
        </w:rPr>
      </w:pPr>
    </w:p>
    <w:p>
      <w:pPr>
        <w:ind w:left="20"/>
        <w:spacing w:after="0" w:line="273" w:lineRule="auto"/>
        <w:rPr>
          <w:sz w:val="20"/>
          <w:szCs w:val="20"/>
          <w:color w:val="auto"/>
        </w:rPr>
      </w:pPr>
      <w:r>
        <w:rPr>
          <w:rFonts w:ascii="Arial" w:cs="Arial" w:eastAsia="Arial" w:hAnsi="Arial"/>
          <w:sz w:val="12"/>
          <w:szCs w:val="12"/>
          <w:color w:val="auto"/>
        </w:rPr>
        <w:t>Number of shares at December 31, 2022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Listing</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Ticker Symbol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980" w:type="dxa"/>
            <w:vAlign w:val="bottom"/>
            <w:vMerge w:val="restart"/>
          </w:tcPr>
          <w:p>
            <w:pPr>
              <w:jc w:val="right"/>
              <w:ind w:right="1280"/>
              <w:spacing w:after="0"/>
              <w:rPr>
                <w:sz w:val="20"/>
                <w:szCs w:val="20"/>
                <w:color w:val="auto"/>
              </w:rPr>
            </w:pPr>
            <w:r>
              <w:rPr>
                <w:rFonts w:ascii="Arial" w:cs="Arial" w:eastAsia="Arial" w:hAnsi="Arial"/>
                <w:sz w:val="12"/>
                <w:szCs w:val="12"/>
                <w:color w:val="auto"/>
              </w:rPr>
              <w:t>65,961,573</w:t>
            </w:r>
          </w:p>
        </w:tc>
        <w:tc>
          <w:tcPr>
            <w:tcW w:w="1620" w:type="dxa"/>
            <w:vAlign w:val="bottom"/>
            <w:vMerge w:val="restart"/>
          </w:tcPr>
          <w:p>
            <w:pPr>
              <w:jc w:val="right"/>
              <w:ind w:right="160"/>
              <w:spacing w:after="0"/>
              <w:rPr>
                <w:sz w:val="20"/>
                <w:szCs w:val="20"/>
                <w:color w:val="auto"/>
              </w:rPr>
            </w:pPr>
            <w:r>
              <w:rPr>
                <w:rFonts w:ascii="Arial" w:cs="Arial" w:eastAsia="Arial" w:hAnsi="Arial"/>
                <w:sz w:val="12"/>
                <w:szCs w:val="12"/>
                <w:color w:val="auto"/>
              </w:rPr>
              <w:t>4,661,201</w:t>
            </w:r>
          </w:p>
        </w:tc>
        <w:tc>
          <w:tcPr>
            <w:tcW w:w="3260" w:type="dxa"/>
            <w:vAlign w:val="bottom"/>
          </w:tcPr>
          <w:p>
            <w:pPr>
              <w:ind w:left="200"/>
              <w:spacing w:after="0"/>
              <w:rPr>
                <w:sz w:val="20"/>
                <w:szCs w:val="20"/>
                <w:color w:val="auto"/>
              </w:rPr>
            </w:pPr>
            <w:r>
              <w:rPr>
                <w:rFonts w:ascii="Arial" w:cs="Arial" w:eastAsia="Arial" w:hAnsi="Arial"/>
                <w:sz w:val="12"/>
                <w:szCs w:val="12"/>
                <w:color w:val="auto"/>
              </w:rPr>
              <w:t>(represented by 46,612,010 American Depository Shares</w:t>
            </w:r>
          </w:p>
        </w:tc>
        <w:tc>
          <w:tcPr>
            <w:tcW w:w="0" w:type="dxa"/>
            <w:vAlign w:val="bottom"/>
          </w:tcPr>
          <w:p>
            <w:pPr>
              <w:spacing w:after="0"/>
              <w:rPr>
                <w:sz w:val="1"/>
                <w:szCs w:val="1"/>
                <w:color w:val="auto"/>
              </w:rPr>
            </w:pPr>
          </w:p>
        </w:tc>
      </w:tr>
      <w:tr>
        <w:trPr>
          <w:trHeight w:val="87"/>
        </w:trPr>
        <w:tc>
          <w:tcPr>
            <w:tcW w:w="19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3260" w:type="dxa"/>
            <w:vAlign w:val="bottom"/>
            <w:vMerge w:val="restart"/>
          </w:tcPr>
          <w:p>
            <w:pPr>
              <w:ind w:left="200"/>
              <w:spacing w:after="0"/>
              <w:rPr>
                <w:sz w:val="20"/>
                <w:szCs w:val="20"/>
                <w:color w:val="auto"/>
              </w:rPr>
            </w:pPr>
            <w:r>
              <w:rPr>
                <w:rFonts w:ascii="Arial" w:cs="Arial" w:eastAsia="Arial" w:hAnsi="Arial"/>
                <w:sz w:val="12"/>
                <w:szCs w:val="12"/>
                <w:color w:val="auto"/>
              </w:rPr>
              <w:t>(ADSs))</w:t>
            </w:r>
          </w:p>
        </w:tc>
        <w:tc>
          <w:tcPr>
            <w:tcW w:w="0" w:type="dxa"/>
            <w:vAlign w:val="bottom"/>
          </w:tcPr>
          <w:p>
            <w:pPr>
              <w:spacing w:after="0"/>
              <w:rPr>
                <w:sz w:val="1"/>
                <w:szCs w:val="1"/>
                <w:color w:val="auto"/>
              </w:rPr>
            </w:pPr>
          </w:p>
        </w:tc>
      </w:tr>
      <w:tr>
        <w:trPr>
          <w:trHeight w:val="73"/>
        </w:trPr>
        <w:tc>
          <w:tcPr>
            <w:tcW w:w="19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980" w:type="dxa"/>
            <w:vAlign w:val="bottom"/>
          </w:tcPr>
          <w:p>
            <w:pPr>
              <w:spacing w:after="0"/>
              <w:rPr>
                <w:sz w:val="20"/>
                <w:szCs w:val="20"/>
                <w:color w:val="auto"/>
              </w:rPr>
            </w:pPr>
            <w:r>
              <w:rPr>
                <w:rFonts w:ascii="Arial" w:cs="Arial" w:eastAsia="Arial" w:hAnsi="Arial"/>
                <w:sz w:val="12"/>
                <w:szCs w:val="12"/>
                <w:color w:val="auto"/>
              </w:rPr>
              <w:t>Nasdaq Copenhagen</w:t>
            </w:r>
          </w:p>
        </w:tc>
        <w:tc>
          <w:tcPr>
            <w:tcW w:w="4880" w:type="dxa"/>
            <w:vAlign w:val="bottom"/>
            <w:gridSpan w:val="2"/>
          </w:tcPr>
          <w:p>
            <w:pPr>
              <w:ind w:left="840"/>
              <w:spacing w:after="0"/>
              <w:rPr>
                <w:sz w:val="20"/>
                <w:szCs w:val="20"/>
                <w:color w:val="auto"/>
              </w:rPr>
            </w:pPr>
            <w:r>
              <w:rPr>
                <w:rFonts w:ascii="Arial" w:cs="Arial" w:eastAsia="Arial" w:hAnsi="Arial"/>
                <w:sz w:val="12"/>
                <w:szCs w:val="12"/>
                <w:color w:val="auto"/>
              </w:rPr>
              <w:t>Nasdaq Global Select Market, New York</w:t>
            </w:r>
          </w:p>
        </w:tc>
        <w:tc>
          <w:tcPr>
            <w:tcW w:w="0" w:type="dxa"/>
            <w:vAlign w:val="bottom"/>
          </w:tcPr>
          <w:p>
            <w:pPr>
              <w:spacing w:after="0"/>
              <w:rPr>
                <w:sz w:val="1"/>
                <w:szCs w:val="1"/>
                <w:color w:val="auto"/>
              </w:rPr>
            </w:pPr>
          </w:p>
        </w:tc>
      </w:tr>
      <w:tr>
        <w:trPr>
          <w:trHeight w:val="272"/>
        </w:trPr>
        <w:tc>
          <w:tcPr>
            <w:tcW w:w="1980" w:type="dxa"/>
            <w:vAlign w:val="bottom"/>
          </w:tcPr>
          <w:p>
            <w:pPr>
              <w:spacing w:after="0"/>
              <w:rPr>
                <w:sz w:val="20"/>
                <w:szCs w:val="20"/>
                <w:color w:val="auto"/>
              </w:rPr>
            </w:pPr>
            <w:r>
              <w:rPr>
                <w:rFonts w:ascii="Arial" w:cs="Arial" w:eastAsia="Arial" w:hAnsi="Arial"/>
                <w:sz w:val="12"/>
                <w:szCs w:val="12"/>
                <w:color w:val="auto"/>
              </w:rPr>
              <w:t>GMAB</w:t>
            </w:r>
          </w:p>
        </w:tc>
        <w:tc>
          <w:tcPr>
            <w:tcW w:w="1620" w:type="dxa"/>
            <w:vAlign w:val="bottom"/>
          </w:tcPr>
          <w:p>
            <w:pPr>
              <w:ind w:left="840"/>
              <w:spacing w:after="0"/>
              <w:rPr>
                <w:sz w:val="20"/>
                <w:szCs w:val="20"/>
                <w:color w:val="auto"/>
              </w:rPr>
            </w:pPr>
            <w:r>
              <w:rPr>
                <w:rFonts w:ascii="Arial" w:cs="Arial" w:eastAsia="Arial" w:hAnsi="Arial"/>
                <w:sz w:val="12"/>
                <w:szCs w:val="12"/>
                <w:color w:val="auto"/>
              </w:rPr>
              <w:t>GMAB</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2">
            <w:col w:w="1900" w:space="100"/>
            <w:col w:w="7019"/>
          </w:cols>
          <w:pgMar w:left="1440" w:top="484" w:right="1440" w:bottom="1440" w:gutter="0" w:footer="0" w:header="0"/>
          <w:type w:val="continuous"/>
        </w:sectPr>
      </w:pPr>
    </w:p>
    <w:p>
      <w:pPr>
        <w:ind w:left="2000"/>
        <w:spacing w:after="0"/>
        <w:tabs>
          <w:tab w:leader="none" w:pos="4800" w:val="left"/>
        </w:tabs>
        <w:rPr>
          <w:sz w:val="20"/>
          <w:szCs w:val="20"/>
          <w:color w:val="auto"/>
        </w:rPr>
      </w:pPr>
      <w:r>
        <w:rPr>
          <w:rFonts w:ascii="Arial" w:cs="Arial" w:eastAsia="Arial" w:hAnsi="Arial"/>
          <w:sz w:val="12"/>
          <w:szCs w:val="12"/>
          <w:color w:val="auto"/>
        </w:rPr>
        <w:t>OMX Nordic Large Cap Index</w:t>
      </w:r>
      <w:r>
        <w:rPr>
          <w:sz w:val="20"/>
          <w:szCs w:val="20"/>
          <w:color w:val="auto"/>
        </w:rPr>
        <w:tab/>
      </w:r>
      <w:r>
        <w:rPr>
          <w:rFonts w:ascii="Arial" w:cs="Arial" w:eastAsia="Arial" w:hAnsi="Arial"/>
          <w:sz w:val="12"/>
          <w:szCs w:val="12"/>
          <w:color w:val="auto"/>
        </w:rPr>
        <w:t>Nasdaq Biotech</w:t>
      </w:r>
    </w:p>
    <w:p>
      <w:pPr>
        <w:spacing w:after="0" w:line="8" w:lineRule="exact"/>
        <w:rPr>
          <w:sz w:val="20"/>
          <w:szCs w:val="20"/>
          <w:color w:val="auto"/>
        </w:rPr>
      </w:pPr>
    </w:p>
    <w:p>
      <w:pPr>
        <w:ind w:left="20"/>
        <w:spacing w:after="0"/>
        <w:tabs>
          <w:tab w:leader="none" w:pos="1980" w:val="left"/>
          <w:tab w:leader="none" w:pos="4800" w:val="left"/>
        </w:tabs>
        <w:rPr>
          <w:sz w:val="20"/>
          <w:szCs w:val="20"/>
          <w:color w:val="auto"/>
        </w:rPr>
      </w:pPr>
      <w:r>
        <w:rPr>
          <w:rFonts w:ascii="Arial" w:cs="Arial" w:eastAsia="Arial" w:hAnsi="Arial"/>
          <w:sz w:val="12"/>
          <w:szCs w:val="12"/>
          <w:color w:val="auto"/>
        </w:rPr>
        <w:t>Index Membership</w:t>
      </w:r>
      <w:r>
        <w:rPr>
          <w:sz w:val="20"/>
          <w:szCs w:val="20"/>
          <w:color w:val="auto"/>
        </w:rPr>
        <w:tab/>
      </w:r>
      <w:r>
        <w:rPr>
          <w:rFonts w:ascii="Arial" w:cs="Arial" w:eastAsia="Arial" w:hAnsi="Arial"/>
          <w:sz w:val="12"/>
          <w:szCs w:val="12"/>
          <w:color w:val="auto"/>
        </w:rPr>
        <w:t>OMX Copenhagen Benchmark Index</w:t>
      </w:r>
      <w:r>
        <w:rPr>
          <w:sz w:val="20"/>
          <w:szCs w:val="20"/>
          <w:color w:val="auto"/>
        </w:rPr>
        <w:tab/>
      </w:r>
      <w:r>
        <w:rPr>
          <w:rFonts w:ascii="Arial" w:cs="Arial" w:eastAsia="Arial" w:hAnsi="Arial"/>
          <w:sz w:val="12"/>
          <w:szCs w:val="12"/>
          <w:color w:val="auto"/>
        </w:rPr>
        <w:t>Index</w:t>
      </w:r>
    </w:p>
    <w:p>
      <w:pPr>
        <w:ind w:left="2000"/>
        <w:spacing w:after="0" w:line="189" w:lineRule="auto"/>
        <w:rPr>
          <w:sz w:val="20"/>
          <w:szCs w:val="20"/>
          <w:color w:val="auto"/>
        </w:rPr>
      </w:pPr>
      <w:r>
        <w:rPr>
          <w:rFonts w:ascii="Arial" w:cs="Arial" w:eastAsia="Arial" w:hAnsi="Arial"/>
          <w:sz w:val="10"/>
          <w:szCs w:val="10"/>
          <w:color w:val="auto"/>
        </w:rPr>
        <w:t>OMX Copenhagen 25 Index (OMXC25)</w:t>
      </w:r>
    </w:p>
    <w:p>
      <w:pPr>
        <w:ind w:left="20" w:right="139"/>
        <w:spacing w:after="0" w:line="252" w:lineRule="auto"/>
        <w:rPr>
          <w:sz w:val="20"/>
          <w:szCs w:val="20"/>
          <w:color w:val="auto"/>
        </w:rPr>
      </w:pPr>
      <w:r>
        <w:rPr>
          <w:rFonts w:ascii="Arial" w:cs="Arial" w:eastAsia="Arial" w:hAnsi="Arial"/>
          <w:sz w:val="12"/>
          <w:szCs w:val="12"/>
          <w:color w:val="auto"/>
        </w:rPr>
        <w:t>The following shareholders are registered in Genmab’s register of shareholders as being the owner of a minimum of 5% of the voting rights or a minimum of 5% of the share capital (one share equals one vote) as of December 31, 2022:</w:t>
      </w:r>
    </w:p>
    <w:p>
      <w:pPr>
        <w:spacing w:after="0" w:line="56" w:lineRule="exact"/>
        <w:rPr>
          <w:sz w:val="20"/>
          <w:szCs w:val="20"/>
          <w:color w:val="auto"/>
        </w:rPr>
      </w:pPr>
    </w:p>
    <w:p>
      <w:pPr>
        <w:ind w:left="480" w:hanging="222"/>
        <w:spacing w:after="0"/>
        <w:tabs>
          <w:tab w:leader="none" w:pos="480" w:val="left"/>
        </w:tabs>
        <w:numPr>
          <w:ilvl w:val="0"/>
          <w:numId w:val="77"/>
        </w:numPr>
        <w:rPr>
          <w:rFonts w:ascii="Times New Roman" w:cs="Times New Roman" w:eastAsia="Times New Roman" w:hAnsi="Times New Roman"/>
          <w:sz w:val="12"/>
          <w:szCs w:val="12"/>
          <w:color w:val="auto"/>
        </w:rPr>
      </w:pPr>
      <w:r>
        <w:rPr>
          <w:rFonts w:ascii="Arial" w:cs="Arial" w:eastAsia="Arial" w:hAnsi="Arial"/>
          <w:sz w:val="12"/>
          <w:szCs w:val="12"/>
          <w:color w:val="auto"/>
        </w:rPr>
        <w:t>BlackRock, Inc., 55 East 52</w:t>
      </w:r>
      <w:r>
        <w:rPr>
          <w:rFonts w:ascii="Arial" w:cs="Arial" w:eastAsia="Arial" w:hAnsi="Arial"/>
          <w:sz w:val="18"/>
          <w:szCs w:val="18"/>
          <w:color w:val="auto"/>
          <w:vertAlign w:val="superscript"/>
        </w:rPr>
        <w:t>nd</w:t>
      </w:r>
      <w:r>
        <w:rPr>
          <w:rFonts w:ascii="Arial" w:cs="Arial" w:eastAsia="Arial" w:hAnsi="Arial"/>
          <w:sz w:val="12"/>
          <w:szCs w:val="12"/>
          <w:color w:val="auto"/>
        </w:rPr>
        <w:t xml:space="preserve"> Street, New York, New York 10055, United States of America (6.8%)</w:t>
      </w:r>
    </w:p>
    <w:p>
      <w:pPr>
        <w:ind w:left="480" w:hanging="222"/>
        <w:spacing w:after="0"/>
        <w:tabs>
          <w:tab w:leader="none" w:pos="480" w:val="left"/>
        </w:tabs>
        <w:numPr>
          <w:ilvl w:val="0"/>
          <w:numId w:val="77"/>
        </w:numPr>
        <w:rPr>
          <w:rFonts w:ascii="Times New Roman" w:cs="Times New Roman" w:eastAsia="Times New Roman" w:hAnsi="Times New Roman"/>
          <w:sz w:val="12"/>
          <w:szCs w:val="12"/>
          <w:color w:val="auto"/>
        </w:rPr>
      </w:pPr>
      <w:r>
        <w:rPr>
          <w:rFonts w:ascii="Arial" w:cs="Arial" w:eastAsia="Arial" w:hAnsi="Arial"/>
          <w:sz w:val="12"/>
          <w:szCs w:val="12"/>
          <w:color w:val="auto"/>
        </w:rPr>
        <w:t>Wellington Management Group LLP, 280 Congress Street, Boston, Massachusetts, United States of America (6.18%)</w:t>
      </w:r>
    </w:p>
    <w:p>
      <w:pPr>
        <w:spacing w:after="0" w:line="130"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 xml:space="preserve">Shareholders registered in the Company’s shareholder registry may sign up for electronic shareholder communications via Genmab’s investor portal. The investor portal can be accessed at Genmab’s website </w:t>
      </w:r>
      <w:r>
        <w:rPr>
          <w:rFonts w:ascii="Arial" w:cs="Arial" w:eastAsia="Arial" w:hAnsi="Arial"/>
          <w:sz w:val="12"/>
          <w:szCs w:val="12"/>
          <w:color w:val="029C93"/>
        </w:rPr>
        <w:t>www.genmab.com/investors</w:t>
      </w:r>
      <w:r>
        <w:rPr>
          <w:rFonts w:ascii="Arial" w:cs="Arial" w:eastAsia="Arial" w:hAnsi="Arial"/>
          <w:sz w:val="12"/>
          <w:szCs w:val="12"/>
          <w:color w:val="auto"/>
        </w:rPr>
        <w:t>. Electronic shareholder communication enables Genmab to, among other things, quickly and efficiently call general meetings.</w:t>
      </w:r>
    </w:p>
    <w:p>
      <w:pPr>
        <w:spacing w:after="0" w:line="113"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The charts included here illustrate the performance of the Genmab share during 2022 and the geographical distribution of our shareholders. As of December 31, 2022 Genmab’s shares closed at DKK 2,941 and ADSs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 xml:space="preserve">closed at USD 42.38. </w:t>
      </w:r>
      <w:r>
        <w:rPr>
          <w:rFonts w:ascii="Arial" w:cs="Arial" w:eastAsia="Arial" w:hAnsi="Arial"/>
          <w:sz w:val="12"/>
          <w:szCs w:val="12"/>
          <w:color w:val="029C93"/>
        </w:rPr>
        <w:t>Please refer to Note 4.7 of the financial statements for additional information regarding Genmab’s share capital including authorizations to issue</w:t>
      </w:r>
      <w:r>
        <w:rPr>
          <w:rFonts w:ascii="Arial" w:cs="Arial" w:eastAsia="Arial" w:hAnsi="Arial"/>
          <w:sz w:val="12"/>
          <w:szCs w:val="12"/>
          <w:color w:val="auto"/>
        </w:rPr>
        <w:t xml:space="preserve"> </w:t>
      </w:r>
      <w:r>
        <w:rPr>
          <w:rFonts w:ascii="Arial" w:cs="Arial" w:eastAsia="Arial" w:hAnsi="Arial"/>
          <w:sz w:val="12"/>
          <w:szCs w:val="12"/>
          <w:color w:val="029C93"/>
        </w:rPr>
        <w:t>shares and purchase its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73660</wp:posOffset>
            </wp:positionV>
            <wp:extent cx="3723640" cy="4126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23640" cy="412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5" w:name="page76"/>
    <w:bookmarkEnd w:id="7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Genmab is a Foreign Private Issuer as defined in the SEC's rules and regulations. The determination of foreign private issuer status is made annually on June 30. We will next make a determination with respect to our foreign private issuer status on June 30, 2023.</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AMERICAN DEPOSITARY RECEIPT (ADR) PROGRAM</w:t>
      </w:r>
    </w:p>
    <w:p>
      <w:pPr>
        <w:spacing w:after="0" w:line="10" w:lineRule="exact"/>
        <w:rPr>
          <w:sz w:val="20"/>
          <w:szCs w:val="20"/>
          <w:color w:val="auto"/>
        </w:rPr>
      </w:pPr>
    </w:p>
    <w:p>
      <w:pPr>
        <w:ind w:left="20" w:right="79"/>
        <w:spacing w:after="0" w:line="241" w:lineRule="auto"/>
        <w:rPr>
          <w:sz w:val="20"/>
          <w:szCs w:val="20"/>
          <w:color w:val="auto"/>
        </w:rPr>
      </w:pPr>
      <w:r>
        <w:rPr>
          <w:rFonts w:ascii="Arial" w:cs="Arial" w:eastAsia="Arial" w:hAnsi="Arial"/>
          <w:sz w:val="12"/>
          <w:szCs w:val="12"/>
          <w:color w:val="auto"/>
        </w:rPr>
        <w:t xml:space="preserve">Genmab has a sponsored Level 3 ADR program with Deutsche Bank Trust Company Americas. An ADS is a share certificate representing ownership of shares in a non-U.S. corporation. ADSs issued under Genmab’s ADR Program are quoted and traded in U.S. dollars on the Nasdaq Global Select Market in the United States. Ten Genmab ADSs correspond to one Genmab ordinary share. Genmab’s ADR ticker symbol is GMAB. </w:t>
      </w:r>
      <w:r>
        <w:rPr>
          <w:rFonts w:ascii="Arial" w:cs="Arial" w:eastAsia="Arial" w:hAnsi="Arial"/>
          <w:sz w:val="12"/>
          <w:szCs w:val="12"/>
          <w:color w:val="029C93"/>
        </w:rPr>
        <w:t>For more information on Genmab’s ADR Program, visit</w:t>
      </w:r>
      <w:r>
        <w:rPr>
          <w:rFonts w:ascii="Arial" w:cs="Arial" w:eastAsia="Arial" w:hAnsi="Arial"/>
          <w:sz w:val="12"/>
          <w:szCs w:val="12"/>
          <w:color w:val="auto"/>
        </w:rPr>
        <w:t xml:space="preserve"> </w:t>
      </w:r>
      <w:r>
        <w:rPr>
          <w:rFonts w:ascii="Arial" w:cs="Arial" w:eastAsia="Arial" w:hAnsi="Arial"/>
          <w:sz w:val="12"/>
          <w:szCs w:val="12"/>
          <w:color w:val="029C93"/>
        </w:rPr>
        <w:t>https://ir.genmab.com/adr-program#content</w:t>
      </w:r>
      <w:r>
        <w:rPr>
          <w:rFonts w:ascii="Arial" w:cs="Arial" w:eastAsia="Arial" w:hAnsi="Arial"/>
          <w:sz w:val="12"/>
          <w:szCs w:val="12"/>
          <w:color w:val="0000FF"/>
        </w:rPr>
        <w: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INVESTOR RELATIONS</w:t>
      </w:r>
    </w:p>
    <w:p>
      <w:pPr>
        <w:spacing w:after="0" w:line="10" w:lineRule="exact"/>
        <w:rPr>
          <w:sz w:val="20"/>
          <w:szCs w:val="20"/>
          <w:color w:val="auto"/>
        </w:rPr>
      </w:pPr>
    </w:p>
    <w:p>
      <w:pPr>
        <w:ind w:left="20" w:right="99"/>
        <w:spacing w:after="0" w:line="244" w:lineRule="auto"/>
        <w:rPr>
          <w:sz w:val="20"/>
          <w:szCs w:val="20"/>
          <w:color w:val="auto"/>
        </w:rPr>
      </w:pPr>
      <w:r>
        <w:rPr>
          <w:rFonts w:ascii="Arial" w:cs="Arial" w:eastAsia="Arial" w:hAnsi="Arial"/>
          <w:sz w:val="12"/>
          <w:szCs w:val="12"/>
          <w:color w:val="auto"/>
        </w:rPr>
        <w:t>Genmab’s Investor Relations department aims to ensure relevant, accurate and timely information is available to our investors and the financial community. We maintain an ongoing dialogue with sell-side equity analysts, as well as major institutional and retail shareholders. A list of the current analysts covering Genmab can be found at our website along with financial reports, company announcements, current presentations, fact sheets and other downloads.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Contact: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Media Relations:</w:t>
      </w:r>
    </w:p>
    <w:p>
      <w:pPr>
        <w:ind w:left="20"/>
        <w:spacing w:after="0" w:line="236" w:lineRule="auto"/>
        <w:rPr>
          <w:sz w:val="20"/>
          <w:szCs w:val="20"/>
          <w:color w:val="auto"/>
        </w:rPr>
      </w:pPr>
      <w:r>
        <w:rPr>
          <w:rFonts w:ascii="Arial" w:cs="Arial" w:eastAsia="Arial" w:hAnsi="Arial"/>
          <w:sz w:val="12"/>
          <w:szCs w:val="12"/>
          <w:color w:val="auto"/>
        </w:rPr>
        <w:t>Marisol Peron, Senior Vice President, Global Communications &amp; Corporate Affairs</w:t>
      </w:r>
    </w:p>
    <w:p>
      <w:pPr>
        <w:ind w:left="20"/>
        <w:spacing w:after="0"/>
        <w:rPr>
          <w:sz w:val="20"/>
          <w:szCs w:val="20"/>
          <w:color w:val="auto"/>
        </w:rPr>
      </w:pPr>
      <w:r>
        <w:rPr>
          <w:rFonts w:ascii="Arial" w:cs="Arial" w:eastAsia="Arial" w:hAnsi="Arial"/>
          <w:sz w:val="12"/>
          <w:szCs w:val="12"/>
          <w:color w:val="auto"/>
        </w:rPr>
        <w:t xml:space="preserve">T: +1 609 524 0065; E: </w:t>
      </w:r>
      <w:r>
        <w:rPr>
          <w:rFonts w:ascii="Arial" w:cs="Arial" w:eastAsia="Arial" w:hAnsi="Arial"/>
          <w:sz w:val="12"/>
          <w:szCs w:val="12"/>
          <w:color w:val="029C93"/>
        </w:rPr>
        <w:t>mmp@genmab.com</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Investor Relations: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Andrew Carlsen, Vice President, Head of Investor Relations</w:t>
      </w:r>
    </w:p>
    <w:p>
      <w:pPr>
        <w:ind w:left="20"/>
        <w:spacing w:after="0"/>
        <w:rPr>
          <w:sz w:val="20"/>
          <w:szCs w:val="20"/>
          <w:color w:val="auto"/>
        </w:rPr>
      </w:pPr>
      <w:r>
        <w:rPr>
          <w:rFonts w:ascii="Arial" w:cs="Arial" w:eastAsia="Arial" w:hAnsi="Arial"/>
          <w:sz w:val="12"/>
          <w:szCs w:val="12"/>
          <w:color w:val="auto"/>
        </w:rPr>
        <w:t xml:space="preserve">T: +45 33 77 95 58; E: </w:t>
      </w:r>
      <w:r>
        <w:rPr>
          <w:rFonts w:ascii="Arial" w:cs="Arial" w:eastAsia="Arial" w:hAnsi="Arial"/>
          <w:sz w:val="12"/>
          <w:szCs w:val="12"/>
          <w:color w:val="029C93"/>
        </w:rPr>
        <w:t>acn@genmab.com</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Annual General Meeting</w:t>
      </w:r>
    </w:p>
    <w:p>
      <w:pPr>
        <w:spacing w:after="0" w:line="10" w:lineRule="exact"/>
        <w:rPr>
          <w:sz w:val="20"/>
          <w:szCs w:val="20"/>
          <w:color w:val="auto"/>
        </w:rPr>
      </w:pPr>
    </w:p>
    <w:p>
      <w:pPr>
        <w:ind w:left="20" w:right="399"/>
        <w:spacing w:after="0" w:line="252" w:lineRule="auto"/>
        <w:rPr>
          <w:sz w:val="20"/>
          <w:szCs w:val="20"/>
          <w:color w:val="auto"/>
        </w:rPr>
      </w:pPr>
      <w:r>
        <w:rPr>
          <w:rFonts w:ascii="Arial" w:cs="Arial" w:eastAsia="Arial" w:hAnsi="Arial"/>
          <w:sz w:val="12"/>
          <w:szCs w:val="12"/>
          <w:color w:val="auto"/>
        </w:rPr>
        <w:t>Genmab’s Annual General Meeting will be held on March 29, 2023 at 2:00 PM CEST. Further details will be included in the notice to convene the Annual General Meeting.</w:t>
      </w:r>
    </w:p>
    <w:p>
      <w:pPr>
        <w:spacing w:after="0" w:line="119" w:lineRule="exact"/>
        <w:rPr>
          <w:sz w:val="20"/>
          <w:szCs w:val="20"/>
          <w:color w:val="auto"/>
        </w:rPr>
      </w:pPr>
    </w:p>
    <w:tbl>
      <w:tblPr>
        <w:tblLayout w:type="fixed"/>
        <w:tblInd w:w="30" w:type="dxa"/>
        <w:tblCellMar>
          <w:top w:w="0" w:type="dxa"/>
          <w:left w:w="0" w:type="dxa"/>
          <w:bottom w:w="0" w:type="dxa"/>
          <w:right w:w="0" w:type="dxa"/>
        </w:tblCellMar>
      </w:tblPr>
      <w:tr>
        <w:trPr>
          <w:trHeight w:val="190"/>
        </w:trPr>
        <w:tc>
          <w:tcPr>
            <w:tcW w:w="3140" w:type="dxa"/>
            <w:vAlign w:val="bottom"/>
            <w:tcBorders>
              <w:left w:val="single" w:sz="8" w:color="029C93"/>
            </w:tcBorders>
            <w:shd w:val="clear" w:color="auto" w:fill="029C93"/>
          </w:tcPr>
          <w:p>
            <w:pPr>
              <w:ind w:left="80"/>
              <w:spacing w:after="0"/>
              <w:rPr>
                <w:sz w:val="20"/>
                <w:szCs w:val="20"/>
                <w:color w:val="auto"/>
              </w:rPr>
            </w:pPr>
            <w:r>
              <w:rPr>
                <w:rFonts w:ascii="Arial" w:cs="Arial" w:eastAsia="Arial" w:hAnsi="Arial"/>
                <w:sz w:val="12"/>
                <w:szCs w:val="12"/>
                <w:b w:val="1"/>
                <w:bCs w:val="1"/>
                <w:color w:val="FFFFFF"/>
              </w:rPr>
              <w:t>Financial Calendar for 2023</w:t>
            </w:r>
          </w:p>
        </w:tc>
        <w:tc>
          <w:tcPr>
            <w:tcW w:w="780" w:type="dxa"/>
            <w:vAlign w:val="bottom"/>
            <w:shd w:val="clear" w:color="auto" w:fill="029C93"/>
          </w:tcPr>
          <w:p>
            <w:pPr>
              <w:spacing w:after="0"/>
              <w:rPr>
                <w:sz w:val="16"/>
                <w:szCs w:val="16"/>
                <w:color w:val="auto"/>
              </w:rPr>
            </w:pPr>
          </w:p>
        </w:tc>
        <w:tc>
          <w:tcPr>
            <w:tcW w:w="1880" w:type="dxa"/>
            <w:vAlign w:val="bottom"/>
            <w:tcBorders>
              <w:right w:val="single" w:sz="8" w:color="029C93"/>
            </w:tcBorders>
            <w:shd w:val="clear" w:color="auto" w:fill="029C93"/>
          </w:tcPr>
          <w:p>
            <w:pPr>
              <w:spacing w:after="0"/>
              <w:rPr>
                <w:sz w:val="16"/>
                <w:szCs w:val="16"/>
                <w:color w:val="auto"/>
              </w:rPr>
            </w:pPr>
          </w:p>
        </w:tc>
        <w:tc>
          <w:tcPr>
            <w:tcW w:w="3180" w:type="dxa"/>
            <w:vAlign w:val="bottom"/>
            <w:tcBorders>
              <w:right w:val="single" w:sz="8" w:color="029C93"/>
            </w:tcBorders>
            <w:shd w:val="clear" w:color="auto" w:fill="029C93"/>
          </w:tcPr>
          <w:p>
            <w:pPr>
              <w:spacing w:after="0"/>
              <w:rPr>
                <w:sz w:val="16"/>
                <w:szCs w:val="16"/>
                <w:color w:val="auto"/>
              </w:rPr>
            </w:pPr>
          </w:p>
        </w:tc>
      </w:tr>
      <w:tr>
        <w:trPr>
          <w:trHeight w:val="178"/>
        </w:trPr>
        <w:tc>
          <w:tcPr>
            <w:tcW w:w="3140" w:type="dxa"/>
            <w:vAlign w:val="bottom"/>
            <w:tcBorders>
              <w:left w:val="single" w:sz="8" w:color="029C93"/>
            </w:tcBorders>
          </w:tcPr>
          <w:p>
            <w:pPr>
              <w:ind w:left="80"/>
              <w:spacing w:after="0"/>
              <w:rPr>
                <w:sz w:val="20"/>
                <w:szCs w:val="20"/>
                <w:color w:val="auto"/>
              </w:rPr>
            </w:pPr>
            <w:r>
              <w:rPr>
                <w:rFonts w:ascii="Arial" w:cs="Arial" w:eastAsia="Arial" w:hAnsi="Arial"/>
                <w:sz w:val="12"/>
                <w:szCs w:val="12"/>
                <w:color w:val="auto"/>
              </w:rPr>
              <w:t>Annual General Meeting 2023</w:t>
            </w:r>
          </w:p>
        </w:tc>
        <w:tc>
          <w:tcPr>
            <w:tcW w:w="780" w:type="dxa"/>
            <w:vAlign w:val="bottom"/>
          </w:tcPr>
          <w:p>
            <w:pPr>
              <w:spacing w:after="0"/>
              <w:rPr>
                <w:sz w:val="15"/>
                <w:szCs w:val="15"/>
                <w:color w:val="auto"/>
              </w:rPr>
            </w:pPr>
          </w:p>
        </w:tc>
        <w:tc>
          <w:tcPr>
            <w:tcW w:w="1880" w:type="dxa"/>
            <w:vAlign w:val="bottom"/>
            <w:tcBorders>
              <w:right w:val="single" w:sz="8" w:color="029C93"/>
            </w:tcBorders>
          </w:tcPr>
          <w:p>
            <w:pPr>
              <w:spacing w:after="0"/>
              <w:rPr>
                <w:sz w:val="15"/>
                <w:szCs w:val="15"/>
                <w:color w:val="auto"/>
              </w:rPr>
            </w:pPr>
          </w:p>
        </w:tc>
        <w:tc>
          <w:tcPr>
            <w:tcW w:w="3180" w:type="dxa"/>
            <w:vAlign w:val="bottom"/>
            <w:tcBorders>
              <w:right w:val="single" w:sz="8" w:color="029C93"/>
            </w:tcBorders>
          </w:tcPr>
          <w:p>
            <w:pPr>
              <w:ind w:left="40"/>
              <w:spacing w:after="0"/>
              <w:rPr>
                <w:sz w:val="20"/>
                <w:szCs w:val="20"/>
                <w:color w:val="auto"/>
              </w:rPr>
            </w:pPr>
            <w:r>
              <w:rPr>
                <w:rFonts w:ascii="Arial" w:cs="Arial" w:eastAsia="Arial" w:hAnsi="Arial"/>
                <w:sz w:val="12"/>
                <w:szCs w:val="12"/>
                <w:color w:val="auto"/>
              </w:rPr>
              <w:t>Wednesday, March 29, 2023</w:t>
            </w:r>
          </w:p>
        </w:tc>
      </w:tr>
      <w:tr>
        <w:trPr>
          <w:trHeight w:val="185"/>
        </w:trPr>
        <w:tc>
          <w:tcPr>
            <w:tcW w:w="3140" w:type="dxa"/>
            <w:vAlign w:val="bottom"/>
            <w:tcBorders>
              <w:left w:val="single" w:sz="8" w:color="029C93"/>
            </w:tcBorders>
            <w:shd w:val="clear" w:color="auto" w:fill="E5E5E6"/>
          </w:tcPr>
          <w:p>
            <w:pPr>
              <w:ind w:left="80"/>
              <w:spacing w:after="0"/>
              <w:rPr>
                <w:sz w:val="20"/>
                <w:szCs w:val="20"/>
                <w:color w:val="auto"/>
              </w:rPr>
            </w:pPr>
            <w:r>
              <w:rPr>
                <w:rFonts w:ascii="Arial" w:cs="Arial" w:eastAsia="Arial" w:hAnsi="Arial"/>
                <w:sz w:val="12"/>
                <w:szCs w:val="12"/>
                <w:color w:val="auto"/>
              </w:rPr>
              <w:t>Publication of the Interim Report for the first quarter 2023</w:t>
            </w:r>
          </w:p>
        </w:tc>
        <w:tc>
          <w:tcPr>
            <w:tcW w:w="780" w:type="dxa"/>
            <w:vAlign w:val="bottom"/>
            <w:shd w:val="clear" w:color="auto" w:fill="E5E5E6"/>
          </w:tcPr>
          <w:p>
            <w:pPr>
              <w:spacing w:after="0"/>
              <w:rPr>
                <w:sz w:val="16"/>
                <w:szCs w:val="16"/>
                <w:color w:val="auto"/>
              </w:rPr>
            </w:pPr>
          </w:p>
        </w:tc>
        <w:tc>
          <w:tcPr>
            <w:tcW w:w="1880" w:type="dxa"/>
            <w:vAlign w:val="bottom"/>
            <w:tcBorders>
              <w:right w:val="single" w:sz="8" w:color="029C93"/>
            </w:tcBorders>
            <w:shd w:val="clear" w:color="auto" w:fill="E5E5E6"/>
          </w:tcPr>
          <w:p>
            <w:pPr>
              <w:spacing w:after="0"/>
              <w:rPr>
                <w:sz w:val="16"/>
                <w:szCs w:val="16"/>
                <w:color w:val="auto"/>
              </w:rPr>
            </w:pPr>
          </w:p>
        </w:tc>
        <w:tc>
          <w:tcPr>
            <w:tcW w:w="3180" w:type="dxa"/>
            <w:vAlign w:val="bottom"/>
            <w:tcBorders>
              <w:right w:val="single" w:sz="8" w:color="029C93"/>
            </w:tcBorders>
            <w:shd w:val="clear" w:color="auto" w:fill="E5E5E6"/>
          </w:tcPr>
          <w:p>
            <w:pPr>
              <w:ind w:left="40"/>
              <w:spacing w:after="0"/>
              <w:rPr>
                <w:sz w:val="20"/>
                <w:szCs w:val="20"/>
                <w:color w:val="auto"/>
              </w:rPr>
            </w:pPr>
            <w:r>
              <w:rPr>
                <w:rFonts w:ascii="Arial" w:cs="Arial" w:eastAsia="Arial" w:hAnsi="Arial"/>
                <w:sz w:val="12"/>
                <w:szCs w:val="12"/>
                <w:color w:val="auto"/>
              </w:rPr>
              <w:t>Wednesday, May 10, 2023</w:t>
            </w:r>
          </w:p>
        </w:tc>
      </w:tr>
      <w:tr>
        <w:trPr>
          <w:trHeight w:val="178"/>
        </w:trPr>
        <w:tc>
          <w:tcPr>
            <w:tcW w:w="3140" w:type="dxa"/>
            <w:vAlign w:val="bottom"/>
            <w:tcBorders>
              <w:left w:val="single" w:sz="8" w:color="029C93"/>
            </w:tcBorders>
          </w:tcPr>
          <w:p>
            <w:pPr>
              <w:ind w:left="80"/>
              <w:spacing w:after="0"/>
              <w:rPr>
                <w:sz w:val="20"/>
                <w:szCs w:val="20"/>
                <w:color w:val="auto"/>
              </w:rPr>
            </w:pPr>
            <w:r>
              <w:rPr>
                <w:rFonts w:ascii="Arial" w:cs="Arial" w:eastAsia="Arial" w:hAnsi="Arial"/>
                <w:sz w:val="12"/>
                <w:szCs w:val="12"/>
                <w:color w:val="auto"/>
              </w:rPr>
              <w:t>Publication of the Interim Report for the first half 2023</w:t>
            </w:r>
          </w:p>
        </w:tc>
        <w:tc>
          <w:tcPr>
            <w:tcW w:w="780" w:type="dxa"/>
            <w:vAlign w:val="bottom"/>
          </w:tcPr>
          <w:p>
            <w:pPr>
              <w:spacing w:after="0"/>
              <w:rPr>
                <w:sz w:val="15"/>
                <w:szCs w:val="15"/>
                <w:color w:val="auto"/>
              </w:rPr>
            </w:pPr>
          </w:p>
        </w:tc>
        <w:tc>
          <w:tcPr>
            <w:tcW w:w="1880" w:type="dxa"/>
            <w:vAlign w:val="bottom"/>
            <w:tcBorders>
              <w:right w:val="single" w:sz="8" w:color="029C93"/>
            </w:tcBorders>
          </w:tcPr>
          <w:p>
            <w:pPr>
              <w:spacing w:after="0"/>
              <w:rPr>
                <w:sz w:val="15"/>
                <w:szCs w:val="15"/>
                <w:color w:val="auto"/>
              </w:rPr>
            </w:pPr>
          </w:p>
        </w:tc>
        <w:tc>
          <w:tcPr>
            <w:tcW w:w="3180" w:type="dxa"/>
            <w:vAlign w:val="bottom"/>
            <w:tcBorders>
              <w:right w:val="single" w:sz="8" w:color="029C93"/>
            </w:tcBorders>
          </w:tcPr>
          <w:p>
            <w:pPr>
              <w:ind w:left="40"/>
              <w:spacing w:after="0"/>
              <w:rPr>
                <w:sz w:val="20"/>
                <w:szCs w:val="20"/>
                <w:color w:val="auto"/>
              </w:rPr>
            </w:pPr>
            <w:r>
              <w:rPr>
                <w:rFonts w:ascii="Arial" w:cs="Arial" w:eastAsia="Arial" w:hAnsi="Arial"/>
                <w:sz w:val="12"/>
                <w:szCs w:val="12"/>
                <w:color w:val="auto"/>
              </w:rPr>
              <w:t>Thursday, August 3, 2023</w:t>
            </w:r>
          </w:p>
        </w:tc>
      </w:tr>
      <w:tr>
        <w:trPr>
          <w:trHeight w:val="181"/>
        </w:trPr>
        <w:tc>
          <w:tcPr>
            <w:tcW w:w="5800" w:type="dxa"/>
            <w:vAlign w:val="bottom"/>
            <w:tcBorders>
              <w:left w:val="single" w:sz="8" w:color="029C93"/>
              <w:bottom w:val="single" w:sz="8" w:color="029C93"/>
              <w:right w:val="single" w:sz="8" w:color="029C93"/>
            </w:tcBorders>
            <w:gridSpan w:val="3"/>
            <w:shd w:val="clear" w:color="auto" w:fill="E5E5E6"/>
          </w:tcPr>
          <w:p>
            <w:pPr>
              <w:ind w:left="80"/>
              <w:spacing w:after="0"/>
              <w:rPr>
                <w:sz w:val="20"/>
                <w:szCs w:val="20"/>
                <w:color w:val="auto"/>
              </w:rPr>
            </w:pPr>
            <w:r>
              <w:rPr>
                <w:rFonts w:ascii="Arial" w:cs="Arial" w:eastAsia="Arial" w:hAnsi="Arial"/>
                <w:sz w:val="12"/>
                <w:szCs w:val="12"/>
                <w:color w:val="auto"/>
              </w:rPr>
              <w:t>Publication of the Interim Report for the first nine months 2023</w:t>
            </w:r>
          </w:p>
        </w:tc>
        <w:tc>
          <w:tcPr>
            <w:tcW w:w="3180" w:type="dxa"/>
            <w:vAlign w:val="bottom"/>
            <w:tcBorders>
              <w:bottom w:val="single" w:sz="8" w:color="029C93"/>
              <w:right w:val="single" w:sz="8" w:color="029C93"/>
            </w:tcBorders>
            <w:shd w:val="clear" w:color="auto" w:fill="E5E5E6"/>
          </w:tcPr>
          <w:p>
            <w:pPr>
              <w:ind w:left="40"/>
              <w:spacing w:after="0"/>
              <w:rPr>
                <w:sz w:val="20"/>
                <w:szCs w:val="20"/>
                <w:color w:val="auto"/>
              </w:rPr>
            </w:pPr>
            <w:r>
              <w:rPr>
                <w:rFonts w:ascii="Arial" w:cs="Arial" w:eastAsia="Arial" w:hAnsi="Arial"/>
                <w:sz w:val="12"/>
                <w:szCs w:val="12"/>
                <w:color w:val="auto"/>
              </w:rPr>
              <w:t>Tuesday, November 7, 2023</w:t>
            </w:r>
          </w:p>
        </w:tc>
      </w:tr>
      <w:tr>
        <w:trPr>
          <w:trHeight w:val="786"/>
        </w:trPr>
        <w:tc>
          <w:tcPr>
            <w:tcW w:w="3140" w:type="dxa"/>
            <w:vAlign w:val="bottom"/>
          </w:tcPr>
          <w:p>
            <w:pPr>
              <w:spacing w:after="0"/>
              <w:rPr>
                <w:sz w:val="20"/>
                <w:szCs w:val="20"/>
                <w:color w:val="auto"/>
              </w:rPr>
            </w:pPr>
            <w:r>
              <w:rPr>
                <w:rFonts w:ascii="Arial" w:cs="Arial" w:eastAsia="Arial" w:hAnsi="Arial"/>
                <w:sz w:val="10"/>
                <w:szCs w:val="10"/>
                <w:color w:val="auto"/>
              </w:rPr>
              <w:t>Genmab A/S</w:t>
            </w:r>
          </w:p>
        </w:tc>
        <w:tc>
          <w:tcPr>
            <w:tcW w:w="2660" w:type="dxa"/>
            <w:vAlign w:val="bottom"/>
            <w:gridSpan w:val="2"/>
          </w:tcPr>
          <w:p>
            <w:pPr>
              <w:spacing w:after="0"/>
              <w:rPr>
                <w:sz w:val="20"/>
                <w:szCs w:val="20"/>
                <w:color w:val="auto"/>
              </w:rPr>
            </w:pPr>
            <w:r>
              <w:rPr>
                <w:rFonts w:ascii="Arial" w:cs="Arial" w:eastAsia="Arial" w:hAnsi="Arial"/>
                <w:sz w:val="10"/>
                <w:szCs w:val="10"/>
                <w:color w:val="auto"/>
              </w:rPr>
              <w:t>Tel: +45 7020 2728</w:t>
            </w:r>
          </w:p>
        </w:tc>
        <w:tc>
          <w:tcPr>
            <w:tcW w:w="318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31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7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80" w:type="dxa"/>
            <w:vAlign w:val="bottom"/>
          </w:tcPr>
          <w:p>
            <w:pPr>
              <w:jc w:val="right"/>
              <w:spacing w:after="0" w:line="109" w:lineRule="exact"/>
              <w:rPr>
                <w:sz w:val="20"/>
                <w:szCs w:val="20"/>
                <w:color w:val="auto"/>
              </w:rPr>
            </w:pPr>
            <w:r>
              <w:rPr>
                <w:rFonts w:ascii="Arial" w:cs="Arial" w:eastAsia="Arial" w:hAnsi="Arial"/>
                <w:sz w:val="10"/>
                <w:szCs w:val="10"/>
                <w:color w:val="auto"/>
              </w:rPr>
              <w:t>Page 73/158</w:t>
            </w: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660" w:type="dxa"/>
            <w:vAlign w:val="bottom"/>
            <w:gridSpan w:val="2"/>
          </w:tcPr>
          <w:p>
            <w:pPr>
              <w:spacing w:after="0" w:line="105" w:lineRule="exact"/>
              <w:rPr>
                <w:sz w:val="20"/>
                <w:szCs w:val="20"/>
                <w:color w:val="auto"/>
              </w:rPr>
            </w:pPr>
            <w:r>
              <w:rPr>
                <w:rFonts w:ascii="Arial" w:cs="Arial" w:eastAsia="Arial" w:hAnsi="Arial"/>
                <w:sz w:val="10"/>
                <w:szCs w:val="10"/>
                <w:color w:val="0000FF"/>
              </w:rPr>
              <w:t>www.genmab.com</w:t>
            </w:r>
          </w:p>
        </w:tc>
        <w:tc>
          <w:tcPr>
            <w:tcW w:w="318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31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6" w:name="page77"/>
    <w:bookmarkEnd w:id="7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 for the Genmab Group</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Introduction</w:t>
      </w:r>
    </w:p>
    <w:p>
      <w:pPr>
        <w:spacing w:after="0" w:line="141"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The financial statements in the 2022 Annual Report are grouped into the following sections: Primary Statements; Basis of Presentation; Results for the Year; Operating Assets and Liabilities; Capital Structure, Financial Risk and Related Items; and Other Disclosures.</w:t>
      </w:r>
    </w:p>
    <w:p>
      <w:pPr>
        <w:spacing w:after="0" w:line="10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Each note to the financial statements includes information about the accounting policies applied and significant management judgements and estimates in addition to the financial numbers.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7" w:name="page78"/>
    <w:bookmarkEnd w:id="7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Table of Contents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60" w:type="dxa"/>
            <w:vAlign w:val="bottom"/>
            <w:tcBorders>
              <w:bottom w:val="single" w:sz="8" w:color="0000EE"/>
            </w:tcBorders>
            <w:gridSpan w:val="11"/>
          </w:tcPr>
          <w:p>
            <w:pPr>
              <w:spacing w:after="0"/>
              <w:rPr>
                <w:sz w:val="20"/>
                <w:szCs w:val="20"/>
                <w:color w:val="auto"/>
              </w:rPr>
            </w:pPr>
            <w:r>
              <w:rPr>
                <w:rFonts w:ascii="Arial" w:cs="Arial" w:eastAsia="Arial" w:hAnsi="Arial"/>
                <w:sz w:val="11"/>
                <w:szCs w:val="11"/>
                <w:b w:val="1"/>
                <w:bCs w:val="1"/>
                <w:color w:val="0000EE"/>
                <w:w w:val="96"/>
              </w:rPr>
              <w:t>PRIMARY STATEMENTS</w:t>
            </w:r>
          </w:p>
        </w:tc>
        <w:tc>
          <w:tcPr>
            <w:tcW w:w="1760" w:type="dxa"/>
            <w:vAlign w:val="bottom"/>
            <w:gridSpan w:val="19"/>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520" w:type="dxa"/>
            <w:vAlign w:val="bottom"/>
            <w:tcBorders>
              <w:bottom w:val="single" w:sz="8" w:color="0000EE"/>
            </w:tcBorders>
            <w:gridSpan w:val="27"/>
          </w:tcPr>
          <w:p>
            <w:pPr>
              <w:spacing w:after="0" w:line="107" w:lineRule="exact"/>
              <w:rPr>
                <w:sz w:val="20"/>
                <w:szCs w:val="20"/>
                <w:color w:val="auto"/>
              </w:rPr>
            </w:pPr>
            <w:r>
              <w:rPr>
                <w:rFonts w:ascii="Arial" w:cs="Arial" w:eastAsia="Arial" w:hAnsi="Arial"/>
                <w:sz w:val="11"/>
                <w:szCs w:val="11"/>
                <w:color w:val="0000EE"/>
                <w:w w:val="98"/>
              </w:rPr>
              <w:t>Consolidated Statements of Comprehensive Income</w:t>
            </w:r>
          </w:p>
        </w:tc>
        <w:tc>
          <w:tcPr>
            <w:tcW w:w="3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840" w:type="dxa"/>
            <w:vAlign w:val="bottom"/>
            <w:gridSpan w:val="29"/>
          </w:tcPr>
          <w:p>
            <w:pPr>
              <w:spacing w:after="0" w:line="107" w:lineRule="exact"/>
              <w:rPr>
                <w:sz w:val="20"/>
                <w:szCs w:val="20"/>
                <w:color w:val="auto"/>
              </w:rPr>
            </w:pPr>
            <w:r>
              <w:rPr>
                <w:rFonts w:ascii="Arial" w:cs="Arial" w:eastAsia="Arial" w:hAnsi="Arial"/>
                <w:sz w:val="11"/>
                <w:szCs w:val="11"/>
                <w:color w:val="0000EE"/>
              </w:rPr>
              <w:t>Consolidated Balance Sheets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line="20" w:lineRule="exact"/>
              <w:rPr>
                <w:sz w:val="1"/>
                <w:szCs w:val="1"/>
                <w:color w:val="auto"/>
              </w:rPr>
            </w:pPr>
          </w:p>
        </w:tc>
      </w:tr>
      <w:tr>
        <w:trPr>
          <w:trHeight w:val="107"/>
        </w:trPr>
        <w:tc>
          <w:tcPr>
            <w:tcW w:w="180" w:type="dxa"/>
            <w:vAlign w:val="bottom"/>
          </w:tcPr>
          <w:p>
            <w:pPr>
              <w:spacing w:after="0"/>
              <w:rPr>
                <w:sz w:val="9"/>
                <w:szCs w:val="9"/>
                <w:color w:val="auto"/>
              </w:rPr>
            </w:pPr>
          </w:p>
        </w:tc>
        <w:tc>
          <w:tcPr>
            <w:tcW w:w="1940" w:type="dxa"/>
            <w:vAlign w:val="bottom"/>
            <w:tcBorders>
              <w:bottom w:val="single" w:sz="8" w:color="0000EE"/>
            </w:tcBorders>
            <w:gridSpan w:val="23"/>
          </w:tcPr>
          <w:p>
            <w:pPr>
              <w:spacing w:after="0" w:line="107" w:lineRule="exact"/>
              <w:rPr>
                <w:sz w:val="20"/>
                <w:szCs w:val="20"/>
                <w:color w:val="auto"/>
              </w:rPr>
            </w:pPr>
            <w:r>
              <w:rPr>
                <w:rFonts w:ascii="Arial" w:cs="Arial" w:eastAsia="Arial" w:hAnsi="Arial"/>
                <w:sz w:val="11"/>
                <w:szCs w:val="11"/>
                <w:color w:val="0000EE"/>
                <w:w w:val="98"/>
              </w:rPr>
              <w:t>Consolidated Statements of Cash Flows</w:t>
            </w:r>
          </w:p>
        </w:tc>
        <w:tc>
          <w:tcPr>
            <w:tcW w:w="900" w:type="dxa"/>
            <w:vAlign w:val="bottom"/>
            <w:gridSpan w:val="6"/>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840" w:type="dxa"/>
            <w:vAlign w:val="bottom"/>
            <w:gridSpan w:val="29"/>
          </w:tcPr>
          <w:p>
            <w:pPr>
              <w:spacing w:after="0" w:line="107" w:lineRule="exact"/>
              <w:rPr>
                <w:sz w:val="20"/>
                <w:szCs w:val="20"/>
                <w:color w:val="auto"/>
              </w:rPr>
            </w:pPr>
            <w:r>
              <w:rPr>
                <w:rFonts w:ascii="Arial" w:cs="Arial" w:eastAsia="Arial" w:hAnsi="Arial"/>
                <w:sz w:val="11"/>
                <w:szCs w:val="11"/>
                <w:color w:val="0000EE"/>
              </w:rPr>
              <w:t>Consolidated Statements of Changes in Equity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80" w:type="dxa"/>
            <w:vAlign w:val="bottom"/>
            <w:tcBorders>
              <w:bottom w:val="single" w:sz="8" w:color="0000EE"/>
            </w:tcBorders>
            <w:gridSpan w:val="23"/>
          </w:tcPr>
          <w:p>
            <w:pPr>
              <w:spacing w:after="0"/>
              <w:rPr>
                <w:sz w:val="20"/>
                <w:szCs w:val="20"/>
                <w:color w:val="auto"/>
              </w:rPr>
            </w:pPr>
            <w:r>
              <w:rPr>
                <w:rFonts w:ascii="Arial" w:cs="Arial" w:eastAsia="Arial" w:hAnsi="Arial"/>
                <w:sz w:val="11"/>
                <w:szCs w:val="11"/>
                <w:b w:val="1"/>
                <w:bCs w:val="1"/>
                <w:color w:val="0000EE"/>
                <w:w w:val="97"/>
              </w:rPr>
              <w:t>SECTION 1 – BASIS OF PRESENTATION</w:t>
            </w:r>
          </w:p>
        </w:tc>
        <w:tc>
          <w:tcPr>
            <w:tcW w:w="940" w:type="dxa"/>
            <w:vAlign w:val="bottom"/>
            <w:gridSpan w:val="7"/>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1.</w:t>
            </w:r>
            <w:r>
              <w:rPr>
                <w:rFonts w:ascii="Arial" w:cs="Arial" w:eastAsia="Arial" w:hAnsi="Arial"/>
                <w:sz w:val="11"/>
                <w:szCs w:val="11"/>
                <w:u w:val="single" w:color="auto"/>
                <w:color w:val="0000EE"/>
              </w:rPr>
              <w:t>1</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Nature of the Business and Accounting Policies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1.</w:t>
            </w:r>
            <w:r>
              <w:rPr>
                <w:rFonts w:ascii="Arial" w:cs="Arial" w:eastAsia="Arial" w:hAnsi="Arial"/>
                <w:sz w:val="11"/>
                <w:szCs w:val="11"/>
                <w:u w:val="single" w:color="auto"/>
                <w:color w:val="0000EE"/>
              </w:rPr>
              <w:t>2</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New Accounting Policies and Disclosures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1.</w:t>
            </w:r>
            <w:r>
              <w:rPr>
                <w:rFonts w:ascii="Arial" w:cs="Arial" w:eastAsia="Arial" w:hAnsi="Arial"/>
                <w:sz w:val="11"/>
                <w:szCs w:val="11"/>
                <w:u w:val="single" w:color="auto"/>
                <w:color w:val="0000EE"/>
              </w:rPr>
              <w:t>3</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w w:val="98"/>
              </w:rPr>
              <w:t>Management’s Judgements and Estimates under IFRS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40" w:type="dxa"/>
            <w:vAlign w:val="bottom"/>
            <w:tcBorders>
              <w:bottom w:val="single" w:sz="8" w:color="0000EE"/>
            </w:tcBorders>
            <w:gridSpan w:val="22"/>
          </w:tcPr>
          <w:p>
            <w:pPr>
              <w:spacing w:after="0"/>
              <w:rPr>
                <w:sz w:val="20"/>
                <w:szCs w:val="20"/>
                <w:color w:val="auto"/>
              </w:rPr>
            </w:pPr>
            <w:r>
              <w:rPr>
                <w:rFonts w:ascii="Arial" w:cs="Arial" w:eastAsia="Arial" w:hAnsi="Arial"/>
                <w:sz w:val="11"/>
                <w:szCs w:val="11"/>
                <w:b w:val="1"/>
                <w:bCs w:val="1"/>
                <w:color w:val="0000EE"/>
                <w:w w:val="97"/>
              </w:rPr>
              <w:t>SECTION 2 – RESULTS FOR THE YEAR</w:t>
            </w:r>
          </w:p>
        </w:tc>
        <w:tc>
          <w:tcPr>
            <w:tcW w:w="980" w:type="dxa"/>
            <w:vAlign w:val="bottom"/>
            <w:gridSpan w:val="8"/>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2.</w:t>
            </w:r>
            <w:r>
              <w:rPr>
                <w:rFonts w:ascii="Arial" w:cs="Arial" w:eastAsia="Arial" w:hAnsi="Arial"/>
                <w:sz w:val="11"/>
                <w:szCs w:val="11"/>
                <w:u w:val="single" w:color="auto"/>
                <w:color w:val="0000EE"/>
              </w:rPr>
              <w:t>1</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Revenue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2.</w:t>
            </w:r>
            <w:r>
              <w:rPr>
                <w:rFonts w:ascii="Arial" w:cs="Arial" w:eastAsia="Arial" w:hAnsi="Arial"/>
                <w:sz w:val="11"/>
                <w:szCs w:val="11"/>
                <w:u w:val="single" w:color="auto"/>
                <w:color w:val="0000EE"/>
              </w:rPr>
              <w:t>2</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Information about Geographical Areas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2.</w:t>
            </w:r>
            <w:r>
              <w:rPr>
                <w:rFonts w:ascii="Arial" w:cs="Arial" w:eastAsia="Arial" w:hAnsi="Arial"/>
                <w:sz w:val="11"/>
                <w:szCs w:val="11"/>
                <w:u w:val="single" w:color="auto"/>
                <w:color w:val="0000EE"/>
              </w:rPr>
              <w:t>3</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Staff Costs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2.</w:t>
            </w:r>
            <w:r>
              <w:rPr>
                <w:rFonts w:ascii="Arial" w:cs="Arial" w:eastAsia="Arial" w:hAnsi="Arial"/>
                <w:sz w:val="11"/>
                <w:szCs w:val="11"/>
                <w:u w:val="single" w:color="auto"/>
                <w:color w:val="0000EE"/>
              </w:rPr>
              <w:t>4</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Corporate and Deferred Tax</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2.</w:t>
            </w:r>
            <w:r>
              <w:rPr>
                <w:rFonts w:ascii="Arial" w:cs="Arial" w:eastAsia="Arial" w:hAnsi="Arial"/>
                <w:sz w:val="11"/>
                <w:szCs w:val="11"/>
                <w:u w:val="single" w:color="auto"/>
                <w:color w:val="0000EE"/>
              </w:rPr>
              <w:t>5</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Profit Per Share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tcBorders>
              <w:bottom w:val="single" w:sz="8" w:color="0000EE"/>
            </w:tcBorders>
            <w:gridSpan w:val="29"/>
          </w:tcPr>
          <w:p>
            <w:pPr>
              <w:spacing w:after="0"/>
              <w:rPr>
                <w:sz w:val="20"/>
                <w:szCs w:val="20"/>
                <w:color w:val="auto"/>
              </w:rPr>
            </w:pPr>
            <w:r>
              <w:rPr>
                <w:rFonts w:ascii="Arial" w:cs="Arial" w:eastAsia="Arial" w:hAnsi="Arial"/>
                <w:sz w:val="11"/>
                <w:szCs w:val="11"/>
                <w:b w:val="1"/>
                <w:bCs w:val="1"/>
                <w:color w:val="0000EE"/>
                <w:w w:val="97"/>
              </w:rPr>
              <w:t>SECTION 3 – OPERATING ASSETS AND LIABILITIES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1</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Intangible Assets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2</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Property and Equipment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96</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3</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Leases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4</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Other Investments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5</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Receivables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6</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Deferred Revenue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3.</w:t>
            </w:r>
            <w:r>
              <w:rPr>
                <w:rFonts w:ascii="Arial" w:cs="Arial" w:eastAsia="Arial" w:hAnsi="Arial"/>
                <w:sz w:val="11"/>
                <w:szCs w:val="11"/>
                <w:u w:val="single" w:color="auto"/>
                <w:color w:val="0000EE"/>
              </w:rPr>
              <w:t>7</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Other Payables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760" w:type="dxa"/>
            <w:vAlign w:val="bottom"/>
            <w:gridSpan w:val="36"/>
          </w:tcPr>
          <w:p>
            <w:pPr>
              <w:spacing w:after="0"/>
              <w:rPr>
                <w:sz w:val="20"/>
                <w:szCs w:val="20"/>
                <w:color w:val="auto"/>
              </w:rPr>
            </w:pPr>
            <w:r>
              <w:rPr>
                <w:rFonts w:ascii="Arial" w:cs="Arial" w:eastAsia="Arial" w:hAnsi="Arial"/>
                <w:sz w:val="11"/>
                <w:szCs w:val="11"/>
                <w:b w:val="1"/>
                <w:bCs w:val="1"/>
                <w:color w:val="0000EE"/>
              </w:rPr>
              <w:t>SECTION 4 – CAPITAL STRUCTURE, FINANCIAL RISK AND RELATED ITEMS</w:t>
            </w:r>
          </w:p>
        </w:tc>
        <w:tc>
          <w:tcPr>
            <w:tcW w:w="3200" w:type="dxa"/>
            <w:vAlign w:val="bottom"/>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07"/>
        </w:trPr>
        <w:tc>
          <w:tcPr>
            <w:tcW w:w="360" w:type="dxa"/>
            <w:vAlign w:val="bottom"/>
            <w:tcBorders>
              <w:top w:val="single" w:sz="8" w:color="0000EE"/>
            </w:tcBorders>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1</w:t>
            </w:r>
          </w:p>
        </w:tc>
        <w:tc>
          <w:tcPr>
            <w:tcW w:w="2660" w:type="dxa"/>
            <w:vAlign w:val="bottom"/>
            <w:tcBorders>
              <w:top w:val="single" w:sz="8" w:color="0000EE"/>
            </w:tcBorders>
            <w:gridSpan w:val="28"/>
          </w:tcPr>
          <w:p>
            <w:pPr>
              <w:ind w:left="20"/>
              <w:spacing w:after="0" w:line="107" w:lineRule="exact"/>
              <w:rPr>
                <w:sz w:val="20"/>
                <w:szCs w:val="20"/>
                <w:color w:val="auto"/>
              </w:rPr>
            </w:pPr>
            <w:r>
              <w:rPr>
                <w:rFonts w:ascii="Arial" w:cs="Arial" w:eastAsia="Arial" w:hAnsi="Arial"/>
                <w:sz w:val="11"/>
                <w:szCs w:val="11"/>
                <w:color w:val="0000EE"/>
              </w:rPr>
              <w:t>Capital Management</w:t>
            </w:r>
          </w:p>
        </w:tc>
        <w:tc>
          <w:tcPr>
            <w:tcW w:w="1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26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2</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Financial Risk</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3</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Financial Assets and Liabilities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109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4</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Marketable Securities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5</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Financial Income and Expenses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6</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Share-Based Instruments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119</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4.</w:t>
            </w:r>
            <w:r>
              <w:rPr>
                <w:rFonts w:ascii="Arial" w:cs="Arial" w:eastAsia="Arial" w:hAnsi="Arial"/>
                <w:sz w:val="11"/>
                <w:szCs w:val="11"/>
                <w:u w:val="single" w:color="auto"/>
                <w:color w:val="0000EE"/>
              </w:rPr>
              <w:t>7</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Share Capital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20" w:type="dxa"/>
            <w:vAlign w:val="bottom"/>
            <w:tcBorders>
              <w:bottom w:val="single" w:sz="8" w:color="0000EE"/>
            </w:tcBorders>
            <w:gridSpan w:val="21"/>
          </w:tcPr>
          <w:p>
            <w:pPr>
              <w:spacing w:after="0"/>
              <w:rPr>
                <w:sz w:val="20"/>
                <w:szCs w:val="20"/>
                <w:color w:val="auto"/>
              </w:rPr>
            </w:pPr>
            <w:r>
              <w:rPr>
                <w:rFonts w:ascii="Arial" w:cs="Arial" w:eastAsia="Arial" w:hAnsi="Arial"/>
                <w:sz w:val="11"/>
                <w:szCs w:val="11"/>
                <w:b w:val="1"/>
                <w:bCs w:val="1"/>
                <w:color w:val="0000EE"/>
                <w:w w:val="98"/>
              </w:rPr>
              <w:t>SECTION 5 – OTHER DISCLOSURES</w:t>
            </w:r>
          </w:p>
        </w:tc>
        <w:tc>
          <w:tcPr>
            <w:tcW w:w="1100" w:type="dxa"/>
            <w:vAlign w:val="bottom"/>
            <w:gridSpan w:val="9"/>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1</w:t>
            </w:r>
          </w:p>
        </w:tc>
        <w:tc>
          <w:tcPr>
            <w:tcW w:w="5400" w:type="dxa"/>
            <w:vAlign w:val="bottom"/>
            <w:gridSpan w:val="34"/>
          </w:tcPr>
          <w:p>
            <w:pPr>
              <w:ind w:left="20"/>
              <w:spacing w:after="0" w:line="107" w:lineRule="exact"/>
              <w:rPr>
                <w:sz w:val="20"/>
                <w:szCs w:val="20"/>
                <w:color w:val="auto"/>
              </w:rPr>
            </w:pPr>
            <w:r>
              <w:rPr>
                <w:rFonts w:ascii="Arial" w:cs="Arial" w:eastAsia="Arial" w:hAnsi="Arial"/>
                <w:sz w:val="11"/>
                <w:szCs w:val="11"/>
                <w:color w:val="0000EE"/>
              </w:rPr>
              <w:t>Remuneration of the Board of Directors and Executive Management</w:t>
            </w: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2</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Related Party Disclosures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3</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Commitments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4</w:t>
            </w:r>
          </w:p>
        </w:tc>
        <w:tc>
          <w:tcPr>
            <w:tcW w:w="5400" w:type="dxa"/>
            <w:vAlign w:val="bottom"/>
            <w:gridSpan w:val="34"/>
          </w:tcPr>
          <w:p>
            <w:pPr>
              <w:ind w:left="20"/>
              <w:spacing w:after="0" w:line="107" w:lineRule="exact"/>
              <w:rPr>
                <w:sz w:val="20"/>
                <w:szCs w:val="20"/>
                <w:color w:val="auto"/>
              </w:rPr>
            </w:pPr>
            <w:r>
              <w:rPr>
                <w:rFonts w:ascii="Arial" w:cs="Arial" w:eastAsia="Arial" w:hAnsi="Arial"/>
                <w:sz w:val="11"/>
                <w:szCs w:val="11"/>
                <w:color w:val="0000EE"/>
              </w:rPr>
              <w:t>Fees to Auditors Appointed at the Annual General Meeting</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840" w:type="dxa"/>
            <w:vAlign w:val="bottom"/>
            <w:tcBorders>
              <w:top w:val="single" w:sz="8" w:color="0000EE"/>
            </w:tcBorders>
            <w:gridSpan w:val="29"/>
          </w:tcPr>
          <w:p>
            <w:pPr>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5</w:t>
            </w:r>
            <w:r>
              <w:rPr>
                <w:rFonts w:ascii="Arial" w:cs="Arial" w:eastAsia="Arial" w:hAnsi="Arial"/>
                <w:sz w:val="11"/>
                <w:szCs w:val="11"/>
                <w:color w:val="0000EE"/>
              </w:rPr>
              <w:t xml:space="preserve"> Adjustments to Cash Flow Statements</w:t>
            </w:r>
          </w:p>
        </w:tc>
        <w:tc>
          <w:tcPr>
            <w:tcW w:w="1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900" w:type="dxa"/>
            <w:vAlign w:val="bottom"/>
            <w:gridSpan w:val="1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0" w:type="dxa"/>
            <w:vAlign w:val="bottom"/>
            <w:vMerge w:val="restart"/>
          </w:tcPr>
          <w:p>
            <w:pPr>
              <w:jc w:val="right"/>
              <w:spacing w:after="0"/>
              <w:rPr>
                <w:sz w:val="20"/>
                <w:szCs w:val="20"/>
                <w:color w:val="auto"/>
              </w:rPr>
            </w:pPr>
            <w:r>
              <w:rPr>
                <w:rFonts w:ascii="Arial" w:cs="Arial" w:eastAsia="Arial" w:hAnsi="Arial"/>
                <w:sz w:val="11"/>
                <w:szCs w:val="11"/>
                <w:color w:val="auto"/>
              </w:rPr>
              <w:t>125</w:t>
            </w:r>
          </w:p>
        </w:tc>
        <w:tc>
          <w:tcPr>
            <w:tcW w:w="0" w:type="dxa"/>
            <w:vAlign w:val="bottom"/>
          </w:tcPr>
          <w:p>
            <w:pPr>
              <w:spacing w:after="0" w:line="20" w:lineRule="exact"/>
              <w:rPr>
                <w:sz w:val="1"/>
                <w:szCs w:val="1"/>
                <w:color w:val="auto"/>
              </w:rPr>
            </w:pPr>
          </w:p>
        </w:tc>
      </w:tr>
      <w:tr>
        <w:trPr>
          <w:trHeight w:val="107"/>
        </w:trPr>
        <w:tc>
          <w:tcPr>
            <w:tcW w:w="360" w:type="dxa"/>
            <w:vAlign w:val="bottom"/>
            <w:gridSpan w:val="2"/>
          </w:tcPr>
          <w:p>
            <w:pPr>
              <w:ind w:left="180"/>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6</w:t>
            </w:r>
          </w:p>
        </w:tc>
        <w:tc>
          <w:tcPr>
            <w:tcW w:w="2660" w:type="dxa"/>
            <w:vAlign w:val="bottom"/>
            <w:gridSpan w:val="28"/>
          </w:tcPr>
          <w:p>
            <w:pPr>
              <w:ind w:left="20"/>
              <w:spacing w:after="0" w:line="107" w:lineRule="exact"/>
              <w:rPr>
                <w:sz w:val="20"/>
                <w:szCs w:val="20"/>
                <w:color w:val="auto"/>
              </w:rPr>
            </w:pPr>
            <w:r>
              <w:rPr>
                <w:rFonts w:ascii="Arial" w:cs="Arial" w:eastAsia="Arial" w:hAnsi="Arial"/>
                <w:sz w:val="11"/>
                <w:szCs w:val="11"/>
                <w:color w:val="0000EE"/>
              </w:rPr>
              <w:t>Collaborations and Technology Licenses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200" w:type="dxa"/>
            <w:vAlign w:val="bottom"/>
            <w:tcBorders>
              <w:top w:val="single" w:sz="8" w:color="0000EE"/>
            </w:tcBorders>
            <w:gridSpan w:val="25"/>
          </w:tcPr>
          <w:p>
            <w:pPr>
              <w:spacing w:after="0" w:line="107" w:lineRule="exact"/>
              <w:rPr>
                <w:sz w:val="20"/>
                <w:szCs w:val="20"/>
                <w:color w:val="auto"/>
              </w:rPr>
            </w:pPr>
            <w:r>
              <w:rPr>
                <w:rFonts w:ascii="Arial" w:cs="Arial" w:eastAsia="Arial" w:hAnsi="Arial"/>
                <w:sz w:val="11"/>
                <w:szCs w:val="11"/>
                <w:color w:val="0000EE"/>
              </w:rPr>
              <w:t>5.</w:t>
            </w:r>
            <w:r>
              <w:rPr>
                <w:rFonts w:ascii="Arial" w:cs="Arial" w:eastAsia="Arial" w:hAnsi="Arial"/>
                <w:sz w:val="11"/>
                <w:szCs w:val="11"/>
                <w:u w:val="single" w:color="auto"/>
                <w:color w:val="0000EE"/>
              </w:rPr>
              <w:t>7</w:t>
            </w:r>
            <w:r>
              <w:rPr>
                <w:rFonts w:ascii="Arial" w:cs="Arial" w:eastAsia="Arial" w:hAnsi="Arial"/>
                <w:sz w:val="11"/>
                <w:szCs w:val="11"/>
                <w:color w:val="0000EE"/>
              </w:rPr>
              <w:t xml:space="preserve"> Subsequent Events</w:t>
            </w:r>
          </w:p>
        </w:tc>
        <w:tc>
          <w:tcPr>
            <w:tcW w:w="640" w:type="dxa"/>
            <w:vAlign w:val="bottom"/>
            <w:gridSpan w:val="4"/>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7" w:lineRule="exact"/>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40" w:type="dxa"/>
            <w:vAlign w:val="bottom"/>
            <w:gridSpan w:val="12"/>
            <w:shd w:val="clear" w:color="auto" w:fill="0000EE"/>
          </w:tcPr>
          <w:p>
            <w:pPr>
              <w:spacing w:after="0" w:line="20" w:lineRule="exact"/>
              <w:rPr>
                <w:sz w:val="1"/>
                <w:szCs w:val="1"/>
                <w:color w:val="auto"/>
              </w:rPr>
            </w:pPr>
          </w:p>
        </w:tc>
        <w:tc>
          <w:tcPr>
            <w:tcW w:w="1700" w:type="dxa"/>
            <w:vAlign w:val="bottom"/>
            <w:gridSpan w:val="17"/>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020" w:type="dxa"/>
            <w:vAlign w:val="bottom"/>
            <w:gridSpan w:val="30"/>
          </w:tcPr>
          <w:p>
            <w:pPr>
              <w:spacing w:after="0"/>
              <w:rPr>
                <w:sz w:val="20"/>
                <w:szCs w:val="20"/>
                <w:color w:val="auto"/>
              </w:rPr>
            </w:pPr>
            <w:r>
              <w:rPr>
                <w:rFonts w:ascii="Arial" w:cs="Arial" w:eastAsia="Arial" w:hAnsi="Arial"/>
                <w:sz w:val="10"/>
                <w:szCs w:val="10"/>
                <w:color w:val="auto"/>
              </w:rPr>
              <w:t>Genmab A/S</w:t>
            </w:r>
          </w:p>
        </w:tc>
        <w:tc>
          <w:tcPr>
            <w:tcW w:w="2740" w:type="dxa"/>
            <w:vAlign w:val="bottom"/>
            <w:gridSpan w:val="6"/>
          </w:tcPr>
          <w:p>
            <w:pPr>
              <w:ind w:left="12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3020" w:type="dxa"/>
            <w:vAlign w:val="bottom"/>
            <w:gridSpan w:val="30"/>
          </w:tcPr>
          <w:p>
            <w:pPr>
              <w:spacing w:after="0" w:line="109" w:lineRule="exact"/>
              <w:rPr>
                <w:sz w:val="20"/>
                <w:szCs w:val="20"/>
                <w:color w:val="auto"/>
              </w:rPr>
            </w:pPr>
            <w:r>
              <w:rPr>
                <w:rFonts w:ascii="Arial" w:cs="Arial" w:eastAsia="Arial" w:hAnsi="Arial"/>
                <w:sz w:val="10"/>
                <w:szCs w:val="10"/>
                <w:color w:val="auto"/>
              </w:rPr>
              <w:t>Kalvebod Brygge 43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75/158</w:t>
            </w:r>
          </w:p>
        </w:tc>
        <w:tc>
          <w:tcPr>
            <w:tcW w:w="0" w:type="dxa"/>
            <w:vAlign w:val="bottom"/>
          </w:tcPr>
          <w:p>
            <w:pPr>
              <w:spacing w:after="0"/>
              <w:rPr>
                <w:sz w:val="1"/>
                <w:szCs w:val="1"/>
                <w:color w:val="auto"/>
              </w:rPr>
            </w:pPr>
          </w:p>
        </w:tc>
      </w:tr>
      <w:tr>
        <w:trPr>
          <w:trHeight w:val="105"/>
        </w:trPr>
        <w:tc>
          <w:tcPr>
            <w:tcW w:w="3020" w:type="dxa"/>
            <w:vAlign w:val="bottom"/>
            <w:gridSpan w:val="30"/>
          </w:tcPr>
          <w:p>
            <w:pPr>
              <w:spacing w:after="0" w:line="105" w:lineRule="exact"/>
              <w:rPr>
                <w:sz w:val="20"/>
                <w:szCs w:val="20"/>
                <w:color w:val="auto"/>
              </w:rPr>
            </w:pPr>
            <w:r>
              <w:rPr>
                <w:rFonts w:ascii="Arial" w:cs="Arial" w:eastAsia="Arial" w:hAnsi="Arial"/>
                <w:sz w:val="10"/>
                <w:szCs w:val="10"/>
                <w:color w:val="auto"/>
              </w:rPr>
              <w:t>1560 Copenhagen V, Denmark</w:t>
            </w:r>
          </w:p>
        </w:tc>
        <w:tc>
          <w:tcPr>
            <w:tcW w:w="2740" w:type="dxa"/>
            <w:vAlign w:val="bottom"/>
            <w:gridSpan w:val="6"/>
          </w:tcPr>
          <w:p>
            <w:pPr>
              <w:ind w:left="12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46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78" w:name="page79"/>
    <w:bookmarkEnd w:id="7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Primary Statements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INCOME STATEMENT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(DKK million)</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Revenue</w:t>
      </w:r>
    </w:p>
    <w:p>
      <w:pPr>
        <w:spacing w:after="0" w:line="143" w:lineRule="exact"/>
        <w:rPr>
          <w:sz w:val="20"/>
          <w:szCs w:val="20"/>
          <w:color w:val="auto"/>
        </w:rPr>
      </w:pPr>
    </w:p>
    <w:p>
      <w:pPr>
        <w:ind w:left="20" w:right="1620"/>
        <w:spacing w:after="0" w:line="254" w:lineRule="auto"/>
        <w:rPr>
          <w:sz w:val="20"/>
          <w:szCs w:val="20"/>
          <w:color w:val="auto"/>
        </w:rPr>
      </w:pPr>
      <w:r>
        <w:rPr>
          <w:rFonts w:ascii="Arial" w:cs="Arial" w:eastAsia="Arial" w:hAnsi="Arial"/>
          <w:sz w:val="12"/>
          <w:szCs w:val="12"/>
          <w:color w:val="auto"/>
        </w:rPr>
        <w:t>Research and development expenses Selling, general and administrative expenses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expenses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profit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Financial income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Financial expenses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profit before tax</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Corporate tax</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profit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Basic net profit per share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Diluted net profit per share</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Statement of Comprehensive Income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profit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comprehensive income: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Amounts which may be re-classified to the income statement: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Exchange differences on translation of foreign operations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comprehensive income</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tcPr>
          <w:p>
            <w:pPr>
              <w:spacing w:after="0"/>
              <w:rPr>
                <w:sz w:val="20"/>
                <w:szCs w:val="20"/>
                <w:color w:val="auto"/>
              </w:rPr>
            </w:pPr>
            <w:r>
              <w:rPr>
                <w:rFonts w:ascii="Arial" w:cs="Arial" w:eastAsia="Arial" w:hAnsi="Arial"/>
                <w:sz w:val="10"/>
                <w:szCs w:val="10"/>
                <w:color w:val="auto"/>
              </w:rPr>
              <w:t>Genmab A/S</w:t>
            </w:r>
          </w:p>
        </w:tc>
        <w:tc>
          <w:tcPr>
            <w:tcW w:w="820" w:type="dxa"/>
            <w:vAlign w:val="bottom"/>
            <w:gridSpan w:val="2"/>
          </w:tcPr>
          <w:p>
            <w:pPr>
              <w:spacing w:after="0"/>
              <w:rPr>
                <w:sz w:val="20"/>
                <w:szCs w:val="20"/>
                <w:color w:val="auto"/>
              </w:rPr>
            </w:pPr>
            <w:r>
              <w:rPr>
                <w:rFonts w:ascii="Arial" w:cs="Arial" w:eastAsia="Arial" w:hAnsi="Arial"/>
                <w:sz w:val="10"/>
                <w:szCs w:val="10"/>
                <w:color w:val="auto"/>
                <w:w w:val="92"/>
              </w:rPr>
              <w:t>Tel: +45 7020 2728</w:t>
            </w:r>
          </w:p>
        </w:tc>
      </w:tr>
      <w:tr>
        <w:trPr>
          <w:trHeight w:val="109"/>
        </w:trPr>
        <w:tc>
          <w:tcPr>
            <w:tcW w:w="31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820" w:type="dxa"/>
            <w:vAlign w:val="bottom"/>
            <w:gridSpan w:val="2"/>
          </w:tcPr>
          <w:p>
            <w:pPr>
              <w:spacing w:after="0" w:line="105" w:lineRule="exact"/>
              <w:rPr>
                <w:sz w:val="20"/>
                <w:szCs w:val="20"/>
                <w:color w:val="auto"/>
              </w:rPr>
            </w:pPr>
            <w:r>
              <w:rPr>
                <w:rFonts w:ascii="Arial" w:cs="Arial" w:eastAsia="Arial" w:hAnsi="Arial"/>
                <w:sz w:val="10"/>
                <w:szCs w:val="10"/>
                <w:color w:val="0000FF"/>
                <w:w w:val="97"/>
              </w:rPr>
              <w:t>www.genmab.com</w:t>
            </w: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6985</wp:posOffset>
            </wp:positionV>
            <wp:extent cx="5353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305" cy="5715"/>
                    </a:xfrm>
                    <a:prstGeom prst="rect">
                      <a:avLst/>
                    </a:prstGeom>
                    <a:noFill/>
                  </pic:spPr>
                </pic:pic>
              </a:graphicData>
            </a:graphic>
          </wp:anchor>
        </w:drawing>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10"/>
          <w:szCs w:val="10"/>
          <w:color w:val="auto"/>
        </w:rPr>
        <w:t>2.1, 2.2</w:t>
      </w:r>
    </w:p>
    <w:p>
      <w:pPr>
        <w:spacing w:after="0" w:line="166" w:lineRule="exact"/>
        <w:rPr>
          <w:sz w:val="20"/>
          <w:szCs w:val="20"/>
          <w:color w:val="auto"/>
        </w:rPr>
      </w:pPr>
    </w:p>
    <w:p>
      <w:pPr>
        <w:spacing w:after="0"/>
        <w:rPr>
          <w:sz w:val="20"/>
          <w:szCs w:val="20"/>
          <w:color w:val="auto"/>
        </w:rPr>
      </w:pPr>
      <w:r>
        <w:rPr>
          <w:rFonts w:ascii="Arial" w:cs="Arial" w:eastAsia="Arial" w:hAnsi="Arial"/>
          <w:sz w:val="8"/>
          <w:szCs w:val="8"/>
          <w:color w:val="auto"/>
        </w:rPr>
        <w:t>2.3, 3.1, 3.2</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0"/>
          <w:szCs w:val="10"/>
          <w:color w:val="auto"/>
        </w:rPr>
        <w:t>2.3, 3.2</w:t>
      </w: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0"/>
          <w:szCs w:val="10"/>
          <w:color w:val="auto"/>
        </w:rPr>
        <w:t>4.5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4.5</w:t>
      </w: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0"/>
          <w:szCs w:val="10"/>
          <w:color w:val="auto"/>
        </w:rPr>
        <w:t>2.4</w:t>
      </w: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0"/>
          <w:szCs w:val="10"/>
          <w:color w:val="auto"/>
        </w:rPr>
        <w:t>2.5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1800860</wp:posOffset>
            </wp:positionV>
            <wp:extent cx="56921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259"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14,595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(5,562)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0</wp:posOffset>
            </wp:positionV>
            <wp:extent cx="7137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b w:val="1"/>
          <w:bCs w:val="1"/>
          <w:color w:val="auto"/>
        </w:rPr>
        <w:t>(8,238)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0</wp:posOffset>
            </wp:positionV>
            <wp:extent cx="7137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6,357</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1,358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0</wp:posOffset>
            </wp:positionV>
            <wp:extent cx="7137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7,035</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5,522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84.45</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83.65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85725</wp:posOffset>
            </wp:positionV>
            <wp:extent cx="7137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color w:val="auto"/>
        </w:rPr>
        <w:t>5,522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123"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color w:val="auto"/>
        </w:rPr>
        <w:t>5,539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7137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20"/>
        <w:spacing w:after="0"/>
        <w:tabs>
          <w:tab w:leader="none" w:pos="1600" w:val="left"/>
        </w:tabs>
        <w:rPr>
          <w:sz w:val="20"/>
          <w:szCs w:val="20"/>
          <w:color w:val="auto"/>
        </w:rPr>
      </w:pPr>
      <w:r>
        <w:rPr>
          <w:rFonts w:ascii="Arial" w:cs="Arial" w:eastAsia="Arial" w:hAnsi="Arial"/>
          <w:sz w:val="12"/>
          <w:szCs w:val="12"/>
          <w:color w:val="auto"/>
        </w:rPr>
        <w:t>2021</w:t>
      </w:r>
      <w:r>
        <w:rPr>
          <w:sz w:val="20"/>
          <w:szCs w:val="20"/>
          <w:color w:val="auto"/>
        </w:rPr>
        <w:tab/>
      </w:r>
      <w:r>
        <w:rPr>
          <w:rFonts w:ascii="Arial" w:cs="Arial" w:eastAsia="Arial" w:hAnsi="Arial"/>
          <w:sz w:val="12"/>
          <w:szCs w:val="12"/>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-976630</wp:posOffset>
            </wp:positionV>
            <wp:extent cx="1323975" cy="385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14732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259" w:lineRule="exact"/>
        <w:rPr>
          <w:sz w:val="20"/>
          <w:szCs w:val="20"/>
          <w:color w:val="auto"/>
        </w:rPr>
      </w:pPr>
    </w:p>
    <w:p>
      <w:pPr>
        <w:ind w:left="800"/>
        <w:spacing w:after="0"/>
        <w:tabs>
          <w:tab w:leader="none" w:pos="1900" w:val="left"/>
        </w:tabs>
        <w:rPr>
          <w:sz w:val="20"/>
          <w:szCs w:val="20"/>
          <w:color w:val="auto"/>
        </w:rPr>
      </w:pPr>
      <w:r>
        <w:rPr>
          <w:rFonts w:ascii="Arial" w:cs="Arial" w:eastAsia="Arial" w:hAnsi="Arial"/>
          <w:sz w:val="12"/>
          <w:szCs w:val="12"/>
          <w:b w:val="1"/>
          <w:bCs w:val="1"/>
          <w:color w:val="auto"/>
        </w:rPr>
        <w:t>8,482</w:t>
      </w:r>
      <w:r>
        <w:rPr>
          <w:sz w:val="20"/>
          <w:szCs w:val="20"/>
          <w:color w:val="auto"/>
        </w:rPr>
        <w:tab/>
      </w:r>
      <w:r>
        <w:rPr>
          <w:rFonts w:ascii="Arial" w:cs="Arial" w:eastAsia="Arial" w:hAnsi="Arial"/>
          <w:sz w:val="12"/>
          <w:szCs w:val="12"/>
          <w:b w:val="1"/>
          <w:bCs w:val="1"/>
          <w:color w:val="auto"/>
        </w:rPr>
        <w:t>10,111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14732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123"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11"/>
          <w:szCs w:val="11"/>
          <w:color w:val="auto"/>
        </w:rPr>
        <w:t>(4,181)</w:t>
      </w:r>
      <w:r>
        <w:rPr>
          <w:sz w:val="20"/>
          <w:szCs w:val="20"/>
          <w:color w:val="auto"/>
        </w:rPr>
        <w:tab/>
      </w:r>
      <w:r>
        <w:rPr>
          <w:rFonts w:ascii="Arial" w:cs="Arial" w:eastAsia="Arial" w:hAnsi="Arial"/>
          <w:sz w:val="11"/>
          <w:szCs w:val="11"/>
          <w:color w:val="auto"/>
        </w:rPr>
        <w:t>(3,137)</w:t>
      </w:r>
    </w:p>
    <w:p>
      <w:pPr>
        <w:spacing w:after="0" w:line="21" w:lineRule="exact"/>
        <w:rPr>
          <w:sz w:val="20"/>
          <w:szCs w:val="20"/>
          <w:color w:val="auto"/>
        </w:rPr>
      </w:pPr>
    </w:p>
    <w:p>
      <w:pPr>
        <w:ind w:left="740"/>
        <w:spacing w:after="0"/>
        <w:tabs>
          <w:tab w:leader="none" w:pos="2020" w:val="left"/>
        </w:tabs>
        <w:rPr>
          <w:sz w:val="20"/>
          <w:szCs w:val="20"/>
          <w:color w:val="auto"/>
        </w:rPr>
      </w:pPr>
      <w:r>
        <w:rPr>
          <w:rFonts w:ascii="Arial" w:cs="Arial" w:eastAsia="Arial" w:hAnsi="Arial"/>
          <w:sz w:val="11"/>
          <w:szCs w:val="11"/>
          <w:color w:val="auto"/>
        </w:rPr>
        <w:t>(1,283)</w:t>
      </w:r>
      <w:r>
        <w:rPr>
          <w:sz w:val="20"/>
          <w:szCs w:val="20"/>
          <w:color w:val="auto"/>
        </w:rPr>
        <w:tab/>
      </w:r>
      <w:r>
        <w:rPr>
          <w:rFonts w:ascii="Arial" w:cs="Arial" w:eastAsia="Arial" w:hAnsi="Arial"/>
          <w:sz w:val="11"/>
          <w:szCs w:val="11"/>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4732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ind w:left="740"/>
        <w:spacing w:after="0"/>
        <w:tabs>
          <w:tab w:leader="none" w:pos="1920" w:val="left"/>
        </w:tabs>
        <w:rPr>
          <w:sz w:val="20"/>
          <w:szCs w:val="20"/>
          <w:color w:val="auto"/>
        </w:rPr>
      </w:pPr>
      <w:r>
        <w:rPr>
          <w:rFonts w:ascii="Arial" w:cs="Arial" w:eastAsia="Arial" w:hAnsi="Arial"/>
          <w:sz w:val="11"/>
          <w:szCs w:val="11"/>
          <w:b w:val="1"/>
          <w:bCs w:val="1"/>
          <w:color w:val="auto"/>
        </w:rPr>
        <w:t>(5,464)</w:t>
      </w:r>
      <w:r>
        <w:rPr>
          <w:sz w:val="20"/>
          <w:szCs w:val="20"/>
          <w:color w:val="auto"/>
        </w:rPr>
        <w:tab/>
      </w:r>
      <w:r>
        <w:rPr>
          <w:rFonts w:ascii="Arial" w:cs="Arial" w:eastAsia="Arial" w:hAnsi="Arial"/>
          <w:sz w:val="11"/>
          <w:szCs w:val="11"/>
          <w:b w:val="1"/>
          <w:bCs w:val="1"/>
          <w:color w:val="auto"/>
        </w:rPr>
        <w:t>(3,798)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4732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12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12"/>
          <w:szCs w:val="12"/>
          <w:b w:val="1"/>
          <w:bCs w:val="1"/>
          <w:color w:val="auto"/>
        </w:rPr>
        <w:t>3,018</w:t>
      </w:r>
      <w:r>
        <w:rPr>
          <w:sz w:val="20"/>
          <w:szCs w:val="20"/>
          <w:color w:val="auto"/>
        </w:rPr>
        <w:tab/>
      </w:r>
      <w:r>
        <w:rPr>
          <w:rFonts w:ascii="Arial" w:cs="Arial" w:eastAsia="Arial" w:hAnsi="Arial"/>
          <w:sz w:val="12"/>
          <w:szCs w:val="12"/>
          <w:b w:val="1"/>
          <w:bCs w:val="1"/>
          <w:color w:val="auto"/>
        </w:rPr>
        <w:t>6,313</w:t>
      </w:r>
    </w:p>
    <w:p>
      <w:pPr>
        <w:spacing w:after="0" w:line="134"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12"/>
          <w:szCs w:val="12"/>
          <w:color w:val="auto"/>
        </w:rPr>
        <w:t>1,667</w:t>
      </w:r>
      <w:r>
        <w:rPr>
          <w:sz w:val="20"/>
          <w:szCs w:val="20"/>
          <w:color w:val="auto"/>
        </w:rPr>
        <w:tab/>
      </w:r>
      <w:r>
        <w:rPr>
          <w:rFonts w:ascii="Arial" w:cs="Arial" w:eastAsia="Arial" w:hAnsi="Arial"/>
          <w:sz w:val="12"/>
          <w:szCs w:val="12"/>
          <w:color w:val="auto"/>
        </w:rPr>
        <w:t>1,149</w:t>
      </w:r>
    </w:p>
    <w:p>
      <w:pPr>
        <w:spacing w:after="0" w:line="10" w:lineRule="exact"/>
        <w:rPr>
          <w:sz w:val="20"/>
          <w:szCs w:val="20"/>
          <w:color w:val="auto"/>
        </w:rPr>
      </w:pPr>
    </w:p>
    <w:p>
      <w:pPr>
        <w:ind w:left="1940" w:hanging="1092"/>
        <w:spacing w:after="0"/>
        <w:tabs>
          <w:tab w:leader="none" w:pos="19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(1,558)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4732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12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12"/>
          <w:szCs w:val="12"/>
          <w:b w:val="1"/>
          <w:bCs w:val="1"/>
          <w:color w:val="auto"/>
        </w:rPr>
        <w:t>3,983</w:t>
      </w:r>
      <w:r>
        <w:rPr>
          <w:sz w:val="20"/>
          <w:szCs w:val="20"/>
          <w:color w:val="auto"/>
        </w:rPr>
        <w:tab/>
      </w:r>
      <w:r>
        <w:rPr>
          <w:rFonts w:ascii="Arial" w:cs="Arial" w:eastAsia="Arial" w:hAnsi="Arial"/>
          <w:sz w:val="12"/>
          <w:szCs w:val="12"/>
          <w:b w:val="1"/>
          <w:bCs w:val="1"/>
          <w:color w:val="auto"/>
        </w:rPr>
        <w:t>5,904</w:t>
      </w:r>
    </w:p>
    <w:p>
      <w:pPr>
        <w:spacing w:after="0" w:line="134" w:lineRule="exact"/>
        <w:rPr>
          <w:sz w:val="20"/>
          <w:szCs w:val="20"/>
          <w:color w:val="auto"/>
        </w:rPr>
      </w:pPr>
    </w:p>
    <w:p>
      <w:pPr>
        <w:ind w:left="1940" w:hanging="1092"/>
        <w:spacing w:after="0"/>
        <w:tabs>
          <w:tab w:leader="none" w:pos="1940" w:val="left"/>
        </w:tabs>
        <w:numPr>
          <w:ilvl w:val="0"/>
          <w:numId w:val="79"/>
        </w:numPr>
        <w:rPr>
          <w:rFonts w:ascii="Arial" w:cs="Arial" w:eastAsia="Arial" w:hAnsi="Arial"/>
          <w:sz w:val="11"/>
          <w:szCs w:val="11"/>
          <w:color w:val="auto"/>
        </w:rPr>
      </w:pPr>
      <w:r>
        <w:rPr>
          <w:rFonts w:ascii="Arial" w:cs="Arial" w:eastAsia="Arial" w:hAnsi="Arial"/>
          <w:sz w:val="11"/>
          <w:szCs w:val="11"/>
          <w:color w:val="auto"/>
        </w:rPr>
        <w:t>(1,146)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14732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135"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12"/>
          <w:szCs w:val="12"/>
          <w:b w:val="1"/>
          <w:bCs w:val="1"/>
          <w:color w:val="auto"/>
        </w:rPr>
        <w:t>3,008</w:t>
      </w:r>
      <w:r>
        <w:rPr>
          <w:sz w:val="20"/>
          <w:szCs w:val="20"/>
          <w:color w:val="auto"/>
        </w:rPr>
        <w:tab/>
      </w:r>
      <w:r>
        <w:rPr>
          <w:rFonts w:ascii="Arial" w:cs="Arial" w:eastAsia="Arial" w:hAnsi="Arial"/>
          <w:sz w:val="12"/>
          <w:szCs w:val="12"/>
          <w:b w:val="1"/>
          <w:bCs w:val="1"/>
          <w:color w:val="auto"/>
        </w:rPr>
        <w:t>4,758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14732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73200" cy="571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jc w:val="right"/>
              <w:spacing w:after="0"/>
              <w:rPr>
                <w:sz w:val="20"/>
                <w:szCs w:val="20"/>
                <w:color w:val="auto"/>
              </w:rPr>
            </w:pPr>
            <w:r>
              <w:rPr>
                <w:rFonts w:ascii="Arial" w:cs="Arial" w:eastAsia="Arial" w:hAnsi="Arial"/>
                <w:sz w:val="12"/>
                <w:szCs w:val="12"/>
                <w:color w:val="auto"/>
              </w:rPr>
              <w:t>46.00</w:t>
            </w:r>
          </w:p>
        </w:tc>
        <w:tc>
          <w:tcPr>
            <w:tcW w:w="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73.00</w:t>
            </w:r>
          </w:p>
        </w:tc>
      </w:tr>
      <w:tr>
        <w:trPr>
          <w:trHeight w:val="159"/>
        </w:trPr>
        <w:tc>
          <w:tcPr>
            <w:tcW w:w="1120" w:type="dxa"/>
            <w:vAlign w:val="bottom"/>
          </w:tcPr>
          <w:p>
            <w:pPr>
              <w:jc w:val="right"/>
              <w:spacing w:after="0"/>
              <w:rPr>
                <w:sz w:val="20"/>
                <w:szCs w:val="20"/>
                <w:color w:val="auto"/>
              </w:rPr>
            </w:pPr>
            <w:r>
              <w:rPr>
                <w:rFonts w:ascii="Arial" w:cs="Arial" w:eastAsia="Arial" w:hAnsi="Arial"/>
                <w:sz w:val="12"/>
                <w:szCs w:val="12"/>
                <w:color w:val="auto"/>
              </w:rPr>
              <w:t>45.54</w:t>
            </w: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72.21</w:t>
            </w:r>
          </w:p>
        </w:tc>
      </w:tr>
      <w:tr>
        <w:trPr>
          <w:trHeight w:val="125"/>
        </w:trPr>
        <w:tc>
          <w:tcPr>
            <w:tcW w:w="1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533"/>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3,008</w:t>
            </w: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4,758</w:t>
            </w:r>
          </w:p>
        </w:tc>
      </w:tr>
      <w:tr>
        <w:trPr>
          <w:trHeight w:val="66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r>
      <w:tr>
        <w:trPr>
          <w:trHeight w:val="261"/>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3,035</w:t>
            </w:r>
          </w:p>
        </w:tc>
        <w:tc>
          <w:tcPr>
            <w:tcW w:w="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4,714</w:t>
            </w:r>
          </w:p>
        </w:tc>
      </w:tr>
    </w:tbl>
    <w:p>
      <w:pPr>
        <w:spacing w:after="0" w:line="200" w:lineRule="exact"/>
        <w:rPr>
          <w:sz w:val="20"/>
          <w:szCs w:val="20"/>
          <w:color w:val="auto"/>
        </w:rPr>
      </w:pPr>
    </w:p>
    <w:p>
      <w:pPr>
        <w:spacing w:after="0" w:line="267" w:lineRule="exact"/>
        <w:rPr>
          <w:sz w:val="20"/>
          <w:szCs w:val="20"/>
          <w:color w:val="auto"/>
        </w:rPr>
      </w:pPr>
    </w:p>
    <w:p>
      <w:pPr>
        <w:jc w:val="right"/>
        <w:ind w:right="39"/>
        <w:spacing w:after="0"/>
        <w:rPr>
          <w:sz w:val="20"/>
          <w:szCs w:val="20"/>
          <w:color w:val="auto"/>
        </w:rPr>
      </w:pPr>
      <w:r>
        <w:rPr>
          <w:rFonts w:ascii="Arial" w:cs="Arial" w:eastAsia="Arial" w:hAnsi="Arial"/>
          <w:sz w:val="10"/>
          <w:szCs w:val="10"/>
          <w:color w:val="auto"/>
        </w:rPr>
        <w:t>Company Announcement no. 05</w:t>
      </w:r>
    </w:p>
    <w:p>
      <w:pPr>
        <w:jc w:val="right"/>
        <w:ind w:right="39"/>
        <w:spacing w:after="0" w:line="230" w:lineRule="auto"/>
        <w:rPr>
          <w:sz w:val="20"/>
          <w:szCs w:val="20"/>
          <w:color w:val="auto"/>
        </w:rPr>
      </w:pPr>
      <w:r>
        <w:rPr>
          <w:rFonts w:ascii="Arial" w:cs="Arial" w:eastAsia="Arial" w:hAnsi="Arial"/>
          <w:sz w:val="10"/>
          <w:szCs w:val="10"/>
          <w:color w:val="auto"/>
        </w:rPr>
        <w:t>Page 76/158</w:t>
      </w:r>
    </w:p>
    <w:p>
      <w:pPr>
        <w:jc w:val="right"/>
        <w:ind w:right="39"/>
        <w:spacing w:after="0"/>
        <w:rPr>
          <w:sz w:val="20"/>
          <w:szCs w:val="20"/>
          <w:color w:val="auto"/>
        </w:rPr>
      </w:pPr>
      <w:r>
        <w:rPr>
          <w:rFonts w:ascii="Arial" w:cs="Arial" w:eastAsia="Arial" w:hAnsi="Arial"/>
          <w:sz w:val="10"/>
          <w:szCs w:val="10"/>
          <w:color w:val="auto"/>
        </w:rPr>
        <w:t>CVR no. 2102 3884</w:t>
      </w:r>
    </w:p>
    <w:p>
      <w:pPr>
        <w:sectPr>
          <w:pgSz w:w="11900" w:h="16838" w:orient="portrait"/>
          <w:cols w:equalWidth="0" w:num="4">
            <w:col w:w="4040" w:space="720"/>
            <w:col w:w="520" w:space="640"/>
            <w:col w:w="700" w:space="40"/>
            <w:col w:w="2359"/>
          </w:cols>
          <w:pgMar w:left="1440" w:top="484" w:right="1440" w:bottom="1440" w:gutter="0" w:footer="0" w:header="0"/>
        </w:sectPr>
      </w:pPr>
    </w:p>
    <w:bookmarkStart w:id="79" w:name="page80"/>
    <w:bookmarkEnd w:id="7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Balance Sheets</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(DKK million)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ASSETS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Intangible assets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Property and equipment</w:t>
      </w:r>
    </w:p>
    <w:p>
      <w:pPr>
        <w:ind w:left="20"/>
        <w:spacing w:after="0"/>
        <w:rPr>
          <w:sz w:val="20"/>
          <w:szCs w:val="20"/>
          <w:color w:val="auto"/>
        </w:rPr>
      </w:pPr>
      <w:r>
        <w:rPr>
          <w:rFonts w:ascii="Arial" w:cs="Arial" w:eastAsia="Arial" w:hAnsi="Arial"/>
          <w:sz w:val="11"/>
          <w:szCs w:val="11"/>
          <w:color w:val="auto"/>
        </w:rPr>
        <w:t>Right-of-use assets</w:t>
      </w:r>
    </w:p>
    <w:p>
      <w:pPr>
        <w:ind w:left="20"/>
        <w:spacing w:after="0"/>
        <w:rPr>
          <w:sz w:val="20"/>
          <w:szCs w:val="20"/>
          <w:color w:val="auto"/>
        </w:rPr>
      </w:pPr>
      <w:r>
        <w:rPr>
          <w:rFonts w:ascii="Arial" w:cs="Arial" w:eastAsia="Arial" w:hAnsi="Arial"/>
          <w:sz w:val="11"/>
          <w:szCs w:val="11"/>
          <w:color w:val="auto"/>
        </w:rPr>
        <w:t>Receivables</w:t>
      </w:r>
    </w:p>
    <w:p>
      <w:pPr>
        <w:ind w:left="20"/>
        <w:spacing w:after="0"/>
        <w:rPr>
          <w:sz w:val="20"/>
          <w:szCs w:val="20"/>
          <w:color w:val="auto"/>
        </w:rPr>
      </w:pPr>
      <w:r>
        <w:rPr>
          <w:rFonts w:ascii="Arial" w:cs="Arial" w:eastAsia="Arial" w:hAnsi="Arial"/>
          <w:sz w:val="11"/>
          <w:szCs w:val="11"/>
          <w:color w:val="auto"/>
        </w:rPr>
        <w:t>Deferred tax assets</w:t>
      </w:r>
    </w:p>
    <w:p>
      <w:pPr>
        <w:ind w:left="20"/>
        <w:spacing w:after="0"/>
        <w:rPr>
          <w:sz w:val="20"/>
          <w:szCs w:val="20"/>
          <w:color w:val="auto"/>
        </w:rPr>
      </w:pPr>
      <w:r>
        <w:rPr>
          <w:rFonts w:ascii="Arial" w:cs="Arial" w:eastAsia="Arial" w:hAnsi="Arial"/>
          <w:sz w:val="11"/>
          <w:szCs w:val="11"/>
          <w:color w:val="auto"/>
        </w:rPr>
        <w:t>Other investments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non-current assets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Corporate tax receivable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Receivables</w:t>
      </w:r>
    </w:p>
    <w:p>
      <w:pPr>
        <w:ind w:left="20"/>
        <w:spacing w:after="0"/>
        <w:rPr>
          <w:sz w:val="20"/>
          <w:szCs w:val="20"/>
          <w:color w:val="auto"/>
        </w:rPr>
      </w:pPr>
      <w:r>
        <w:rPr>
          <w:rFonts w:ascii="Arial" w:cs="Arial" w:eastAsia="Arial" w:hAnsi="Arial"/>
          <w:sz w:val="11"/>
          <w:szCs w:val="11"/>
          <w:color w:val="auto"/>
        </w:rPr>
        <w:t>Marketable securities</w:t>
      </w:r>
    </w:p>
    <w:p>
      <w:pPr>
        <w:ind w:left="20"/>
        <w:spacing w:after="0"/>
        <w:rPr>
          <w:sz w:val="20"/>
          <w:szCs w:val="20"/>
          <w:color w:val="auto"/>
        </w:rPr>
      </w:pPr>
      <w:r>
        <w:rPr>
          <w:rFonts w:ascii="Arial" w:cs="Arial" w:eastAsia="Arial" w:hAnsi="Arial"/>
          <w:sz w:val="11"/>
          <w:szCs w:val="11"/>
          <w:color w:val="auto"/>
        </w:rPr>
        <w:t>Cash and cash equivalents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current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SHAREHOLDERS' EQUITY AND LIABILITIES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1"/>
          <w:szCs w:val="11"/>
          <w:color w:val="auto"/>
        </w:rPr>
        <w:t>Share capital</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Share premium</w:t>
      </w:r>
    </w:p>
    <w:p>
      <w:pPr>
        <w:ind w:left="20"/>
        <w:spacing w:after="0"/>
        <w:rPr>
          <w:sz w:val="20"/>
          <w:szCs w:val="20"/>
          <w:color w:val="auto"/>
        </w:rPr>
      </w:pPr>
      <w:r>
        <w:rPr>
          <w:rFonts w:ascii="Arial" w:cs="Arial" w:eastAsia="Arial" w:hAnsi="Arial"/>
          <w:sz w:val="11"/>
          <w:szCs w:val="11"/>
          <w:color w:val="auto"/>
        </w:rPr>
        <w:t>Other reserves</w:t>
      </w:r>
    </w:p>
    <w:p>
      <w:pPr>
        <w:ind w:left="20"/>
        <w:spacing w:after="0"/>
        <w:rPr>
          <w:sz w:val="20"/>
          <w:szCs w:val="20"/>
          <w:color w:val="auto"/>
        </w:rPr>
      </w:pPr>
      <w:r>
        <w:rPr>
          <w:rFonts w:ascii="Arial" w:cs="Arial" w:eastAsia="Arial" w:hAnsi="Arial"/>
          <w:sz w:val="11"/>
          <w:szCs w:val="11"/>
          <w:color w:val="auto"/>
        </w:rPr>
        <w:t>Retained earnings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shareholders' equity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Lease liabilities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Deferred revenue</w:t>
      </w:r>
    </w:p>
    <w:p>
      <w:pPr>
        <w:ind w:left="20"/>
        <w:spacing w:after="0"/>
        <w:rPr>
          <w:sz w:val="20"/>
          <w:szCs w:val="20"/>
          <w:color w:val="auto"/>
        </w:rPr>
      </w:pPr>
      <w:r>
        <w:rPr>
          <w:rFonts w:ascii="Arial" w:cs="Arial" w:eastAsia="Arial" w:hAnsi="Arial"/>
          <w:sz w:val="11"/>
          <w:szCs w:val="11"/>
          <w:color w:val="auto"/>
        </w:rPr>
        <w:t>Other payables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non-current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Lease liabilities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Deferred revenue</w:t>
      </w:r>
    </w:p>
    <w:p>
      <w:pPr>
        <w:ind w:left="20"/>
        <w:spacing w:after="0"/>
        <w:rPr>
          <w:sz w:val="20"/>
          <w:szCs w:val="20"/>
          <w:color w:val="auto"/>
        </w:rPr>
      </w:pPr>
      <w:r>
        <w:rPr>
          <w:rFonts w:ascii="Arial" w:cs="Arial" w:eastAsia="Arial" w:hAnsi="Arial"/>
          <w:sz w:val="11"/>
          <w:szCs w:val="11"/>
          <w:color w:val="auto"/>
        </w:rPr>
        <w:t>Other payables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shareholders' equity and liabilities</w:t>
      </w: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tcPr>
          <w:p>
            <w:pPr>
              <w:spacing w:after="0"/>
              <w:rPr>
                <w:sz w:val="20"/>
                <w:szCs w:val="20"/>
                <w:color w:val="auto"/>
              </w:rPr>
            </w:pPr>
            <w:r>
              <w:rPr>
                <w:rFonts w:ascii="Arial" w:cs="Arial" w:eastAsia="Arial" w:hAnsi="Arial"/>
                <w:sz w:val="10"/>
                <w:szCs w:val="10"/>
                <w:color w:val="auto"/>
              </w:rPr>
              <w:t>Genmab A/S</w:t>
            </w:r>
          </w:p>
        </w:tc>
        <w:tc>
          <w:tcPr>
            <w:tcW w:w="820" w:type="dxa"/>
            <w:vAlign w:val="bottom"/>
            <w:gridSpan w:val="2"/>
          </w:tcPr>
          <w:p>
            <w:pPr>
              <w:spacing w:after="0"/>
              <w:rPr>
                <w:sz w:val="20"/>
                <w:szCs w:val="20"/>
                <w:color w:val="auto"/>
              </w:rPr>
            </w:pPr>
            <w:r>
              <w:rPr>
                <w:rFonts w:ascii="Arial" w:cs="Arial" w:eastAsia="Arial" w:hAnsi="Arial"/>
                <w:sz w:val="10"/>
                <w:szCs w:val="10"/>
                <w:color w:val="auto"/>
                <w:w w:val="92"/>
              </w:rPr>
              <w:t>Tel: +45 7020 2728</w:t>
            </w:r>
          </w:p>
        </w:tc>
      </w:tr>
      <w:tr>
        <w:trPr>
          <w:trHeight w:val="109"/>
        </w:trPr>
        <w:tc>
          <w:tcPr>
            <w:tcW w:w="31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820" w:type="dxa"/>
            <w:vAlign w:val="bottom"/>
            <w:gridSpan w:val="2"/>
          </w:tcPr>
          <w:p>
            <w:pPr>
              <w:spacing w:after="0" w:line="105" w:lineRule="exact"/>
              <w:rPr>
                <w:sz w:val="20"/>
                <w:szCs w:val="20"/>
                <w:color w:val="auto"/>
              </w:rPr>
            </w:pPr>
            <w:r>
              <w:rPr>
                <w:rFonts w:ascii="Arial" w:cs="Arial" w:eastAsia="Arial" w:hAnsi="Arial"/>
                <w:sz w:val="10"/>
                <w:szCs w:val="10"/>
                <w:color w:val="0000FF"/>
                <w:w w:val="97"/>
              </w:rPr>
              <w:t>www.genmab.com</w:t>
            </w: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236220</wp:posOffset>
            </wp:positionV>
            <wp:extent cx="569214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5715</wp:posOffset>
            </wp:positionV>
            <wp:extent cx="47752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7520" cy="571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8"/>
          <w:szCs w:val="8"/>
          <w:color w:val="auto"/>
        </w:rPr>
        <w:t>2.2, 3.1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8"/>
          <w:szCs w:val="8"/>
          <w:color w:val="auto"/>
        </w:rPr>
        <w:t>2.2, 3.2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8"/>
          <w:szCs w:val="8"/>
          <w:color w:val="auto"/>
        </w:rPr>
        <w:t>2.2, 3.3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8"/>
          <w:szCs w:val="8"/>
          <w:color w:val="auto"/>
        </w:rPr>
        <w:t>2.2, 3.5</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8"/>
          <w:szCs w:val="8"/>
          <w:color w:val="auto"/>
        </w:rPr>
        <w:t>4.2, 4.4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4.7</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4.7</w:t>
      </w: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3.3</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3.6</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3.7</w:t>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3.3</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3.6</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1920" w:type="dxa"/>
            <w:vAlign w:val="bottom"/>
            <w:gridSpan w:val="3"/>
          </w:tcPr>
          <w:p>
            <w:pPr>
              <w:ind w:left="1080"/>
              <w:spacing w:after="0"/>
              <w:rPr>
                <w:sz w:val="20"/>
                <w:szCs w:val="20"/>
                <w:color w:val="auto"/>
              </w:rPr>
            </w:pPr>
            <w:r>
              <w:rPr>
                <w:rFonts w:ascii="Arial" w:cs="Arial" w:eastAsia="Arial" w:hAnsi="Arial"/>
                <w:sz w:val="11"/>
                <w:szCs w:val="11"/>
                <w:color w:val="auto"/>
              </w:rPr>
              <w:t>December 31,</w:t>
            </w:r>
          </w:p>
        </w:tc>
        <w:tc>
          <w:tcPr>
            <w:tcW w:w="940" w:type="dxa"/>
            <w:vAlign w:val="bottom"/>
          </w:tcPr>
          <w:p>
            <w:pPr>
              <w:spacing w:after="0"/>
              <w:rPr>
                <w:sz w:val="11"/>
                <w:szCs w:val="11"/>
                <w:color w:val="auto"/>
              </w:rPr>
            </w:pPr>
          </w:p>
        </w:tc>
      </w:tr>
      <w:tr>
        <w:trPr>
          <w:trHeight w:val="136"/>
        </w:trPr>
        <w:tc>
          <w:tcPr>
            <w:tcW w:w="148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color w:val="auto"/>
              </w:rPr>
              <w:t>2022</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2021</w:t>
            </w:r>
          </w:p>
        </w:tc>
      </w:tr>
      <w:tr>
        <w:trPr>
          <w:trHeight w:val="415"/>
        </w:trPr>
        <w:tc>
          <w:tcPr>
            <w:tcW w:w="1480" w:type="dxa"/>
            <w:vAlign w:val="bottom"/>
          </w:tcPr>
          <w:p>
            <w:pPr>
              <w:jc w:val="right"/>
              <w:spacing w:after="0"/>
              <w:rPr>
                <w:sz w:val="20"/>
                <w:szCs w:val="20"/>
                <w:color w:val="auto"/>
              </w:rPr>
            </w:pPr>
            <w:r>
              <w:rPr>
                <w:rFonts w:ascii="Arial" w:cs="Arial" w:eastAsia="Arial" w:hAnsi="Arial"/>
                <w:sz w:val="11"/>
                <w:szCs w:val="11"/>
                <w:color w:val="auto"/>
              </w:rPr>
              <w:t>146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254</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799</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621</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523</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354</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48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252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264</w:t>
            </w:r>
          </w:p>
        </w:tc>
      </w:tr>
      <w:tr>
        <w:trPr>
          <w:trHeight w:val="136"/>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1,901</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1,891</w:t>
            </w:r>
          </w:p>
        </w:tc>
      </w:tr>
      <w:tr>
        <w:trPr>
          <w:trHeight w:val="289"/>
        </w:trPr>
        <w:tc>
          <w:tcPr>
            <w:tcW w:w="1480" w:type="dxa"/>
            <w:vAlign w:val="bottom"/>
          </w:tcPr>
          <w:p>
            <w:pPr>
              <w:jc w:val="right"/>
              <w:spacing w:after="0"/>
              <w:rPr>
                <w:sz w:val="20"/>
                <w:szCs w:val="20"/>
                <w:color w:val="auto"/>
              </w:rPr>
            </w:pPr>
            <w:r>
              <w:rPr>
                <w:rFonts w:ascii="Arial" w:cs="Arial" w:eastAsia="Arial" w:hAnsi="Arial"/>
                <w:sz w:val="11"/>
                <w:szCs w:val="11"/>
                <w:color w:val="auto"/>
              </w:rPr>
              <w:t>143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5,910</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3,367</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12,431</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10,381</w:t>
            </w:r>
          </w:p>
        </w:tc>
      </w:tr>
      <w:tr>
        <w:trPr>
          <w:trHeight w:val="136"/>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9,893</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8,957</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28,377</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22,736</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30,278</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24,627</w:t>
            </w:r>
          </w:p>
        </w:tc>
      </w:tr>
      <w:tr>
        <w:trPr>
          <w:trHeight w:val="415"/>
        </w:trPr>
        <w:tc>
          <w:tcPr>
            <w:tcW w:w="1480" w:type="dxa"/>
            <w:vAlign w:val="bottom"/>
          </w:tcPr>
          <w:p>
            <w:pPr>
              <w:jc w:val="right"/>
              <w:spacing w:after="0"/>
              <w:rPr>
                <w:sz w:val="20"/>
                <w:szCs w:val="20"/>
                <w:color w:val="auto"/>
              </w:rPr>
            </w:pPr>
            <w:r>
              <w:rPr>
                <w:rFonts w:ascii="Arial" w:cs="Arial" w:eastAsia="Arial" w:hAnsi="Arial"/>
                <w:sz w:val="11"/>
                <w:szCs w:val="11"/>
                <w:color w:val="auto"/>
              </w:rPr>
              <w:t>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66</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12,309</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12,029</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98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81</w:t>
            </w:r>
          </w:p>
        </w:tc>
      </w:tr>
      <w:tr>
        <w:trPr>
          <w:trHeight w:val="136"/>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14,968</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10,020</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27,441</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22,196</w:t>
            </w:r>
          </w:p>
        </w:tc>
      </w:tr>
      <w:tr>
        <w:trPr>
          <w:trHeight w:val="198"/>
        </w:trPr>
        <w:tc>
          <w:tcPr>
            <w:tcW w:w="1480" w:type="dxa"/>
            <w:vAlign w:val="bottom"/>
          </w:tcPr>
          <w:p>
            <w:pPr>
              <w:jc w:val="right"/>
              <w:spacing w:after="0"/>
              <w:rPr>
                <w:sz w:val="20"/>
                <w:szCs w:val="20"/>
                <w:color w:val="auto"/>
              </w:rPr>
            </w:pPr>
            <w:r>
              <w:rPr>
                <w:rFonts w:ascii="Arial" w:cs="Arial" w:eastAsia="Arial" w:hAnsi="Arial"/>
                <w:sz w:val="11"/>
                <w:szCs w:val="11"/>
                <w:color w:val="auto"/>
              </w:rPr>
              <w:t>523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363</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480</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487</w:t>
            </w:r>
          </w:p>
        </w:tc>
      </w:tr>
      <w:tr>
        <w:trPr>
          <w:trHeight w:val="136"/>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1,014</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863</w:t>
            </w:r>
          </w:p>
        </w:tc>
      </w:tr>
      <w:tr>
        <w:trPr>
          <w:trHeight w:val="198"/>
        </w:trPr>
        <w:tc>
          <w:tcPr>
            <w:tcW w:w="1480" w:type="dxa"/>
            <w:vAlign w:val="bottom"/>
          </w:tcPr>
          <w:p>
            <w:pPr>
              <w:jc w:val="right"/>
              <w:spacing w:after="0"/>
              <w:rPr>
                <w:sz w:val="20"/>
                <w:szCs w:val="20"/>
                <w:color w:val="auto"/>
              </w:rPr>
            </w:pPr>
            <w:r>
              <w:rPr>
                <w:rFonts w:ascii="Arial" w:cs="Arial" w:eastAsia="Arial" w:hAnsi="Arial"/>
                <w:sz w:val="11"/>
                <w:szCs w:val="11"/>
                <w:color w:val="auto"/>
              </w:rPr>
              <w:t>74</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62</w:t>
            </w:r>
          </w:p>
        </w:tc>
      </w:tr>
      <w:tr>
        <w:trPr>
          <w:trHeight w:val="127"/>
        </w:trPr>
        <w:tc>
          <w:tcPr>
            <w:tcW w:w="1480" w:type="dxa"/>
            <w:vAlign w:val="bottom"/>
          </w:tcPr>
          <w:p>
            <w:pPr>
              <w:jc w:val="right"/>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36"/>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1,716</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1,480</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1,823</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1,568</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2,837</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2,431</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30,278</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-4172585</wp:posOffset>
            </wp:positionV>
            <wp:extent cx="1323975" cy="385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39"/>
        <w:spacing w:after="0"/>
        <w:rPr>
          <w:sz w:val="20"/>
          <w:szCs w:val="20"/>
          <w:color w:val="auto"/>
        </w:rPr>
      </w:pPr>
      <w:r>
        <w:rPr>
          <w:rFonts w:ascii="Arial" w:cs="Arial" w:eastAsia="Arial" w:hAnsi="Arial"/>
          <w:sz w:val="10"/>
          <w:szCs w:val="10"/>
          <w:color w:val="auto"/>
        </w:rPr>
        <w:t>Company Announcement no. 05</w:t>
      </w:r>
    </w:p>
    <w:p>
      <w:pPr>
        <w:jc w:val="right"/>
        <w:ind w:right="39"/>
        <w:spacing w:after="0" w:line="230" w:lineRule="auto"/>
        <w:rPr>
          <w:sz w:val="20"/>
          <w:szCs w:val="20"/>
          <w:color w:val="auto"/>
        </w:rPr>
      </w:pPr>
      <w:r>
        <w:rPr>
          <w:rFonts w:ascii="Arial" w:cs="Arial" w:eastAsia="Arial" w:hAnsi="Arial"/>
          <w:sz w:val="10"/>
          <w:szCs w:val="10"/>
          <w:color w:val="auto"/>
        </w:rPr>
        <w:t>Page 77/158</w:t>
      </w:r>
    </w:p>
    <w:p>
      <w:pPr>
        <w:jc w:val="right"/>
        <w:ind w:right="39"/>
        <w:spacing w:after="0"/>
        <w:rPr>
          <w:sz w:val="20"/>
          <w:szCs w:val="20"/>
          <w:color w:val="auto"/>
        </w:rPr>
      </w:pPr>
      <w:r>
        <w:rPr>
          <w:rFonts w:ascii="Arial" w:cs="Arial" w:eastAsia="Arial" w:hAnsi="Arial"/>
          <w:sz w:val="10"/>
          <w:szCs w:val="10"/>
          <w:color w:val="auto"/>
        </w:rPr>
        <w:t>CVR no. 2102 3884</w:t>
      </w:r>
    </w:p>
    <w:p>
      <w:pPr>
        <w:sectPr>
          <w:pgSz w:w="11900" w:h="16838" w:orient="portrait"/>
          <w:cols w:equalWidth="0" w:num="3">
            <w:col w:w="4560" w:space="720"/>
            <w:col w:w="320" w:space="520"/>
            <w:col w:w="2899"/>
          </w:cols>
          <w:pgMar w:left="1440" w:top="484" w:right="1440" w:bottom="1440" w:gutter="0" w:footer="0" w:header="0"/>
        </w:sectPr>
      </w:pPr>
    </w:p>
    <w:bookmarkStart w:id="80" w:name="page81"/>
    <w:bookmarkEnd w:id="8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0"/>
          <w:szCs w:val="10"/>
          <w:color w:val="auto"/>
        </w:rPr>
        <w:t>(DKK million)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operating activities: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profit before tax</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Reversal of financial items, net</w:t>
      </w:r>
    </w:p>
    <w:p>
      <w:pPr>
        <w:ind w:left="20"/>
        <w:spacing w:after="0" w:line="234" w:lineRule="auto"/>
        <w:rPr>
          <w:sz w:val="20"/>
          <w:szCs w:val="20"/>
          <w:color w:val="auto"/>
        </w:rPr>
      </w:pPr>
      <w:r>
        <w:rPr>
          <w:rFonts w:ascii="Arial" w:cs="Arial" w:eastAsia="Arial" w:hAnsi="Arial"/>
          <w:sz w:val="10"/>
          <w:szCs w:val="10"/>
          <w:color w:val="auto"/>
        </w:rPr>
        <w:t>Adjustment for non-cash transactions</w:t>
      </w:r>
    </w:p>
    <w:p>
      <w:pPr>
        <w:ind w:left="20"/>
        <w:spacing w:after="0"/>
        <w:rPr>
          <w:sz w:val="20"/>
          <w:szCs w:val="20"/>
          <w:color w:val="auto"/>
        </w:rPr>
      </w:pPr>
      <w:r>
        <w:rPr>
          <w:rFonts w:ascii="Arial" w:cs="Arial" w:eastAsia="Arial" w:hAnsi="Arial"/>
          <w:sz w:val="10"/>
          <w:szCs w:val="10"/>
          <w:color w:val="auto"/>
        </w:rPr>
        <w:t>Change in operating assets and liabilities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operating activities before financial items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0"/>
          <w:szCs w:val="10"/>
          <w:color w:val="auto"/>
        </w:rPr>
        <w:t>Interest received</w:t>
      </w:r>
    </w:p>
    <w:p>
      <w:pPr>
        <w:ind w:left="20"/>
        <w:spacing w:after="0" w:line="234" w:lineRule="auto"/>
        <w:rPr>
          <w:sz w:val="20"/>
          <w:szCs w:val="20"/>
          <w:color w:val="auto"/>
        </w:rPr>
      </w:pPr>
      <w:r>
        <w:rPr>
          <w:rFonts w:ascii="Arial" w:cs="Arial" w:eastAsia="Arial" w:hAnsi="Arial"/>
          <w:sz w:val="10"/>
          <w:szCs w:val="10"/>
          <w:color w:val="auto"/>
        </w:rPr>
        <w:t>Interest elements of lease payments</w:t>
      </w:r>
    </w:p>
    <w:p>
      <w:pPr>
        <w:ind w:left="20"/>
        <w:spacing w:after="0" w:line="227" w:lineRule="auto"/>
        <w:rPr>
          <w:sz w:val="20"/>
          <w:szCs w:val="20"/>
          <w:color w:val="auto"/>
        </w:rPr>
      </w:pPr>
      <w:r>
        <w:rPr>
          <w:rFonts w:ascii="Arial" w:cs="Arial" w:eastAsia="Arial" w:hAnsi="Arial"/>
          <w:sz w:val="10"/>
          <w:szCs w:val="10"/>
          <w:color w:val="auto"/>
        </w:rPr>
        <w:t>Interest paid</w:t>
      </w:r>
    </w:p>
    <w:p>
      <w:pPr>
        <w:ind w:left="20"/>
        <w:spacing w:after="0"/>
        <w:rPr>
          <w:sz w:val="20"/>
          <w:szCs w:val="20"/>
          <w:color w:val="auto"/>
        </w:rPr>
      </w:pPr>
      <w:r>
        <w:rPr>
          <w:rFonts w:ascii="Arial" w:cs="Arial" w:eastAsia="Arial" w:hAnsi="Arial"/>
          <w:sz w:val="10"/>
          <w:szCs w:val="10"/>
          <w:color w:val="auto"/>
        </w:rPr>
        <w:t>Corporate taxes paid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cash provided by operating activities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investing activities:</w:t>
      </w:r>
    </w:p>
    <w:p>
      <w:pPr>
        <w:ind w:left="20"/>
        <w:spacing w:after="0" w:line="234" w:lineRule="auto"/>
        <w:rPr>
          <w:sz w:val="20"/>
          <w:szCs w:val="20"/>
          <w:color w:val="auto"/>
        </w:rPr>
      </w:pPr>
      <w:r>
        <w:rPr>
          <w:rFonts w:ascii="Arial" w:cs="Arial" w:eastAsia="Arial" w:hAnsi="Arial"/>
          <w:sz w:val="10"/>
          <w:szCs w:val="10"/>
          <w:color w:val="auto"/>
        </w:rPr>
        <w:t>Investment in tangible assets</w:t>
      </w:r>
    </w:p>
    <w:p>
      <w:pPr>
        <w:ind w:left="20"/>
        <w:spacing w:after="0" w:line="227" w:lineRule="auto"/>
        <w:rPr>
          <w:sz w:val="20"/>
          <w:szCs w:val="20"/>
          <w:color w:val="auto"/>
        </w:rPr>
      </w:pPr>
      <w:r>
        <w:rPr>
          <w:rFonts w:ascii="Arial" w:cs="Arial" w:eastAsia="Arial" w:hAnsi="Arial"/>
          <w:sz w:val="10"/>
          <w:szCs w:val="10"/>
          <w:color w:val="auto"/>
        </w:rPr>
        <w:t>Marketable securities bought</w:t>
      </w:r>
    </w:p>
    <w:p>
      <w:pPr>
        <w:ind w:left="20"/>
        <w:spacing w:after="0" w:line="227" w:lineRule="auto"/>
        <w:rPr>
          <w:sz w:val="20"/>
          <w:szCs w:val="20"/>
          <w:color w:val="auto"/>
        </w:rPr>
      </w:pPr>
      <w:r>
        <w:rPr>
          <w:rFonts w:ascii="Arial" w:cs="Arial" w:eastAsia="Arial" w:hAnsi="Arial"/>
          <w:sz w:val="10"/>
          <w:szCs w:val="10"/>
          <w:color w:val="auto"/>
        </w:rPr>
        <w:t>Marketable securities sold</w:t>
      </w:r>
    </w:p>
    <w:p>
      <w:pPr>
        <w:ind w:left="20"/>
        <w:spacing w:after="0" w:line="227" w:lineRule="auto"/>
        <w:rPr>
          <w:sz w:val="20"/>
          <w:szCs w:val="20"/>
          <w:color w:val="auto"/>
        </w:rPr>
      </w:pPr>
      <w:r>
        <w:rPr>
          <w:rFonts w:ascii="Arial" w:cs="Arial" w:eastAsia="Arial" w:hAnsi="Arial"/>
          <w:sz w:val="10"/>
          <w:szCs w:val="10"/>
          <w:color w:val="auto"/>
        </w:rPr>
        <w:t>Other investments bought</w:t>
      </w:r>
    </w:p>
    <w:p>
      <w:pPr>
        <w:ind w:left="20"/>
        <w:spacing w:after="0"/>
        <w:rPr>
          <w:sz w:val="20"/>
          <w:szCs w:val="20"/>
          <w:color w:val="auto"/>
        </w:rPr>
      </w:pPr>
      <w:r>
        <w:rPr>
          <w:rFonts w:ascii="Arial" w:cs="Arial" w:eastAsia="Arial" w:hAnsi="Arial"/>
          <w:sz w:val="10"/>
          <w:szCs w:val="10"/>
          <w:color w:val="auto"/>
        </w:rPr>
        <w:t>Other investments sold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cash (used in) investing activities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financing activities:</w:t>
      </w:r>
    </w:p>
    <w:p>
      <w:pPr>
        <w:ind w:left="20"/>
        <w:spacing w:after="0" w:line="234" w:lineRule="auto"/>
        <w:rPr>
          <w:sz w:val="20"/>
          <w:szCs w:val="20"/>
          <w:color w:val="auto"/>
        </w:rPr>
      </w:pPr>
      <w:r>
        <w:rPr>
          <w:rFonts w:ascii="Arial" w:cs="Arial" w:eastAsia="Arial" w:hAnsi="Arial"/>
          <w:sz w:val="10"/>
          <w:szCs w:val="10"/>
          <w:color w:val="auto"/>
        </w:rPr>
        <w:t>Warrants exercised</w:t>
      </w:r>
    </w:p>
    <w:p>
      <w:pPr>
        <w:ind w:left="20"/>
        <w:spacing w:after="0" w:line="227" w:lineRule="auto"/>
        <w:rPr>
          <w:sz w:val="20"/>
          <w:szCs w:val="20"/>
          <w:color w:val="auto"/>
        </w:rPr>
      </w:pPr>
      <w:r>
        <w:rPr>
          <w:rFonts w:ascii="Arial" w:cs="Arial" w:eastAsia="Arial" w:hAnsi="Arial"/>
          <w:sz w:val="10"/>
          <w:szCs w:val="10"/>
          <w:color w:val="auto"/>
        </w:rPr>
        <w:t>Principal elements of lease payments</w:t>
      </w:r>
    </w:p>
    <w:p>
      <w:pPr>
        <w:ind w:left="20"/>
        <w:spacing w:after="0" w:line="227" w:lineRule="auto"/>
        <w:rPr>
          <w:sz w:val="20"/>
          <w:szCs w:val="20"/>
          <w:color w:val="auto"/>
        </w:rPr>
      </w:pPr>
      <w:r>
        <w:rPr>
          <w:rFonts w:ascii="Arial" w:cs="Arial" w:eastAsia="Arial" w:hAnsi="Arial"/>
          <w:sz w:val="10"/>
          <w:szCs w:val="10"/>
          <w:color w:val="auto"/>
        </w:rPr>
        <w:t>Purchase of treasury shares</w:t>
      </w:r>
    </w:p>
    <w:p>
      <w:pPr>
        <w:ind w:left="20"/>
        <w:spacing w:after="0"/>
        <w:rPr>
          <w:sz w:val="20"/>
          <w:szCs w:val="20"/>
          <w:color w:val="auto"/>
        </w:rPr>
      </w:pPr>
      <w:r>
        <w:rPr>
          <w:rFonts w:ascii="Arial" w:cs="Arial" w:eastAsia="Arial" w:hAnsi="Arial"/>
          <w:sz w:val="10"/>
          <w:szCs w:val="10"/>
          <w:color w:val="auto"/>
        </w:rPr>
        <w:t>Payment of withholding taxes on behalf of employees on net settled RSUs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Changes in cash and cash equivalents</w:t>
      </w:r>
    </w:p>
    <w:p>
      <w:pPr>
        <w:ind w:left="20"/>
        <w:spacing w:after="0" w:line="234" w:lineRule="auto"/>
        <w:rPr>
          <w:sz w:val="20"/>
          <w:szCs w:val="20"/>
          <w:color w:val="auto"/>
        </w:rPr>
      </w:pPr>
      <w:r>
        <w:rPr>
          <w:rFonts w:ascii="Arial" w:cs="Arial" w:eastAsia="Arial" w:hAnsi="Arial"/>
          <w:sz w:val="10"/>
          <w:szCs w:val="10"/>
          <w:color w:val="auto"/>
        </w:rPr>
        <w:t>Cash and cash equivalents at the beginning of the period</w:t>
      </w:r>
    </w:p>
    <w:p>
      <w:pPr>
        <w:ind w:left="20"/>
        <w:spacing w:after="0"/>
        <w:rPr>
          <w:sz w:val="20"/>
          <w:szCs w:val="20"/>
          <w:color w:val="auto"/>
        </w:rPr>
      </w:pPr>
      <w:r>
        <w:rPr>
          <w:rFonts w:ascii="Arial" w:cs="Arial" w:eastAsia="Arial" w:hAnsi="Arial"/>
          <w:sz w:val="10"/>
          <w:szCs w:val="10"/>
          <w:color w:val="auto"/>
        </w:rPr>
        <w:t>Exchange rate adjustments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and cash equivalents at the end of the period</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and cash equivalents include:</w:t>
      </w:r>
    </w:p>
    <w:p>
      <w:pPr>
        <w:ind w:left="20"/>
        <w:spacing w:after="0" w:line="234" w:lineRule="auto"/>
        <w:rPr>
          <w:sz w:val="20"/>
          <w:szCs w:val="20"/>
          <w:color w:val="auto"/>
        </w:rPr>
      </w:pPr>
      <w:r>
        <w:rPr>
          <w:rFonts w:ascii="Arial" w:cs="Arial" w:eastAsia="Arial" w:hAnsi="Arial"/>
          <w:sz w:val="10"/>
          <w:szCs w:val="10"/>
          <w:color w:val="auto"/>
        </w:rPr>
        <w:t>Bank deposits</w:t>
      </w:r>
    </w:p>
    <w:p>
      <w:pPr>
        <w:ind w:left="20"/>
        <w:spacing w:after="0"/>
        <w:rPr>
          <w:sz w:val="20"/>
          <w:szCs w:val="20"/>
          <w:color w:val="auto"/>
        </w:rPr>
      </w:pPr>
      <w:r>
        <w:rPr>
          <w:rFonts w:ascii="Arial" w:cs="Arial" w:eastAsia="Arial" w:hAnsi="Arial"/>
          <w:sz w:val="10"/>
          <w:szCs w:val="10"/>
          <w:color w:val="auto"/>
        </w:rPr>
        <w:t>Short-term marketable securities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and cash equivalents at the end of the period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tcPr>
          <w:p>
            <w:pPr>
              <w:spacing w:after="0"/>
              <w:rPr>
                <w:sz w:val="20"/>
                <w:szCs w:val="20"/>
                <w:color w:val="auto"/>
              </w:rPr>
            </w:pPr>
            <w:r>
              <w:rPr>
                <w:rFonts w:ascii="Arial" w:cs="Arial" w:eastAsia="Arial" w:hAnsi="Arial"/>
                <w:sz w:val="10"/>
                <w:szCs w:val="10"/>
                <w:color w:val="auto"/>
              </w:rPr>
              <w:t>Genmab A/S</w:t>
            </w:r>
          </w:p>
        </w:tc>
        <w:tc>
          <w:tcPr>
            <w:tcW w:w="820" w:type="dxa"/>
            <w:vAlign w:val="bottom"/>
            <w:gridSpan w:val="2"/>
          </w:tcPr>
          <w:p>
            <w:pPr>
              <w:spacing w:after="0"/>
              <w:rPr>
                <w:sz w:val="20"/>
                <w:szCs w:val="20"/>
                <w:color w:val="auto"/>
              </w:rPr>
            </w:pPr>
            <w:r>
              <w:rPr>
                <w:rFonts w:ascii="Arial" w:cs="Arial" w:eastAsia="Arial" w:hAnsi="Arial"/>
                <w:sz w:val="10"/>
                <w:szCs w:val="10"/>
                <w:color w:val="auto"/>
                <w:w w:val="92"/>
              </w:rPr>
              <w:t>Tel: +45 7020 2728</w:t>
            </w:r>
          </w:p>
        </w:tc>
      </w:tr>
      <w:tr>
        <w:trPr>
          <w:trHeight w:val="109"/>
        </w:trPr>
        <w:tc>
          <w:tcPr>
            <w:tcW w:w="31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820" w:type="dxa"/>
            <w:vAlign w:val="bottom"/>
            <w:gridSpan w:val="2"/>
          </w:tcPr>
          <w:p>
            <w:pPr>
              <w:spacing w:after="0" w:line="105" w:lineRule="exact"/>
              <w:rPr>
                <w:sz w:val="20"/>
                <w:szCs w:val="20"/>
                <w:color w:val="auto"/>
              </w:rPr>
            </w:pPr>
            <w:r>
              <w:rPr>
                <w:rFonts w:ascii="Arial" w:cs="Arial" w:eastAsia="Arial" w:hAnsi="Arial"/>
                <w:sz w:val="10"/>
                <w:szCs w:val="10"/>
                <w:color w:val="0000FF"/>
                <w:w w:val="97"/>
              </w:rPr>
              <w:t>www.genmab.com</w:t>
            </w: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236220</wp:posOffset>
            </wp:positionV>
            <wp:extent cx="569214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660" w:type="dxa"/>
            <w:vAlign w:val="bottom"/>
            <w:gridSpan w:val="2"/>
          </w:tcPr>
          <w:p>
            <w:pPr>
              <w:jc w:val="center"/>
              <w:ind w:right="40"/>
              <w:spacing w:after="0"/>
              <w:rPr>
                <w:sz w:val="20"/>
                <w:szCs w:val="20"/>
                <w:color w:val="auto"/>
              </w:rPr>
            </w:pPr>
            <w:r>
              <w:rPr>
                <w:rFonts w:ascii="Arial" w:cs="Arial" w:eastAsia="Arial" w:hAnsi="Arial"/>
                <w:sz w:val="10"/>
                <w:szCs w:val="10"/>
                <w:color w:val="auto"/>
              </w:rPr>
              <w:t>Note</w:t>
            </w:r>
          </w:p>
        </w:tc>
        <w:tc>
          <w:tcPr>
            <w:tcW w:w="620" w:type="dxa"/>
            <w:vAlign w:val="bottom"/>
          </w:tcPr>
          <w:p>
            <w:pPr>
              <w:jc w:val="right"/>
              <w:spacing w:after="0"/>
              <w:rPr>
                <w:sz w:val="20"/>
                <w:szCs w:val="20"/>
                <w:color w:val="auto"/>
              </w:rPr>
            </w:pPr>
            <w:r>
              <w:rPr>
                <w:rFonts w:ascii="Arial" w:cs="Arial" w:eastAsia="Arial" w:hAnsi="Arial"/>
                <w:sz w:val="10"/>
                <w:szCs w:val="10"/>
                <w:color w:val="auto"/>
              </w:rPr>
              <w:t>2022</w:t>
            </w:r>
          </w:p>
        </w:tc>
        <w:tc>
          <w:tcPr>
            <w:tcW w:w="1040" w:type="dxa"/>
            <w:vAlign w:val="bottom"/>
            <w:gridSpan w:val="3"/>
          </w:tcPr>
          <w:p>
            <w:pPr>
              <w:jc w:val="right"/>
              <w:spacing w:after="0"/>
              <w:rPr>
                <w:sz w:val="20"/>
                <w:szCs w:val="20"/>
                <w:color w:val="auto"/>
              </w:rPr>
            </w:pPr>
            <w:r>
              <w:rPr>
                <w:rFonts w:ascii="Arial" w:cs="Arial" w:eastAsia="Arial" w:hAnsi="Arial"/>
                <w:sz w:val="10"/>
                <w:szCs w:val="10"/>
                <w:color w:val="auto"/>
              </w:rPr>
              <w:t>2021</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right"/>
              <w:ind w:right="349"/>
              <w:spacing w:after="0"/>
              <w:rPr>
                <w:sz w:val="20"/>
                <w:szCs w:val="20"/>
                <w:color w:val="auto"/>
              </w:rPr>
            </w:pPr>
            <w:r>
              <w:rPr>
                <w:rFonts w:ascii="Arial" w:cs="Arial" w:eastAsia="Arial" w:hAnsi="Arial"/>
                <w:sz w:val="10"/>
                <w:szCs w:val="10"/>
                <w:color w:val="auto"/>
              </w:rPr>
              <w:t>2020</w:t>
            </w:r>
          </w:p>
        </w:tc>
      </w:tr>
      <w:tr>
        <w:trPr>
          <w:trHeight w:val="444"/>
        </w:trPr>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7,035</w:t>
            </w: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3,983</w:t>
            </w:r>
          </w:p>
        </w:tc>
        <w:tc>
          <w:tcPr>
            <w:tcW w:w="6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5,904</w:t>
            </w:r>
          </w:p>
        </w:tc>
      </w:tr>
      <w:tr>
        <w:trPr>
          <w:trHeight w:val="185"/>
        </w:trPr>
        <w:tc>
          <w:tcPr>
            <w:tcW w:w="600" w:type="dxa"/>
            <w:vAlign w:val="bottom"/>
          </w:tcPr>
          <w:p>
            <w:pPr>
              <w:jc w:val="center"/>
              <w:spacing w:after="0"/>
              <w:rPr>
                <w:sz w:val="20"/>
                <w:szCs w:val="20"/>
                <w:color w:val="auto"/>
              </w:rPr>
            </w:pPr>
            <w:r>
              <w:rPr>
                <w:rFonts w:ascii="Arial" w:cs="Arial" w:eastAsia="Arial" w:hAnsi="Arial"/>
                <w:sz w:val="10"/>
                <w:szCs w:val="10"/>
                <w:color w:val="auto"/>
              </w:rPr>
              <w:t>4.5</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(678)</w:t>
            </w:r>
          </w:p>
        </w:tc>
        <w:tc>
          <w:tcPr>
            <w:tcW w:w="62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(965)</w:t>
            </w:r>
          </w:p>
        </w:tc>
        <w:tc>
          <w:tcPr>
            <w:tcW w:w="1020" w:type="dxa"/>
            <w:vAlign w:val="bottom"/>
          </w:tcPr>
          <w:p>
            <w:pPr>
              <w:jc w:val="right"/>
              <w:spacing w:after="0"/>
              <w:rPr>
                <w:sz w:val="20"/>
                <w:szCs w:val="20"/>
                <w:color w:val="auto"/>
              </w:rPr>
            </w:pPr>
            <w:r>
              <w:rPr>
                <w:rFonts w:ascii="Arial" w:cs="Arial" w:eastAsia="Arial" w:hAnsi="Arial"/>
                <w:sz w:val="10"/>
                <w:szCs w:val="10"/>
                <w:color w:val="auto"/>
              </w:rPr>
              <w:t>409</w:t>
            </w:r>
          </w:p>
        </w:tc>
      </w:tr>
      <w:tr>
        <w:trPr>
          <w:trHeight w:val="109"/>
        </w:trPr>
        <w:tc>
          <w:tcPr>
            <w:tcW w:w="600" w:type="dxa"/>
            <w:vAlign w:val="bottom"/>
          </w:tcPr>
          <w:p>
            <w:pPr>
              <w:jc w:val="center"/>
              <w:spacing w:after="0" w:line="109" w:lineRule="exact"/>
              <w:rPr>
                <w:sz w:val="20"/>
                <w:szCs w:val="20"/>
                <w:color w:val="auto"/>
              </w:rPr>
            </w:pPr>
            <w:r>
              <w:rPr>
                <w:rFonts w:ascii="Arial" w:cs="Arial" w:eastAsia="Arial" w:hAnsi="Arial"/>
                <w:sz w:val="10"/>
                <w:szCs w:val="10"/>
                <w:color w:val="auto"/>
              </w:rPr>
              <w:t>5.5</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jc w:val="right"/>
              <w:spacing w:after="0" w:line="109" w:lineRule="exact"/>
              <w:rPr>
                <w:sz w:val="20"/>
                <w:szCs w:val="20"/>
                <w:color w:val="auto"/>
              </w:rPr>
            </w:pPr>
            <w:r>
              <w:rPr>
                <w:rFonts w:ascii="Arial" w:cs="Arial" w:eastAsia="Arial" w:hAnsi="Arial"/>
                <w:sz w:val="10"/>
                <w:szCs w:val="10"/>
                <w:color w:val="auto"/>
              </w:rPr>
              <w:t>801</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526</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459</w:t>
            </w:r>
          </w:p>
        </w:tc>
      </w:tr>
      <w:tr>
        <w:trPr>
          <w:trHeight w:val="121"/>
        </w:trPr>
        <w:tc>
          <w:tcPr>
            <w:tcW w:w="600" w:type="dxa"/>
            <w:vAlign w:val="bottom"/>
          </w:tcPr>
          <w:p>
            <w:pPr>
              <w:jc w:val="center"/>
              <w:spacing w:after="0"/>
              <w:rPr>
                <w:sz w:val="20"/>
                <w:szCs w:val="20"/>
                <w:color w:val="auto"/>
              </w:rPr>
            </w:pPr>
            <w:r>
              <w:rPr>
                <w:rFonts w:ascii="Arial" w:cs="Arial" w:eastAsia="Arial" w:hAnsi="Arial"/>
                <w:sz w:val="10"/>
                <w:szCs w:val="10"/>
                <w:color w:val="auto"/>
              </w:rPr>
              <w:t>5.5</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(1,930)</w:t>
            </w:r>
          </w:p>
        </w:tc>
        <w:tc>
          <w:tcPr>
            <w:tcW w:w="62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(770)</w:t>
            </w:r>
          </w:p>
        </w:tc>
        <w:tc>
          <w:tcPr>
            <w:tcW w:w="1020" w:type="dxa"/>
            <w:vAlign w:val="bottom"/>
          </w:tcPr>
          <w:p>
            <w:pPr>
              <w:jc w:val="right"/>
              <w:spacing w:after="0"/>
              <w:rPr>
                <w:sz w:val="20"/>
                <w:szCs w:val="20"/>
                <w:color w:val="auto"/>
              </w:rPr>
            </w:pPr>
            <w:r>
              <w:rPr>
                <w:rFonts w:ascii="Arial" w:cs="Arial" w:eastAsia="Arial" w:hAnsi="Arial"/>
                <w:sz w:val="10"/>
                <w:szCs w:val="10"/>
                <w:color w:val="auto"/>
              </w:rPr>
              <w:t>987</w:t>
            </w:r>
          </w:p>
        </w:tc>
      </w:tr>
      <w:tr>
        <w:trPr>
          <w:trHeight w:val="226"/>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5,228</w:t>
            </w: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2,774</w:t>
            </w:r>
          </w:p>
        </w:tc>
        <w:tc>
          <w:tcPr>
            <w:tcW w:w="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7,759</w:t>
            </w:r>
          </w:p>
        </w:tc>
      </w:tr>
      <w:tr>
        <w:trPr>
          <w:trHeight w:val="185"/>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283</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208</w:t>
            </w: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170</w:t>
            </w:r>
          </w:p>
        </w:tc>
      </w:tr>
      <w:tr>
        <w:trPr>
          <w:trHeight w:val="109"/>
        </w:trPr>
        <w:tc>
          <w:tcPr>
            <w:tcW w:w="600" w:type="dxa"/>
            <w:vAlign w:val="bottom"/>
          </w:tcPr>
          <w:p>
            <w:pPr>
              <w:jc w:val="center"/>
              <w:spacing w:after="0" w:line="109"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(15)</w:t>
            </w:r>
          </w:p>
        </w:tc>
        <w:tc>
          <w:tcPr>
            <w:tcW w:w="620" w:type="dxa"/>
            <w:vAlign w:val="bottom"/>
          </w:tcPr>
          <w:p>
            <w:pPr>
              <w:spacing w:after="0"/>
              <w:rPr>
                <w:sz w:val="9"/>
                <w:szCs w:val="9"/>
                <w:color w:val="auto"/>
              </w:rPr>
            </w:pPr>
          </w:p>
        </w:tc>
        <w:tc>
          <w:tcPr>
            <w:tcW w:w="4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(12)</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(9)</w:t>
            </w:r>
          </w:p>
        </w:tc>
      </w:tr>
      <w:tr>
        <w:trPr>
          <w:trHeight w:val="109"/>
        </w:trPr>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w:t>
            </w:r>
          </w:p>
        </w:tc>
        <w:tc>
          <w:tcPr>
            <w:tcW w:w="6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(11)</w:t>
            </w:r>
          </w:p>
        </w:tc>
      </w:tr>
      <w:tr>
        <w:trPr>
          <w:trHeight w:val="121"/>
        </w:trPr>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(1,583)</w:t>
            </w:r>
          </w:p>
        </w:tc>
        <w:tc>
          <w:tcPr>
            <w:tcW w:w="62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(742)</w:t>
            </w:r>
          </w:p>
        </w:tc>
        <w:tc>
          <w:tcPr>
            <w:tcW w:w="1020" w:type="dxa"/>
            <w:vAlign w:val="bottom"/>
          </w:tcPr>
          <w:p>
            <w:pPr>
              <w:jc w:val="right"/>
              <w:spacing w:after="0"/>
              <w:rPr>
                <w:sz w:val="20"/>
                <w:szCs w:val="20"/>
                <w:color w:val="auto"/>
              </w:rPr>
            </w:pPr>
            <w:r>
              <w:rPr>
                <w:rFonts w:ascii="Arial" w:cs="Arial" w:eastAsia="Arial" w:hAnsi="Arial"/>
                <w:sz w:val="10"/>
                <w:szCs w:val="10"/>
                <w:color w:val="auto"/>
              </w:rPr>
              <w:t>(1,476)</w:t>
            </w:r>
          </w:p>
        </w:tc>
      </w:t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3,912</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2,228</w:t>
            </w:r>
          </w:p>
        </w:tc>
        <w:tc>
          <w:tcPr>
            <w:tcW w:w="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6,433</w:t>
            </w:r>
          </w:p>
        </w:tc>
      </w:tr>
      <w:tr>
        <w:trPr>
          <w:trHeight w:val="303"/>
        </w:trPr>
        <w:tc>
          <w:tcPr>
            <w:tcW w:w="600" w:type="dxa"/>
            <w:vAlign w:val="bottom"/>
          </w:tcPr>
          <w:p>
            <w:pPr>
              <w:jc w:val="center"/>
              <w:spacing w:after="0"/>
              <w:rPr>
                <w:sz w:val="20"/>
                <w:szCs w:val="20"/>
                <w:color w:val="auto"/>
              </w:rPr>
            </w:pPr>
            <w:r>
              <w:rPr>
                <w:rFonts w:ascii="Arial" w:cs="Arial" w:eastAsia="Arial" w:hAnsi="Arial"/>
                <w:sz w:val="10"/>
                <w:szCs w:val="10"/>
                <w:color w:val="auto"/>
              </w:rPr>
              <w:t>3.2</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(317)</w:t>
            </w:r>
          </w:p>
        </w:tc>
        <w:tc>
          <w:tcPr>
            <w:tcW w:w="6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(252)</w:t>
            </w:r>
          </w:p>
        </w:tc>
        <w:tc>
          <w:tcPr>
            <w:tcW w:w="1020" w:type="dxa"/>
            <w:vAlign w:val="bottom"/>
          </w:tcPr>
          <w:p>
            <w:pPr>
              <w:jc w:val="right"/>
              <w:spacing w:after="0"/>
              <w:rPr>
                <w:sz w:val="20"/>
                <w:szCs w:val="20"/>
                <w:color w:val="auto"/>
              </w:rPr>
            </w:pPr>
            <w:r>
              <w:rPr>
                <w:rFonts w:ascii="Arial" w:cs="Arial" w:eastAsia="Arial" w:hAnsi="Arial"/>
                <w:sz w:val="10"/>
                <w:szCs w:val="10"/>
                <w:color w:val="auto"/>
              </w:rPr>
              <w:t>(307)</w:t>
            </w:r>
          </w:p>
        </w:tc>
      </w:tr>
      <w:tr>
        <w:trPr>
          <w:trHeight w:val="109"/>
        </w:trPr>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(9,659)</w:t>
            </w:r>
          </w:p>
        </w:tc>
        <w:tc>
          <w:tcPr>
            <w:tcW w:w="620" w:type="dxa"/>
            <w:vAlign w:val="bottom"/>
          </w:tcPr>
          <w:p>
            <w:pPr>
              <w:spacing w:after="0"/>
              <w:rPr>
                <w:sz w:val="9"/>
                <w:szCs w:val="9"/>
                <w:color w:val="auto"/>
              </w:rPr>
            </w:pPr>
          </w:p>
        </w:tc>
        <w:tc>
          <w:tcPr>
            <w:tcW w:w="4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w w:val="96"/>
              </w:rPr>
              <w:t>(15,514)</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(12,414)</w:t>
            </w:r>
          </w:p>
        </w:tc>
      </w:tr>
      <w:tr>
        <w:trPr>
          <w:trHeight w:val="109"/>
        </w:trPr>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jc w:val="right"/>
              <w:spacing w:after="0" w:line="109" w:lineRule="exact"/>
              <w:rPr>
                <w:sz w:val="20"/>
                <w:szCs w:val="20"/>
                <w:color w:val="auto"/>
              </w:rPr>
            </w:pPr>
            <w:r>
              <w:rPr>
                <w:rFonts w:ascii="Arial" w:cs="Arial" w:eastAsia="Arial" w:hAnsi="Arial"/>
                <w:sz w:val="10"/>
                <w:szCs w:val="10"/>
                <w:color w:val="auto"/>
              </w:rPr>
              <w:t>7,254</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14,469</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10,370</w:t>
            </w:r>
          </w:p>
        </w:tc>
      </w:tr>
      <w:tr>
        <w:trPr>
          <w:trHeight w:val="109"/>
        </w:trPr>
        <w:tc>
          <w:tcPr>
            <w:tcW w:w="600" w:type="dxa"/>
            <w:vAlign w:val="bottom"/>
          </w:tcPr>
          <w:p>
            <w:pPr>
              <w:jc w:val="center"/>
              <w:spacing w:after="0" w:line="109" w:lineRule="exact"/>
              <w:rPr>
                <w:sz w:val="20"/>
                <w:szCs w:val="20"/>
                <w:color w:val="auto"/>
              </w:rPr>
            </w:pPr>
            <w:r>
              <w:rPr>
                <w:rFonts w:ascii="Arial" w:cs="Arial" w:eastAsia="Arial" w:hAnsi="Arial"/>
                <w:sz w:val="10"/>
                <w:szCs w:val="10"/>
                <w:color w:val="auto"/>
              </w:rPr>
              <w:t>3.4</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(39)</w:t>
            </w:r>
          </w:p>
        </w:tc>
        <w:tc>
          <w:tcPr>
            <w:tcW w:w="620" w:type="dxa"/>
            <w:vAlign w:val="bottom"/>
          </w:tcPr>
          <w:p>
            <w:pPr>
              <w:spacing w:after="0"/>
              <w:rPr>
                <w:sz w:val="9"/>
                <w:szCs w:val="9"/>
                <w:color w:val="auto"/>
              </w:rPr>
            </w:pPr>
          </w:p>
        </w:tc>
        <w:tc>
          <w:tcPr>
            <w:tcW w:w="4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(102)</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21"/>
        </w:trPr>
        <w:tc>
          <w:tcPr>
            <w:tcW w:w="600" w:type="dxa"/>
            <w:vAlign w:val="bottom"/>
          </w:tcPr>
          <w:p>
            <w:pPr>
              <w:jc w:val="center"/>
              <w:spacing w:after="0"/>
              <w:rPr>
                <w:sz w:val="20"/>
                <w:szCs w:val="20"/>
                <w:color w:val="auto"/>
              </w:rPr>
            </w:pPr>
            <w:r>
              <w:rPr>
                <w:rFonts w:ascii="Arial" w:cs="Arial" w:eastAsia="Arial" w:hAnsi="Arial"/>
                <w:sz w:val="10"/>
                <w:szCs w:val="10"/>
                <w:color w:val="auto"/>
              </w:rPr>
              <w:t>3.4</w:t>
            </w: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438</w:t>
            </w:r>
          </w:p>
        </w:tc>
        <w:tc>
          <w:tcPr>
            <w:tcW w:w="6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(2,761)</w:t>
            </w:r>
          </w:p>
        </w:tc>
        <w:tc>
          <w:tcPr>
            <w:tcW w:w="62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(961)</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(2,351)</w:t>
            </w:r>
          </w:p>
        </w:tc>
      </w:tr>
      <w:tr>
        <w:trPr>
          <w:trHeight w:val="303"/>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280</w:t>
            </w: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135</w:t>
            </w:r>
          </w:p>
        </w:tc>
        <w:tc>
          <w:tcPr>
            <w:tcW w:w="6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w:t>
            </w:r>
          </w:p>
        </w:tc>
      </w:tr>
      <w:tr>
        <w:trPr>
          <w:trHeight w:val="109"/>
        </w:trPr>
        <w:tc>
          <w:tcPr>
            <w:tcW w:w="600" w:type="dxa"/>
            <w:vAlign w:val="bottom"/>
          </w:tcPr>
          <w:p>
            <w:pPr>
              <w:jc w:val="center"/>
              <w:spacing w:after="0" w:line="109"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(73)</w:t>
            </w:r>
          </w:p>
        </w:tc>
        <w:tc>
          <w:tcPr>
            <w:tcW w:w="620" w:type="dxa"/>
            <w:vAlign w:val="bottom"/>
          </w:tcPr>
          <w:p>
            <w:pPr>
              <w:spacing w:after="0"/>
              <w:rPr>
                <w:sz w:val="9"/>
                <w:szCs w:val="9"/>
                <w:color w:val="auto"/>
              </w:rPr>
            </w:pPr>
          </w:p>
        </w:tc>
        <w:tc>
          <w:tcPr>
            <w:tcW w:w="4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(58)</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(44)</w:t>
            </w:r>
          </w:p>
        </w:tc>
      </w:tr>
      <w:tr>
        <w:trPr>
          <w:trHeight w:val="109"/>
        </w:trPr>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(908)</w:t>
            </w:r>
          </w:p>
        </w:tc>
        <w:tc>
          <w:tcPr>
            <w:tcW w:w="620" w:type="dxa"/>
            <w:vAlign w:val="bottom"/>
          </w:tcPr>
          <w:p>
            <w:pPr>
              <w:spacing w:after="0"/>
              <w:rPr>
                <w:sz w:val="9"/>
                <w:szCs w:val="9"/>
                <w:color w:val="auto"/>
              </w:rPr>
            </w:pPr>
          </w:p>
        </w:tc>
        <w:tc>
          <w:tcPr>
            <w:tcW w:w="4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(447)</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21"/>
        </w:trPr>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(88)</w:t>
            </w:r>
          </w:p>
        </w:tc>
        <w:tc>
          <w:tcPr>
            <w:tcW w:w="62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(50)</w:t>
            </w:r>
          </w:p>
        </w:tc>
        <w:tc>
          <w:tcPr>
            <w:tcW w:w="102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(789)</w:t>
            </w:r>
          </w:p>
        </w:tc>
        <w:tc>
          <w:tcPr>
            <w:tcW w:w="62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(420)</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71</w:t>
            </w:r>
          </w:p>
        </w:tc>
      </w:tr>
      <w:tr>
        <w:trPr>
          <w:trHeight w:val="194"/>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362</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847</w:t>
            </w: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4,153</w:t>
            </w:r>
          </w:p>
        </w:tc>
      </w:tr>
      <w:tr>
        <w:trPr>
          <w:trHeight w:val="109"/>
        </w:trPr>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jc w:val="right"/>
              <w:spacing w:after="0" w:line="109" w:lineRule="exact"/>
              <w:rPr>
                <w:sz w:val="20"/>
                <w:szCs w:val="20"/>
                <w:color w:val="auto"/>
              </w:rPr>
            </w:pPr>
            <w:r>
              <w:rPr>
                <w:rFonts w:ascii="Arial" w:cs="Arial" w:eastAsia="Arial" w:hAnsi="Arial"/>
                <w:sz w:val="10"/>
                <w:szCs w:val="10"/>
                <w:color w:val="auto"/>
              </w:rPr>
              <w:t>8,957</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7,260</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3,552</w:t>
            </w:r>
          </w:p>
        </w:tc>
      </w:tr>
      <w:tr>
        <w:trPr>
          <w:trHeight w:val="121"/>
        </w:trPr>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574</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850</w:t>
            </w:r>
          </w:p>
        </w:tc>
        <w:tc>
          <w:tcPr>
            <w:tcW w:w="6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(445)</w:t>
            </w:r>
          </w:p>
        </w:tc>
      </w:t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9,893</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8,957</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7,260</w:t>
            </w:r>
          </w:p>
        </w:tc>
      </w:tr>
      <w:tr>
        <w:trPr>
          <w:trHeight w:val="303"/>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9,299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8,661</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5,054</w:t>
            </w:r>
          </w:p>
        </w:tc>
      </w:tr>
      <w:tr>
        <w:trPr>
          <w:trHeight w:val="121"/>
        </w:trPr>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594</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296</w:t>
            </w:r>
          </w:p>
        </w:tc>
        <w:tc>
          <w:tcPr>
            <w:tcW w:w="6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2,206</w:t>
            </w:r>
          </w:p>
        </w:tc>
      </w:t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9,893</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8,957</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-3815080</wp:posOffset>
            </wp:positionV>
            <wp:extent cx="1323975" cy="385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129" w:lineRule="exact"/>
        <w:rPr>
          <w:sz w:val="20"/>
          <w:szCs w:val="20"/>
          <w:color w:val="auto"/>
        </w:rPr>
      </w:pPr>
    </w:p>
    <w:p>
      <w:pPr>
        <w:jc w:val="right"/>
        <w:ind w:right="39"/>
        <w:spacing w:after="0"/>
        <w:rPr>
          <w:sz w:val="20"/>
          <w:szCs w:val="20"/>
          <w:color w:val="auto"/>
        </w:rPr>
      </w:pPr>
      <w:r>
        <w:rPr>
          <w:rFonts w:ascii="Arial" w:cs="Arial" w:eastAsia="Arial" w:hAnsi="Arial"/>
          <w:sz w:val="10"/>
          <w:szCs w:val="10"/>
          <w:color w:val="auto"/>
        </w:rPr>
        <w:t>Company Announcement no. 05</w:t>
      </w:r>
    </w:p>
    <w:p>
      <w:pPr>
        <w:jc w:val="right"/>
        <w:ind w:right="39"/>
        <w:spacing w:after="0" w:line="230" w:lineRule="auto"/>
        <w:rPr>
          <w:sz w:val="20"/>
          <w:szCs w:val="20"/>
          <w:color w:val="auto"/>
        </w:rPr>
      </w:pPr>
      <w:r>
        <w:rPr>
          <w:rFonts w:ascii="Arial" w:cs="Arial" w:eastAsia="Arial" w:hAnsi="Arial"/>
          <w:sz w:val="10"/>
          <w:szCs w:val="10"/>
          <w:color w:val="auto"/>
        </w:rPr>
        <w:t>Page 78/158</w:t>
      </w:r>
    </w:p>
    <w:p>
      <w:pPr>
        <w:jc w:val="right"/>
        <w:ind w:right="39"/>
        <w:spacing w:after="0"/>
        <w:rPr>
          <w:sz w:val="20"/>
          <w:szCs w:val="20"/>
          <w:color w:val="auto"/>
        </w:rPr>
      </w:pPr>
      <w:r>
        <w:rPr>
          <w:rFonts w:ascii="Arial" w:cs="Arial" w:eastAsia="Arial" w:hAnsi="Arial"/>
          <w:sz w:val="10"/>
          <w:szCs w:val="10"/>
          <w:color w:val="auto"/>
        </w:rPr>
        <w:t>CVR no. 2102 3884</w:t>
      </w:r>
    </w:p>
    <w:p>
      <w:pPr>
        <w:sectPr>
          <w:pgSz w:w="11900" w:h="16838" w:orient="portrait"/>
          <w:cols w:equalWidth="0" w:num="2">
            <w:col w:w="4480" w:space="720"/>
            <w:col w:w="3819"/>
          </w:cols>
          <w:pgMar w:left="1440" w:top="484" w:right="1440" w:bottom="1440" w:gutter="0" w:footer="0" w:header="0"/>
        </w:sectPr>
      </w:pPr>
    </w:p>
    <w:bookmarkStart w:id="81" w:name="page82"/>
    <w:bookmarkEnd w:id="8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(DKK million)</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rPr>
              <w:t>Share capital</w:t>
            </w: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rPr>
              <w:t>Share premium</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Translation reserves</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rPr>
              <w:t>Retained earnings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Shareholders' equity</w:t>
            </w:r>
          </w:p>
        </w:tc>
      </w:tr>
      <w:tr>
        <w:trPr>
          <w:trHeight w:val="207"/>
        </w:trPr>
        <w:tc>
          <w:tcPr>
            <w:tcW w:w="2500" w:type="dxa"/>
            <w:vAlign w:val="bottom"/>
          </w:tcPr>
          <w:p>
            <w:pPr>
              <w:spacing w:after="0"/>
              <w:rPr>
                <w:sz w:val="20"/>
                <w:szCs w:val="20"/>
                <w:color w:val="auto"/>
              </w:rPr>
            </w:pPr>
            <w:r>
              <w:rPr>
                <w:rFonts w:ascii="Arial" w:cs="Arial" w:eastAsia="Arial" w:hAnsi="Arial"/>
                <w:sz w:val="10"/>
                <w:szCs w:val="10"/>
                <w:b w:val="1"/>
                <w:bCs w:val="1"/>
                <w:color w:val="auto"/>
              </w:rPr>
              <w:t>Balance at December 31, 2019</w:t>
            </w:r>
          </w:p>
        </w:tc>
        <w:tc>
          <w:tcPr>
            <w:tcW w:w="1280" w:type="dxa"/>
            <w:vAlign w:val="bottom"/>
            <w:gridSpan w:val="2"/>
          </w:tcPr>
          <w:p>
            <w:pPr>
              <w:spacing w:after="0"/>
              <w:rPr>
                <w:sz w:val="17"/>
                <w:szCs w:val="17"/>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65</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11,755</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98</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2,130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14,048</w:t>
            </w:r>
          </w:p>
        </w:tc>
      </w:tr>
      <w:tr>
        <w:trPr>
          <w:trHeight w:val="194"/>
        </w:trPr>
        <w:tc>
          <w:tcPr>
            <w:tcW w:w="2500" w:type="dxa"/>
            <w:vAlign w:val="bottom"/>
          </w:tcPr>
          <w:p>
            <w:pPr>
              <w:spacing w:after="0"/>
              <w:rPr>
                <w:sz w:val="20"/>
                <w:szCs w:val="20"/>
                <w:color w:val="auto"/>
              </w:rPr>
            </w:pPr>
            <w:r>
              <w:rPr>
                <w:rFonts w:ascii="Arial" w:cs="Arial" w:eastAsia="Arial" w:hAnsi="Arial"/>
                <w:sz w:val="10"/>
                <w:szCs w:val="10"/>
                <w:color w:val="auto"/>
              </w:rPr>
              <w:t>Net profit</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4,758</w:t>
            </w:r>
          </w:p>
        </w:tc>
        <w:tc>
          <w:tcPr>
            <w:tcW w:w="1000" w:type="dxa"/>
            <w:vAlign w:val="bottom"/>
          </w:tcPr>
          <w:p>
            <w:pPr>
              <w:jc w:val="right"/>
              <w:spacing w:after="0"/>
              <w:rPr>
                <w:sz w:val="20"/>
                <w:szCs w:val="20"/>
                <w:color w:val="auto"/>
              </w:rPr>
            </w:pPr>
            <w:r>
              <w:rPr>
                <w:rFonts w:ascii="Arial" w:cs="Arial" w:eastAsia="Arial" w:hAnsi="Arial"/>
                <w:sz w:val="10"/>
                <w:szCs w:val="10"/>
                <w:color w:val="auto"/>
              </w:rPr>
              <w:t>4,758</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Other comprehensive income</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
              <w:spacing w:after="0"/>
              <w:rPr>
                <w:sz w:val="20"/>
                <w:szCs w:val="20"/>
                <w:color w:val="auto"/>
              </w:rPr>
            </w:pPr>
            <w:r>
              <w:rPr>
                <w:rFonts w:ascii="Arial" w:cs="Arial" w:eastAsia="Arial" w:hAnsi="Arial"/>
                <w:sz w:val="10"/>
                <w:szCs w:val="10"/>
                <w:color w:val="auto"/>
              </w:rPr>
              <w:t>(44)</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30"/>
        </w:trPr>
        <w:tc>
          <w:tcPr>
            <w:tcW w:w="2500" w:type="dxa"/>
            <w:vAlign w:val="bottom"/>
          </w:tcPr>
          <w:p>
            <w:pPr>
              <w:spacing w:after="0"/>
              <w:rPr>
                <w:sz w:val="20"/>
                <w:szCs w:val="20"/>
                <w:color w:val="auto"/>
              </w:rPr>
            </w:pPr>
            <w:r>
              <w:rPr>
                <w:rFonts w:ascii="Arial" w:cs="Arial" w:eastAsia="Arial" w:hAnsi="Arial"/>
                <w:sz w:val="10"/>
                <w:szCs w:val="10"/>
                <w:b w:val="1"/>
                <w:bCs w:val="1"/>
                <w:color w:val="auto"/>
              </w:rPr>
              <w:t>Total comprehensive income</w:t>
            </w:r>
          </w:p>
        </w:tc>
        <w:tc>
          <w:tcPr>
            <w:tcW w:w="1280" w:type="dxa"/>
            <w:vAlign w:val="bottom"/>
            <w:gridSpan w:val="2"/>
          </w:tcPr>
          <w:p>
            <w:pPr>
              <w:spacing w:after="0"/>
              <w:rPr>
                <w:sz w:val="11"/>
                <w:szCs w:val="11"/>
                <w:color w:val="auto"/>
              </w:rPr>
            </w:pPr>
          </w:p>
        </w:tc>
        <w:tc>
          <w:tcPr>
            <w:tcW w:w="10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(44)</w:t>
            </w: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4,758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4,714</w:t>
            </w:r>
          </w:p>
        </w:tc>
      </w:tr>
      <w:tr>
        <w:trPr>
          <w:trHeight w:val="173"/>
        </w:trPr>
        <w:tc>
          <w:tcPr>
            <w:tcW w:w="2500" w:type="dxa"/>
            <w:vAlign w:val="bottom"/>
          </w:tcPr>
          <w:p>
            <w:pPr>
              <w:spacing w:after="0"/>
              <w:rPr>
                <w:sz w:val="20"/>
                <w:szCs w:val="20"/>
                <w:color w:val="auto"/>
              </w:rPr>
            </w:pPr>
            <w:r>
              <w:rPr>
                <w:rFonts w:ascii="Arial" w:cs="Arial" w:eastAsia="Arial" w:hAnsi="Arial"/>
                <w:sz w:val="10"/>
                <w:szCs w:val="10"/>
                <w:b w:val="1"/>
                <w:bCs w:val="1"/>
                <w:color w:val="auto"/>
              </w:rPr>
              <w:t>Transactions with owners: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1</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139</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140</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200</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200</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(25)</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(25)</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Tax on items recognized directly in equity</w:t>
            </w:r>
          </w:p>
        </w:tc>
        <w:tc>
          <w:tcPr>
            <w:tcW w:w="1280" w:type="dxa"/>
            <w:vAlign w:val="bottom"/>
            <w:gridSpan w:val="2"/>
          </w:tcPr>
          <w:p>
            <w:pPr>
              <w:spacing w:after="0"/>
              <w:rPr>
                <w:sz w:val="10"/>
                <w:szCs w:val="10"/>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44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r>
      <w:tr>
        <w:trPr>
          <w:trHeight w:val="207"/>
        </w:trPr>
        <w:tc>
          <w:tcPr>
            <w:tcW w:w="2500" w:type="dxa"/>
            <w:vAlign w:val="bottom"/>
          </w:tcPr>
          <w:p>
            <w:pPr>
              <w:spacing w:after="0"/>
              <w:rPr>
                <w:sz w:val="20"/>
                <w:szCs w:val="20"/>
                <w:color w:val="auto"/>
              </w:rPr>
            </w:pPr>
            <w:r>
              <w:rPr>
                <w:rFonts w:ascii="Arial" w:cs="Arial" w:eastAsia="Arial" w:hAnsi="Arial"/>
                <w:sz w:val="10"/>
                <w:szCs w:val="10"/>
                <w:b w:val="1"/>
                <w:bCs w:val="1"/>
                <w:color w:val="auto"/>
              </w:rPr>
              <w:t>Balance at December 31, 2020</w:t>
            </w:r>
          </w:p>
        </w:tc>
        <w:tc>
          <w:tcPr>
            <w:tcW w:w="1280" w:type="dxa"/>
            <w:vAlign w:val="bottom"/>
            <w:gridSpan w:val="2"/>
          </w:tcPr>
          <w:p>
            <w:pPr>
              <w:spacing w:after="0"/>
              <w:rPr>
                <w:sz w:val="17"/>
                <w:szCs w:val="17"/>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66</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11,894</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54</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7,107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19,121</w:t>
            </w:r>
          </w:p>
        </w:tc>
      </w:tr>
      <w:tr>
        <w:trPr>
          <w:trHeight w:val="194"/>
        </w:trPr>
        <w:tc>
          <w:tcPr>
            <w:tcW w:w="2500" w:type="dxa"/>
            <w:vAlign w:val="bottom"/>
          </w:tcPr>
          <w:p>
            <w:pPr>
              <w:spacing w:after="0"/>
              <w:rPr>
                <w:sz w:val="20"/>
                <w:szCs w:val="20"/>
                <w:color w:val="auto"/>
              </w:rPr>
            </w:pPr>
            <w:r>
              <w:rPr>
                <w:rFonts w:ascii="Arial" w:cs="Arial" w:eastAsia="Arial" w:hAnsi="Arial"/>
                <w:sz w:val="10"/>
                <w:szCs w:val="10"/>
                <w:color w:val="auto"/>
              </w:rPr>
              <w:t>Net profit</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3,008</w:t>
            </w:r>
          </w:p>
        </w:tc>
        <w:tc>
          <w:tcPr>
            <w:tcW w:w="1000" w:type="dxa"/>
            <w:vAlign w:val="bottom"/>
          </w:tcPr>
          <w:p>
            <w:pPr>
              <w:jc w:val="right"/>
              <w:spacing w:after="0"/>
              <w:rPr>
                <w:sz w:val="20"/>
                <w:szCs w:val="20"/>
                <w:color w:val="auto"/>
              </w:rPr>
            </w:pPr>
            <w:r>
              <w:rPr>
                <w:rFonts w:ascii="Arial" w:cs="Arial" w:eastAsia="Arial" w:hAnsi="Arial"/>
                <w:sz w:val="10"/>
                <w:szCs w:val="10"/>
                <w:color w:val="auto"/>
              </w:rPr>
              <w:t>3,008</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Other comprehensive income</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27</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27</w:t>
            </w:r>
          </w:p>
        </w:tc>
      </w:tr>
      <w:tr>
        <w:trPr>
          <w:trHeight w:val="130"/>
        </w:trPr>
        <w:tc>
          <w:tcPr>
            <w:tcW w:w="2500" w:type="dxa"/>
            <w:vAlign w:val="bottom"/>
          </w:tcPr>
          <w:p>
            <w:pPr>
              <w:spacing w:after="0"/>
              <w:rPr>
                <w:sz w:val="20"/>
                <w:szCs w:val="20"/>
                <w:color w:val="auto"/>
              </w:rPr>
            </w:pPr>
            <w:r>
              <w:rPr>
                <w:rFonts w:ascii="Arial" w:cs="Arial" w:eastAsia="Arial" w:hAnsi="Arial"/>
                <w:sz w:val="10"/>
                <w:szCs w:val="10"/>
                <w:b w:val="1"/>
                <w:bCs w:val="1"/>
                <w:color w:val="auto"/>
              </w:rPr>
              <w:t>Total comprehensive income</w:t>
            </w:r>
          </w:p>
        </w:tc>
        <w:tc>
          <w:tcPr>
            <w:tcW w:w="1280" w:type="dxa"/>
            <w:vAlign w:val="bottom"/>
            <w:gridSpan w:val="2"/>
          </w:tcPr>
          <w:p>
            <w:pPr>
              <w:spacing w:after="0"/>
              <w:rPr>
                <w:sz w:val="11"/>
                <w:szCs w:val="11"/>
                <w:color w:val="auto"/>
              </w:rPr>
            </w:pPr>
          </w:p>
        </w:tc>
        <w:tc>
          <w:tcPr>
            <w:tcW w:w="10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108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27</w:t>
            </w: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3,008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3,035</w:t>
            </w:r>
          </w:p>
        </w:tc>
      </w:tr>
      <w:tr>
        <w:trPr>
          <w:trHeight w:val="173"/>
        </w:trPr>
        <w:tc>
          <w:tcPr>
            <w:tcW w:w="2500" w:type="dxa"/>
            <w:vAlign w:val="bottom"/>
          </w:tcPr>
          <w:p>
            <w:pPr>
              <w:spacing w:after="0"/>
              <w:rPr>
                <w:sz w:val="20"/>
                <w:szCs w:val="20"/>
                <w:color w:val="auto"/>
              </w:rPr>
            </w:pPr>
            <w:r>
              <w:rPr>
                <w:rFonts w:ascii="Arial" w:cs="Arial" w:eastAsia="Arial" w:hAnsi="Arial"/>
                <w:sz w:val="10"/>
                <w:szCs w:val="10"/>
                <w:b w:val="1"/>
                <w:bCs w:val="1"/>
                <w:color w:val="auto"/>
              </w:rPr>
              <w:t>Transactions with owners: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135</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135</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Purchase of treasury shares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(447)</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(447)</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310</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310</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(50)</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(50)</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Tax on items recognized directly in equity</w:t>
            </w:r>
          </w:p>
        </w:tc>
        <w:tc>
          <w:tcPr>
            <w:tcW w:w="1280" w:type="dxa"/>
            <w:vAlign w:val="bottom"/>
            <w:gridSpan w:val="2"/>
          </w:tcPr>
          <w:p>
            <w:pPr>
              <w:spacing w:after="0"/>
              <w:rPr>
                <w:sz w:val="10"/>
                <w:szCs w:val="10"/>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w:t>
            </w:r>
          </w:p>
        </w:tc>
      </w:tr>
      <w:tr>
        <w:trPr>
          <w:trHeight w:val="207"/>
        </w:trPr>
        <w:tc>
          <w:tcPr>
            <w:tcW w:w="2500" w:type="dxa"/>
            <w:vAlign w:val="bottom"/>
          </w:tcPr>
          <w:p>
            <w:pPr>
              <w:spacing w:after="0"/>
              <w:rPr>
                <w:sz w:val="20"/>
                <w:szCs w:val="20"/>
                <w:color w:val="auto"/>
              </w:rPr>
            </w:pPr>
            <w:r>
              <w:rPr>
                <w:rFonts w:ascii="Arial" w:cs="Arial" w:eastAsia="Arial" w:hAnsi="Arial"/>
                <w:sz w:val="10"/>
                <w:szCs w:val="10"/>
                <w:b w:val="1"/>
                <w:bCs w:val="1"/>
                <w:color w:val="auto"/>
              </w:rPr>
              <w:t>Balance at December 31, 2021</w:t>
            </w:r>
          </w:p>
        </w:tc>
        <w:tc>
          <w:tcPr>
            <w:tcW w:w="1280" w:type="dxa"/>
            <w:vAlign w:val="bottom"/>
            <w:gridSpan w:val="2"/>
          </w:tcPr>
          <w:p>
            <w:pPr>
              <w:spacing w:after="0"/>
              <w:rPr>
                <w:sz w:val="17"/>
                <w:szCs w:val="17"/>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66</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12,029</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81</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10,020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22,196</w:t>
            </w:r>
          </w:p>
        </w:tc>
      </w:tr>
      <w:tr>
        <w:trPr>
          <w:trHeight w:val="194"/>
        </w:trPr>
        <w:tc>
          <w:tcPr>
            <w:tcW w:w="2500" w:type="dxa"/>
            <w:vAlign w:val="bottom"/>
          </w:tcPr>
          <w:p>
            <w:pPr>
              <w:spacing w:after="0"/>
              <w:rPr>
                <w:sz w:val="20"/>
                <w:szCs w:val="20"/>
                <w:color w:val="auto"/>
              </w:rPr>
            </w:pPr>
            <w:r>
              <w:rPr>
                <w:rFonts w:ascii="Arial" w:cs="Arial" w:eastAsia="Arial" w:hAnsi="Arial"/>
                <w:sz w:val="10"/>
                <w:szCs w:val="10"/>
                <w:color w:val="auto"/>
              </w:rPr>
              <w:t>Net profit</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5,522</w:t>
            </w:r>
          </w:p>
        </w:tc>
        <w:tc>
          <w:tcPr>
            <w:tcW w:w="1000" w:type="dxa"/>
            <w:vAlign w:val="bottom"/>
          </w:tcPr>
          <w:p>
            <w:pPr>
              <w:jc w:val="right"/>
              <w:spacing w:after="0"/>
              <w:rPr>
                <w:sz w:val="20"/>
                <w:szCs w:val="20"/>
                <w:color w:val="auto"/>
              </w:rPr>
            </w:pPr>
            <w:r>
              <w:rPr>
                <w:rFonts w:ascii="Arial" w:cs="Arial" w:eastAsia="Arial" w:hAnsi="Arial"/>
                <w:sz w:val="10"/>
                <w:szCs w:val="10"/>
                <w:color w:val="auto"/>
              </w:rPr>
              <w:t>5,522</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Other comprehensive income</w:t>
            </w:r>
          </w:p>
        </w:tc>
        <w:tc>
          <w:tcPr>
            <w:tcW w:w="2360" w:type="dxa"/>
            <w:vAlign w:val="bottom"/>
            <w:gridSpan w:val="4"/>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17</w:t>
            </w:r>
          </w:p>
        </w:tc>
        <w:tc>
          <w:tcPr>
            <w:tcW w:w="102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17</w:t>
            </w:r>
          </w:p>
        </w:tc>
      </w:tr>
      <w:tr>
        <w:trPr>
          <w:trHeight w:val="130"/>
        </w:trPr>
        <w:tc>
          <w:tcPr>
            <w:tcW w:w="2500" w:type="dxa"/>
            <w:vAlign w:val="bottom"/>
          </w:tcPr>
          <w:p>
            <w:pPr>
              <w:spacing w:after="0"/>
              <w:rPr>
                <w:sz w:val="20"/>
                <w:szCs w:val="20"/>
                <w:color w:val="auto"/>
              </w:rPr>
            </w:pPr>
            <w:r>
              <w:rPr>
                <w:rFonts w:ascii="Arial" w:cs="Arial" w:eastAsia="Arial" w:hAnsi="Arial"/>
                <w:sz w:val="10"/>
                <w:szCs w:val="10"/>
                <w:b w:val="1"/>
                <w:bCs w:val="1"/>
                <w:color w:val="auto"/>
              </w:rPr>
              <w:t>Total comprehensive income</w:t>
            </w:r>
          </w:p>
        </w:tc>
        <w:tc>
          <w:tcPr>
            <w:tcW w:w="1280" w:type="dxa"/>
            <w:vAlign w:val="bottom"/>
            <w:gridSpan w:val="2"/>
          </w:tcPr>
          <w:p>
            <w:pPr>
              <w:spacing w:after="0"/>
              <w:rPr>
                <w:sz w:val="11"/>
                <w:szCs w:val="11"/>
                <w:color w:val="auto"/>
              </w:rPr>
            </w:pPr>
          </w:p>
        </w:tc>
        <w:tc>
          <w:tcPr>
            <w:tcW w:w="10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108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17</w:t>
            </w: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5,522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5,539</w:t>
            </w:r>
          </w:p>
        </w:tc>
      </w:tr>
      <w:tr>
        <w:trPr>
          <w:trHeight w:val="173"/>
        </w:trPr>
        <w:tc>
          <w:tcPr>
            <w:tcW w:w="2500" w:type="dxa"/>
            <w:vAlign w:val="bottom"/>
          </w:tcPr>
          <w:p>
            <w:pPr>
              <w:spacing w:after="0"/>
              <w:rPr>
                <w:sz w:val="20"/>
                <w:szCs w:val="20"/>
                <w:color w:val="auto"/>
              </w:rPr>
            </w:pPr>
            <w:r>
              <w:rPr>
                <w:rFonts w:ascii="Arial" w:cs="Arial" w:eastAsia="Arial" w:hAnsi="Arial"/>
                <w:sz w:val="10"/>
                <w:szCs w:val="10"/>
                <w:b w:val="1"/>
                <w:bCs w:val="1"/>
                <w:color w:val="auto"/>
              </w:rPr>
              <w:t>Transactions with owners: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280</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280</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Purchase of treasury shares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(908)</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(908)</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9"/>
              <w:spacing w:after="0" w:line="109" w:lineRule="exact"/>
              <w:rPr>
                <w:sz w:val="20"/>
                <w:szCs w:val="20"/>
                <w:color w:val="auto"/>
              </w:rPr>
            </w:pPr>
            <w:r>
              <w:rPr>
                <w:rFonts w:ascii="Arial" w:cs="Arial" w:eastAsia="Arial" w:hAnsi="Arial"/>
                <w:sz w:val="10"/>
                <w:szCs w:val="10"/>
                <w:color w:val="auto"/>
              </w:rPr>
              <w:t>439</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439</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2360" w:type="dxa"/>
            <w:vAlign w:val="bottom"/>
            <w:gridSpan w:val="4"/>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9"/>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09"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(88)</w:t>
            </w: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(88)</w:t>
            </w:r>
          </w:p>
        </w:tc>
      </w:tr>
      <w:tr>
        <w:trPr>
          <w:trHeight w:val="121"/>
        </w:trPr>
        <w:tc>
          <w:tcPr>
            <w:tcW w:w="2500" w:type="dxa"/>
            <w:vAlign w:val="bottom"/>
          </w:tcPr>
          <w:p>
            <w:pPr>
              <w:spacing w:after="0"/>
              <w:rPr>
                <w:sz w:val="20"/>
                <w:szCs w:val="20"/>
                <w:color w:val="auto"/>
              </w:rPr>
            </w:pPr>
            <w:r>
              <w:rPr>
                <w:rFonts w:ascii="Arial" w:cs="Arial" w:eastAsia="Arial" w:hAnsi="Arial"/>
                <w:sz w:val="10"/>
                <w:szCs w:val="10"/>
                <w:color w:val="auto"/>
              </w:rPr>
              <w:t>Tax on items recognized directly in equity</w:t>
            </w:r>
          </w:p>
        </w:tc>
        <w:tc>
          <w:tcPr>
            <w:tcW w:w="1280" w:type="dxa"/>
            <w:vAlign w:val="bottom"/>
            <w:gridSpan w:val="2"/>
          </w:tcPr>
          <w:p>
            <w:pPr>
              <w:spacing w:after="0"/>
              <w:rPr>
                <w:sz w:val="10"/>
                <w:szCs w:val="10"/>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r>
      <w:tr>
        <w:trPr>
          <w:trHeight w:val="207"/>
        </w:trPr>
        <w:tc>
          <w:tcPr>
            <w:tcW w:w="2500" w:type="dxa"/>
            <w:vAlign w:val="bottom"/>
          </w:tcPr>
          <w:p>
            <w:pPr>
              <w:spacing w:after="0"/>
              <w:rPr>
                <w:sz w:val="20"/>
                <w:szCs w:val="20"/>
                <w:color w:val="auto"/>
              </w:rPr>
            </w:pPr>
            <w:r>
              <w:rPr>
                <w:rFonts w:ascii="Arial" w:cs="Arial" w:eastAsia="Arial" w:hAnsi="Arial"/>
                <w:sz w:val="10"/>
                <w:szCs w:val="10"/>
                <w:b w:val="1"/>
                <w:bCs w:val="1"/>
                <w:color w:val="auto"/>
              </w:rPr>
              <w:t>Balance at December 31, 2022</w:t>
            </w:r>
          </w:p>
        </w:tc>
        <w:tc>
          <w:tcPr>
            <w:tcW w:w="1280" w:type="dxa"/>
            <w:vAlign w:val="bottom"/>
            <w:gridSpan w:val="2"/>
          </w:tcPr>
          <w:p>
            <w:pPr>
              <w:spacing w:after="0"/>
              <w:rPr>
                <w:sz w:val="17"/>
                <w:szCs w:val="17"/>
                <w:color w:val="auto"/>
              </w:rPr>
            </w:pPr>
          </w:p>
        </w:tc>
        <w:tc>
          <w:tcPr>
            <w:tcW w:w="10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0"/>
                <w:szCs w:val="10"/>
                <w:b w:val="1"/>
                <w:bCs w:val="1"/>
                <w:color w:val="auto"/>
              </w:rPr>
              <w:t>66</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12,309</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98</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14,968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27,441</w:t>
            </w:r>
          </w:p>
        </w:tc>
      </w:tr>
      <w:tr>
        <w:trPr>
          <w:trHeight w:val="374"/>
        </w:trPr>
        <w:tc>
          <w:tcPr>
            <w:tcW w:w="2500" w:type="dxa"/>
            <w:vAlign w:val="bottom"/>
          </w:tcPr>
          <w:p>
            <w:pPr>
              <w:spacing w:after="0"/>
              <w:rPr>
                <w:sz w:val="20"/>
                <w:szCs w:val="20"/>
                <w:color w:val="auto"/>
              </w:rPr>
            </w:pPr>
            <w:r>
              <w:rPr>
                <w:rFonts w:ascii="Arial" w:cs="Arial" w:eastAsia="Arial" w:hAnsi="Arial"/>
                <w:sz w:val="10"/>
                <w:szCs w:val="10"/>
                <w:color w:val="auto"/>
              </w:rPr>
              <w:t>Genmab A/S</w:t>
            </w:r>
          </w:p>
        </w:tc>
        <w:tc>
          <w:tcPr>
            <w:tcW w:w="2360" w:type="dxa"/>
            <w:vAlign w:val="bottom"/>
            <w:gridSpan w:val="4"/>
          </w:tcPr>
          <w:p>
            <w:pPr>
              <w:ind w:left="640"/>
              <w:spacing w:after="0"/>
              <w:rPr>
                <w:sz w:val="20"/>
                <w:szCs w:val="20"/>
                <w:color w:val="auto"/>
              </w:rPr>
            </w:pPr>
            <w:r>
              <w:rPr>
                <w:rFonts w:ascii="Arial" w:cs="Arial" w:eastAsia="Arial" w:hAnsi="Arial"/>
                <w:sz w:val="10"/>
                <w:szCs w:val="10"/>
                <w:color w:val="auto"/>
              </w:rPr>
              <w:t>Tel: +45 7020 2728</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5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Page 79/158</w:t>
            </w:r>
          </w:p>
        </w:tc>
      </w:tr>
      <w:tr>
        <w:trPr>
          <w:trHeight w:val="105"/>
        </w:trPr>
        <w:tc>
          <w:tcPr>
            <w:tcW w:w="25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360" w:type="dxa"/>
            <w:vAlign w:val="bottom"/>
            <w:gridSpan w:val="4"/>
          </w:tcPr>
          <w:p>
            <w:pPr>
              <w:ind w:left="640"/>
              <w:spacing w:after="0" w:line="105" w:lineRule="exact"/>
              <w:rPr>
                <w:sz w:val="20"/>
                <w:szCs w:val="20"/>
                <w:color w:val="auto"/>
              </w:rPr>
            </w:pPr>
            <w:r>
              <w:rPr>
                <w:rFonts w:ascii="Arial" w:cs="Arial" w:eastAsia="Arial" w:hAnsi="Arial"/>
                <w:sz w:val="10"/>
                <w:szCs w:val="10"/>
                <w:color w:val="0000FF"/>
              </w:rPr>
              <w:t>www.genmab.com</w:t>
            </w:r>
          </w:p>
        </w:tc>
        <w:tc>
          <w:tcPr>
            <w:tcW w:w="1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top w:val="single" w:sz="8" w:color="0000FF"/>
              <w:bottom w:val="single" w:sz="8" w:color="auto"/>
            </w:tcBorders>
          </w:tcPr>
          <w:p>
            <w:pPr>
              <w:spacing w:after="0"/>
              <w:rPr>
                <w:sz w:val="24"/>
                <w:szCs w:val="24"/>
                <w:color w:val="auto"/>
              </w:rPr>
            </w:pPr>
          </w:p>
        </w:tc>
        <w:tc>
          <w:tcPr>
            <w:tcW w:w="140" w:type="dxa"/>
            <w:vAlign w:val="bottom"/>
            <w:tcBorders>
              <w:top w:val="single" w:sz="8" w:color="0000FF"/>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2" w:name="page83"/>
    <w:bookmarkEnd w:id="8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Section 1 – Basis of Presentation</w:t>
      </w:r>
    </w:p>
    <w:p>
      <w:pPr>
        <w:spacing w:after="0" w:line="151" w:lineRule="exact"/>
        <w:rPr>
          <w:sz w:val="20"/>
          <w:szCs w:val="20"/>
          <w:color w:val="auto"/>
        </w:rPr>
      </w:pPr>
    </w:p>
    <w:p>
      <w:pPr>
        <w:ind w:left="20" w:right="719"/>
        <w:spacing w:after="0" w:line="273" w:lineRule="auto"/>
        <w:rPr>
          <w:sz w:val="20"/>
          <w:szCs w:val="20"/>
          <w:color w:val="auto"/>
        </w:rPr>
      </w:pPr>
      <w:r>
        <w:rPr>
          <w:rFonts w:ascii="Arial" w:cs="Arial" w:eastAsia="Arial" w:hAnsi="Arial"/>
          <w:sz w:val="12"/>
          <w:szCs w:val="12"/>
          <w:color w:val="auto"/>
        </w:rPr>
        <w:t>These consolidated financial statements include Genmab A/S (parent company) and subsidiaries over which the parent company has control. The Genmab consolidated Group is referenced herein as “Genmab” or the “Company”.</w:t>
      </w:r>
    </w:p>
    <w:p>
      <w:pPr>
        <w:spacing w:after="0" w:line="103" w:lineRule="exact"/>
        <w:rPr>
          <w:sz w:val="20"/>
          <w:szCs w:val="20"/>
          <w:color w:val="auto"/>
        </w:rPr>
      </w:pPr>
    </w:p>
    <w:p>
      <w:pPr>
        <w:ind w:left="20" w:right="219"/>
        <w:spacing w:after="0" w:line="255" w:lineRule="auto"/>
        <w:rPr>
          <w:sz w:val="20"/>
          <w:szCs w:val="20"/>
          <w:color w:val="auto"/>
        </w:rPr>
      </w:pPr>
      <w:r>
        <w:rPr>
          <w:rFonts w:ascii="Arial" w:cs="Arial" w:eastAsia="Arial" w:hAnsi="Arial"/>
          <w:sz w:val="12"/>
          <w:szCs w:val="12"/>
          <w:color w:val="auto"/>
        </w:rPr>
        <w:t>This section describes Genmab’s financial accounting policies including management’s judgements and estimates under International Financial Reporting Standards (IFRS). New or revised EU endorsed accounting standards and interpretations are described, in addition to how these changes are expected to impact the financial performance and reporting of Genmab.</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describes the accounting policies in conjunction with each note with the aim to provide a more understandable description of each accounting area.</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ESEF Reporting</w:t>
      </w:r>
    </w:p>
    <w:p>
      <w:pPr>
        <w:spacing w:after="0" w:line="10" w:lineRule="exact"/>
        <w:rPr>
          <w:sz w:val="20"/>
          <w:szCs w:val="20"/>
          <w:color w:val="auto"/>
        </w:rPr>
      </w:pPr>
    </w:p>
    <w:p>
      <w:pPr>
        <w:ind w:left="20" w:right="99"/>
        <w:spacing w:after="0" w:line="241" w:lineRule="auto"/>
        <w:rPr>
          <w:sz w:val="20"/>
          <w:szCs w:val="20"/>
          <w:color w:val="auto"/>
        </w:rPr>
      </w:pPr>
      <w:r>
        <w:rPr>
          <w:rFonts w:ascii="Arial" w:cs="Arial" w:eastAsia="Arial" w:hAnsi="Arial"/>
          <w:sz w:val="12"/>
          <w:szCs w:val="12"/>
          <w:color w:val="auto"/>
        </w:rPr>
        <w:t>Genmab is required to file the Annual Report in the European Single Electronic Format (ESEF) using the XHTML format and to tag the consolidated financial statements including notes using Inline eXtensible Business Reporting Language (iXBRL). The iXBRL tags comply with the ESEF taxonomy. Where a financial statement line item is not defined in the ESEF taxonomy, an extension to the taxonomy has been created. The annual report submitted to the Danish Financial Supervisory Authority consists of the XHTML document together with certain technical files, all included in a file named 529900MTJPDPE4MHJ122-2022-12-31-en.zip.</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1.1 – Nature of the Business and Accounting Policies</w:t>
      </w:r>
    </w:p>
    <w:p>
      <w:pPr>
        <w:spacing w:after="0" w:line="141"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Genmab A/S is a publicly traded, international biotechnology company that was founded in 1999 and specializes in the creation and development of differentiated antibody therapeutics for the treatment of cancer and other diseases. Genmab has five approved products commercialized by third parties, one approved product that is jointly commercialized with a collaboration partner, a broad clinical and pre-clinical product pipeline and proprietary next-generation antibody technologies.</w:t>
      </w:r>
    </w:p>
    <w:p>
      <w:pPr>
        <w:spacing w:after="0" w:line="104" w:lineRule="exact"/>
        <w:rPr>
          <w:sz w:val="20"/>
          <w:szCs w:val="20"/>
          <w:color w:val="auto"/>
        </w:rPr>
      </w:pPr>
    </w:p>
    <w:p>
      <w:pPr>
        <w:ind w:left="20" w:right="159"/>
        <w:spacing w:after="0" w:line="248" w:lineRule="auto"/>
        <w:rPr>
          <w:sz w:val="20"/>
          <w:szCs w:val="20"/>
          <w:color w:val="auto"/>
        </w:rPr>
      </w:pPr>
      <w:r>
        <w:rPr>
          <w:rFonts w:ascii="Arial" w:cs="Arial" w:eastAsia="Arial" w:hAnsi="Arial"/>
          <w:sz w:val="12"/>
          <w:szCs w:val="12"/>
          <w:color w:val="auto"/>
        </w:rPr>
        <w:t xml:space="preserve">The consolidated financial statements have been prepared in accordance with IFRS as issued by the International Accounting Standards Board (IASB) and in accordance with IFRS as endorsed by the EU and further requirements in the Danish Financial Statements Act. The consolidated financial statements were approved by the Board of Directors and authorized for issue on February 22, 2023. Except as outlined in </w:t>
      </w:r>
      <w:r>
        <w:rPr>
          <w:rFonts w:ascii="Arial" w:cs="Arial" w:eastAsia="Arial" w:hAnsi="Arial"/>
          <w:sz w:val="12"/>
          <w:szCs w:val="12"/>
          <w:b w:val="1"/>
          <w:bCs w:val="1"/>
          <w:color w:val="029C93"/>
        </w:rPr>
        <w:t>Note 1.2</w:t>
      </w:r>
      <w:r>
        <w:rPr>
          <w:rFonts w:ascii="Arial" w:cs="Arial" w:eastAsia="Arial" w:hAnsi="Arial"/>
          <w:sz w:val="12"/>
          <w:szCs w:val="12"/>
          <w:color w:val="auto"/>
        </w:rPr>
        <w:t>, the financial statements have been prepared using the same accounting policies as 2021.</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Please refer to the overview below to see in which note/section the detailed accounting policy is included.</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474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Section 2 – Results for the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w w:val="95"/>
              </w:rPr>
              <w:t>3.3</w:t>
            </w:r>
          </w:p>
        </w:tc>
        <w:tc>
          <w:tcPr>
            <w:tcW w:w="4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Leases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2.1</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Revenue</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3.4</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Other Investments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2.2</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Information about Geographical Areas</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3.5</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Receivables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2.3</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Staff Costs</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3.7</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Other Payables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2.4</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Corporate and Deferred Tax</w:t>
            </w:r>
          </w:p>
        </w:tc>
        <w:tc>
          <w:tcPr>
            <w:tcW w:w="4240" w:type="dxa"/>
            <w:vAlign w:val="bottom"/>
            <w:tcBorders>
              <w:bottom w:val="single" w:sz="8" w:color="auto"/>
              <w:right w:val="single" w:sz="8" w:color="auto"/>
            </w:tcBorders>
            <w:gridSpan w:val="2"/>
          </w:tcPr>
          <w:p>
            <w:pPr>
              <w:spacing w:after="0" w:line="125" w:lineRule="exact"/>
              <w:rPr>
                <w:sz w:val="20"/>
                <w:szCs w:val="20"/>
                <w:color w:val="auto"/>
              </w:rPr>
            </w:pPr>
            <w:r>
              <w:rPr>
                <w:rFonts w:ascii="Arial" w:cs="Arial" w:eastAsia="Arial" w:hAnsi="Arial"/>
                <w:sz w:val="12"/>
                <w:szCs w:val="12"/>
                <w:b w:val="1"/>
                <w:bCs w:val="1"/>
                <w:color w:val="auto"/>
              </w:rPr>
              <w:t>Section 4 – Capital Structure, Financial Risk and Related Items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2.5</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Profit per Share</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4.3</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Financial Assets and Liabilities</w:t>
            </w:r>
          </w:p>
        </w:tc>
      </w:tr>
      <w:tr>
        <w:trPr>
          <w:trHeight w:val="125"/>
        </w:trPr>
        <w:tc>
          <w:tcPr>
            <w:tcW w:w="4740" w:type="dxa"/>
            <w:vAlign w:val="bottom"/>
            <w:tcBorders>
              <w:left w:val="single" w:sz="8" w:color="auto"/>
              <w:bottom w:val="single" w:sz="8" w:color="auto"/>
              <w:right w:val="single" w:sz="8" w:color="auto"/>
            </w:tcBorders>
            <w:gridSpan w:val="2"/>
          </w:tcPr>
          <w:p>
            <w:pPr>
              <w:ind w:left="20"/>
              <w:spacing w:after="0" w:line="125" w:lineRule="exact"/>
              <w:rPr>
                <w:sz w:val="20"/>
                <w:szCs w:val="20"/>
                <w:color w:val="auto"/>
              </w:rPr>
            </w:pPr>
            <w:r>
              <w:rPr>
                <w:rFonts w:ascii="Arial" w:cs="Arial" w:eastAsia="Arial" w:hAnsi="Arial"/>
                <w:sz w:val="12"/>
                <w:szCs w:val="12"/>
                <w:b w:val="1"/>
                <w:bCs w:val="1"/>
                <w:color w:val="auto"/>
              </w:rPr>
              <w:t>Section 3 – Operating Assets and Liabilities</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4.4</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Marketable Securities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3.1</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Intangible Assets</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4.5</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Financial Income and Expenses</w:t>
            </w:r>
          </w:p>
        </w:tc>
      </w:tr>
      <w:tr>
        <w:trPr>
          <w:trHeight w:val="125"/>
        </w:trPr>
        <w:tc>
          <w:tcPr>
            <w:tcW w:w="20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w w:val="95"/>
              </w:rPr>
              <w:t>3.2</w:t>
            </w:r>
          </w:p>
        </w:tc>
        <w:tc>
          <w:tcPr>
            <w:tcW w:w="454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Property and Equipment</w:t>
            </w:r>
          </w:p>
        </w:tc>
        <w:tc>
          <w:tcPr>
            <w:tcW w:w="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w w:val="95"/>
              </w:rPr>
              <w:t>4.6</w:t>
            </w:r>
          </w:p>
        </w:tc>
        <w:tc>
          <w:tcPr>
            <w:tcW w:w="4060" w:type="dxa"/>
            <w:vAlign w:val="bottom"/>
            <w:tcBorders>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Share-Based Instruments</w:t>
            </w: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3" w:name="page84"/>
    <w:bookmarkEnd w:id="8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Materiality</w:t>
      </w:r>
    </w:p>
    <w:p>
      <w:pPr>
        <w:spacing w:after="0" w:line="10" w:lineRule="exact"/>
        <w:rPr>
          <w:sz w:val="20"/>
          <w:szCs w:val="20"/>
          <w:color w:val="auto"/>
        </w:rPr>
      </w:pPr>
    </w:p>
    <w:p>
      <w:pPr>
        <w:ind w:left="20" w:right="239"/>
        <w:spacing w:after="0" w:line="241" w:lineRule="auto"/>
        <w:rPr>
          <w:sz w:val="20"/>
          <w:szCs w:val="20"/>
          <w:color w:val="auto"/>
        </w:rPr>
      </w:pPr>
      <w:r>
        <w:rPr>
          <w:rFonts w:ascii="Arial" w:cs="Arial" w:eastAsia="Arial" w:hAnsi="Arial"/>
          <w:sz w:val="12"/>
          <w:szCs w:val="12"/>
          <w:color w:val="auto"/>
        </w:rPr>
        <w:t>Genmab’s Annual Report is based on the concept of materiality and the Company focuses on information that is considered material and relevant to the users of the consolidated financial statements. The consolidated financial statements consist of a large number of transactions. These transactions are aggregated into classes according to their nature or function and presented in classes of similar items in the consolidated financial statements as required by IFRS and the Danish Financial Statements Act. If items are individually immaterial, they are aggregated with other items of similar nature in the financial statements or in the notes.</w:t>
      </w:r>
    </w:p>
    <w:p>
      <w:pPr>
        <w:spacing w:after="0" w:line="123"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The disclosure requirements are substantial in IFRS and for Danish listed companies. Genmab provides these specific required disclosures unless the information is considered immaterial to the economic decision-making of the readers of the financial statements or not applicable.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Financial Statements</w:t>
      </w:r>
    </w:p>
    <w:p>
      <w:pPr>
        <w:spacing w:after="0" w:line="10" w:lineRule="exact"/>
        <w:rPr>
          <w:sz w:val="20"/>
          <w:szCs w:val="20"/>
          <w:color w:val="auto"/>
        </w:rPr>
      </w:pPr>
    </w:p>
    <w:p>
      <w:pPr>
        <w:ind w:left="20" w:right="179"/>
        <w:spacing w:after="0" w:line="244" w:lineRule="auto"/>
        <w:rPr>
          <w:sz w:val="20"/>
          <w:szCs w:val="20"/>
          <w:color w:val="auto"/>
        </w:rPr>
      </w:pPr>
      <w:r>
        <w:rPr>
          <w:rFonts w:ascii="Arial" w:cs="Arial" w:eastAsia="Arial" w:hAnsi="Arial"/>
          <w:sz w:val="12"/>
          <w:szCs w:val="12"/>
          <w:color w:val="auto"/>
        </w:rPr>
        <w:t>The consolidated financial statements include Genmab A/S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Genmab A/S (parent company) holds investments either directly or indirectly in the following subsidiaries:</w:t>
      </w:r>
    </w:p>
    <w:p>
      <w:pPr>
        <w:spacing w:after="0" w:line="142" w:lineRule="exact"/>
        <w:rPr>
          <w:sz w:val="20"/>
          <w:szCs w:val="20"/>
          <w:color w:val="auto"/>
        </w:rPr>
      </w:pPr>
    </w:p>
    <w:tbl>
      <w:tblPr>
        <w:tblLayout w:type="fixed"/>
        <w:tblInd w:w="910" w:type="dxa"/>
        <w:tblCellMar>
          <w:top w:w="0" w:type="dxa"/>
          <w:left w:w="0" w:type="dxa"/>
          <w:bottom w:w="0" w:type="dxa"/>
          <w:right w:w="0" w:type="dxa"/>
        </w:tblCellMar>
      </w:tblPr>
      <w:tr>
        <w:trPr>
          <w:trHeight w:val="187"/>
        </w:trPr>
        <w:tc>
          <w:tcPr>
            <w:tcW w:w="2300" w:type="dxa"/>
            <w:vAlign w:val="bottom"/>
            <w:tcBorders>
              <w:left w:val="single" w:sz="8" w:color="029C93"/>
              <w:right w:val="single" w:sz="8" w:color="029C93"/>
            </w:tcBorders>
            <w:shd w:val="clear" w:color="auto" w:fill="029C93"/>
          </w:tcPr>
          <w:p>
            <w:pPr>
              <w:ind w:left="100"/>
              <w:spacing w:after="0"/>
              <w:rPr>
                <w:sz w:val="20"/>
                <w:szCs w:val="20"/>
                <w:color w:val="auto"/>
              </w:rPr>
            </w:pPr>
            <w:r>
              <w:rPr>
                <w:rFonts w:ascii="Arial" w:cs="Arial" w:eastAsia="Arial" w:hAnsi="Arial"/>
                <w:sz w:val="12"/>
                <w:szCs w:val="12"/>
                <w:color w:val="FFFFFF"/>
              </w:rPr>
              <w:t>Name</w:t>
            </w:r>
          </w:p>
        </w:tc>
        <w:tc>
          <w:tcPr>
            <w:tcW w:w="2440" w:type="dxa"/>
            <w:vAlign w:val="bottom"/>
            <w:tcBorders>
              <w:right w:val="single" w:sz="8" w:color="029C93"/>
            </w:tcBorders>
            <w:shd w:val="clear" w:color="auto" w:fill="029C93"/>
          </w:tcPr>
          <w:p>
            <w:pPr>
              <w:ind w:left="80"/>
              <w:spacing w:after="0"/>
              <w:rPr>
                <w:sz w:val="20"/>
                <w:szCs w:val="20"/>
                <w:color w:val="auto"/>
              </w:rPr>
            </w:pPr>
            <w:r>
              <w:rPr>
                <w:rFonts w:ascii="Arial" w:cs="Arial" w:eastAsia="Arial" w:hAnsi="Arial"/>
                <w:sz w:val="12"/>
                <w:szCs w:val="12"/>
                <w:color w:val="FFFFFF"/>
              </w:rPr>
              <w:t>Domicile</w:t>
            </w:r>
          </w:p>
        </w:tc>
        <w:tc>
          <w:tcPr>
            <w:tcW w:w="1240" w:type="dxa"/>
            <w:vAlign w:val="bottom"/>
            <w:tcBorders>
              <w:right w:val="single" w:sz="8" w:color="029C93"/>
            </w:tcBorders>
            <w:shd w:val="clear" w:color="auto" w:fill="029C93"/>
          </w:tcPr>
          <w:p>
            <w:pPr>
              <w:spacing w:after="0"/>
              <w:rPr>
                <w:sz w:val="20"/>
                <w:szCs w:val="20"/>
                <w:color w:val="auto"/>
              </w:rPr>
            </w:pPr>
            <w:r>
              <w:rPr>
                <w:rFonts w:ascii="Arial" w:cs="Arial" w:eastAsia="Arial" w:hAnsi="Arial"/>
                <w:sz w:val="12"/>
                <w:szCs w:val="12"/>
                <w:color w:val="FFFFFF"/>
              </w:rPr>
              <w:t>Ownership and votes</w:t>
            </w:r>
          </w:p>
        </w:tc>
        <w:tc>
          <w:tcPr>
            <w:tcW w:w="1220" w:type="dxa"/>
            <w:vAlign w:val="bottom"/>
            <w:tcBorders>
              <w:right w:val="single" w:sz="8" w:color="029C93"/>
            </w:tcBorders>
            <w:shd w:val="clear" w:color="auto" w:fill="029C93"/>
          </w:tcPr>
          <w:p>
            <w:pPr>
              <w:spacing w:after="0"/>
              <w:rPr>
                <w:sz w:val="20"/>
                <w:szCs w:val="20"/>
                <w:color w:val="auto"/>
              </w:rPr>
            </w:pPr>
            <w:r>
              <w:rPr>
                <w:rFonts w:ascii="Arial" w:cs="Arial" w:eastAsia="Arial" w:hAnsi="Arial"/>
                <w:sz w:val="12"/>
                <w:szCs w:val="12"/>
                <w:color w:val="FFFFFF"/>
              </w:rPr>
              <w:t>Ownership and votes</w:t>
            </w:r>
          </w:p>
        </w:tc>
      </w:tr>
      <w:tr>
        <w:trPr>
          <w:trHeight w:val="176"/>
        </w:trPr>
        <w:tc>
          <w:tcPr>
            <w:tcW w:w="2300" w:type="dxa"/>
            <w:vAlign w:val="bottom"/>
            <w:tcBorders>
              <w:left w:val="single" w:sz="8" w:color="029C93"/>
              <w:right w:val="single" w:sz="8" w:color="029C93"/>
            </w:tcBorders>
            <w:shd w:val="clear" w:color="auto" w:fill="029C93"/>
          </w:tcPr>
          <w:p>
            <w:pPr>
              <w:spacing w:after="0"/>
              <w:rPr>
                <w:sz w:val="15"/>
                <w:szCs w:val="15"/>
                <w:color w:val="auto"/>
              </w:rPr>
            </w:pPr>
          </w:p>
        </w:tc>
        <w:tc>
          <w:tcPr>
            <w:tcW w:w="2440" w:type="dxa"/>
            <w:vAlign w:val="bottom"/>
            <w:tcBorders>
              <w:right w:val="single" w:sz="8" w:color="029C93"/>
            </w:tcBorders>
            <w:shd w:val="clear" w:color="auto" w:fill="029C93"/>
          </w:tcPr>
          <w:p>
            <w:pPr>
              <w:spacing w:after="0"/>
              <w:rPr>
                <w:sz w:val="15"/>
                <w:szCs w:val="15"/>
                <w:color w:val="auto"/>
              </w:rPr>
            </w:pPr>
          </w:p>
        </w:tc>
        <w:tc>
          <w:tcPr>
            <w:tcW w:w="1240" w:type="dxa"/>
            <w:vAlign w:val="bottom"/>
            <w:tcBorders>
              <w:right w:val="single" w:sz="8" w:color="029C93"/>
            </w:tcBorders>
            <w:shd w:val="clear" w:color="auto" w:fill="029C93"/>
          </w:tcPr>
          <w:p>
            <w:pPr>
              <w:spacing w:after="0"/>
              <w:rPr>
                <w:sz w:val="20"/>
                <w:szCs w:val="20"/>
                <w:color w:val="auto"/>
              </w:rPr>
            </w:pPr>
            <w:r>
              <w:rPr>
                <w:rFonts w:ascii="Arial" w:cs="Arial" w:eastAsia="Arial" w:hAnsi="Arial"/>
                <w:sz w:val="12"/>
                <w:szCs w:val="12"/>
                <w:color w:val="FFFFFF"/>
              </w:rPr>
              <w:t>2022</w:t>
            </w:r>
          </w:p>
        </w:tc>
        <w:tc>
          <w:tcPr>
            <w:tcW w:w="1220" w:type="dxa"/>
            <w:vAlign w:val="bottom"/>
            <w:tcBorders>
              <w:right w:val="single" w:sz="8" w:color="029C93"/>
            </w:tcBorders>
            <w:shd w:val="clear" w:color="auto" w:fill="029C93"/>
          </w:tcPr>
          <w:p>
            <w:pPr>
              <w:spacing w:after="0"/>
              <w:rPr>
                <w:sz w:val="20"/>
                <w:szCs w:val="20"/>
                <w:color w:val="auto"/>
              </w:rPr>
            </w:pPr>
            <w:r>
              <w:rPr>
                <w:rFonts w:ascii="Arial" w:cs="Arial" w:eastAsia="Arial" w:hAnsi="Arial"/>
                <w:sz w:val="12"/>
                <w:szCs w:val="12"/>
                <w:color w:val="FFFFFF"/>
              </w:rPr>
              <w:t>2021</w:t>
            </w:r>
          </w:p>
        </w:tc>
      </w:tr>
      <w:tr>
        <w:trPr>
          <w:trHeight w:val="178"/>
        </w:trPr>
        <w:tc>
          <w:tcPr>
            <w:tcW w:w="2300" w:type="dxa"/>
            <w:vAlign w:val="bottom"/>
            <w:tcBorders>
              <w:left w:val="single" w:sz="8" w:color="029C93"/>
              <w:right w:val="single" w:sz="8" w:color="029C93"/>
            </w:tcBorders>
          </w:tcPr>
          <w:p>
            <w:pPr>
              <w:ind w:left="100"/>
              <w:spacing w:after="0"/>
              <w:rPr>
                <w:sz w:val="20"/>
                <w:szCs w:val="20"/>
                <w:color w:val="auto"/>
              </w:rPr>
            </w:pPr>
            <w:r>
              <w:rPr>
                <w:rFonts w:ascii="Arial" w:cs="Arial" w:eastAsia="Arial" w:hAnsi="Arial"/>
                <w:sz w:val="12"/>
                <w:szCs w:val="12"/>
                <w:color w:val="auto"/>
              </w:rPr>
              <w:t>Genmab B.V.</w:t>
            </w:r>
          </w:p>
        </w:tc>
        <w:tc>
          <w:tcPr>
            <w:tcW w:w="2440" w:type="dxa"/>
            <w:vAlign w:val="bottom"/>
            <w:tcBorders>
              <w:right w:val="single" w:sz="8" w:color="029C93"/>
            </w:tcBorders>
          </w:tcPr>
          <w:p>
            <w:pPr>
              <w:ind w:left="80"/>
              <w:spacing w:after="0"/>
              <w:rPr>
                <w:sz w:val="20"/>
                <w:szCs w:val="20"/>
                <w:color w:val="auto"/>
              </w:rPr>
            </w:pPr>
            <w:r>
              <w:rPr>
                <w:rFonts w:ascii="Arial" w:cs="Arial" w:eastAsia="Arial" w:hAnsi="Arial"/>
                <w:sz w:val="12"/>
                <w:szCs w:val="12"/>
                <w:color w:val="auto"/>
              </w:rPr>
              <w:t>Utrecht, the Netherlands</w:t>
            </w:r>
          </w:p>
        </w:tc>
        <w:tc>
          <w:tcPr>
            <w:tcW w:w="1240" w:type="dxa"/>
            <w:vAlign w:val="bottom"/>
            <w:tcBorders>
              <w:right w:val="single" w:sz="8" w:color="029C93"/>
            </w:tcBorders>
          </w:tcPr>
          <w:p>
            <w:pPr>
              <w:jc w:val="right"/>
              <w:ind w:right="420"/>
              <w:spacing w:after="0"/>
              <w:rPr>
                <w:sz w:val="20"/>
                <w:szCs w:val="20"/>
                <w:color w:val="auto"/>
              </w:rPr>
            </w:pPr>
            <w:r>
              <w:rPr>
                <w:rFonts w:ascii="Arial" w:cs="Arial" w:eastAsia="Arial" w:hAnsi="Arial"/>
                <w:sz w:val="12"/>
                <w:szCs w:val="12"/>
                <w:color w:val="auto"/>
              </w:rPr>
              <w:t>100%</w:t>
            </w:r>
          </w:p>
        </w:tc>
        <w:tc>
          <w:tcPr>
            <w:tcW w:w="1220" w:type="dxa"/>
            <w:vAlign w:val="bottom"/>
            <w:tcBorders>
              <w:right w:val="single" w:sz="8" w:color="029C93"/>
            </w:tcBorders>
          </w:tcPr>
          <w:p>
            <w:pPr>
              <w:jc w:val="right"/>
              <w:ind w:right="400"/>
              <w:spacing w:after="0"/>
              <w:rPr>
                <w:sz w:val="20"/>
                <w:szCs w:val="20"/>
                <w:color w:val="auto"/>
              </w:rPr>
            </w:pPr>
            <w:r>
              <w:rPr>
                <w:rFonts w:ascii="Arial" w:cs="Arial" w:eastAsia="Arial" w:hAnsi="Arial"/>
                <w:sz w:val="12"/>
                <w:szCs w:val="12"/>
                <w:color w:val="auto"/>
              </w:rPr>
              <w:t>100%</w:t>
            </w:r>
          </w:p>
        </w:tc>
      </w:tr>
      <w:tr>
        <w:trPr>
          <w:trHeight w:val="185"/>
        </w:trPr>
        <w:tc>
          <w:tcPr>
            <w:tcW w:w="2300" w:type="dxa"/>
            <w:vAlign w:val="bottom"/>
            <w:tcBorders>
              <w:left w:val="single" w:sz="8" w:color="029C93"/>
              <w:right w:val="single" w:sz="8" w:color="029C93"/>
            </w:tcBorders>
            <w:shd w:val="clear" w:color="auto" w:fill="E6E6E6"/>
          </w:tcPr>
          <w:p>
            <w:pPr>
              <w:ind w:left="100"/>
              <w:spacing w:after="0"/>
              <w:rPr>
                <w:sz w:val="20"/>
                <w:szCs w:val="20"/>
                <w:color w:val="auto"/>
              </w:rPr>
            </w:pPr>
            <w:r>
              <w:rPr>
                <w:rFonts w:ascii="Arial" w:cs="Arial" w:eastAsia="Arial" w:hAnsi="Arial"/>
                <w:sz w:val="12"/>
                <w:szCs w:val="12"/>
                <w:color w:val="auto"/>
              </w:rPr>
              <w:t>Genmab Holding B.V.</w:t>
            </w:r>
          </w:p>
        </w:tc>
        <w:tc>
          <w:tcPr>
            <w:tcW w:w="2440" w:type="dxa"/>
            <w:vAlign w:val="bottom"/>
            <w:tcBorders>
              <w:right w:val="single" w:sz="8" w:color="029C93"/>
            </w:tcBorders>
            <w:shd w:val="clear" w:color="auto" w:fill="E6E6E6"/>
          </w:tcPr>
          <w:p>
            <w:pPr>
              <w:ind w:left="80"/>
              <w:spacing w:after="0"/>
              <w:rPr>
                <w:sz w:val="20"/>
                <w:szCs w:val="20"/>
                <w:color w:val="auto"/>
              </w:rPr>
            </w:pPr>
            <w:r>
              <w:rPr>
                <w:rFonts w:ascii="Arial" w:cs="Arial" w:eastAsia="Arial" w:hAnsi="Arial"/>
                <w:sz w:val="12"/>
                <w:szCs w:val="12"/>
                <w:color w:val="auto"/>
              </w:rPr>
              <w:t>Utrecht, the Netherlands</w:t>
            </w:r>
          </w:p>
        </w:tc>
        <w:tc>
          <w:tcPr>
            <w:tcW w:w="1240" w:type="dxa"/>
            <w:vAlign w:val="bottom"/>
            <w:tcBorders>
              <w:right w:val="single" w:sz="8" w:color="029C93"/>
            </w:tcBorders>
            <w:shd w:val="clear" w:color="auto" w:fill="E6E6E6"/>
          </w:tcPr>
          <w:p>
            <w:pPr>
              <w:jc w:val="right"/>
              <w:ind w:right="420"/>
              <w:spacing w:after="0"/>
              <w:rPr>
                <w:sz w:val="20"/>
                <w:szCs w:val="20"/>
                <w:color w:val="auto"/>
              </w:rPr>
            </w:pPr>
            <w:r>
              <w:rPr>
                <w:rFonts w:ascii="Arial" w:cs="Arial" w:eastAsia="Arial" w:hAnsi="Arial"/>
                <w:sz w:val="12"/>
                <w:szCs w:val="12"/>
                <w:color w:val="auto"/>
              </w:rPr>
              <w:t>100%</w:t>
            </w:r>
          </w:p>
        </w:tc>
        <w:tc>
          <w:tcPr>
            <w:tcW w:w="1220" w:type="dxa"/>
            <w:vAlign w:val="bottom"/>
            <w:tcBorders>
              <w:right w:val="single" w:sz="8" w:color="029C93"/>
            </w:tcBorders>
            <w:shd w:val="clear" w:color="auto" w:fill="E6E6E6"/>
          </w:tcPr>
          <w:p>
            <w:pPr>
              <w:jc w:val="right"/>
              <w:ind w:right="400"/>
              <w:spacing w:after="0"/>
              <w:rPr>
                <w:sz w:val="20"/>
                <w:szCs w:val="20"/>
                <w:color w:val="auto"/>
              </w:rPr>
            </w:pPr>
            <w:r>
              <w:rPr>
                <w:rFonts w:ascii="Arial" w:cs="Arial" w:eastAsia="Arial" w:hAnsi="Arial"/>
                <w:sz w:val="12"/>
                <w:szCs w:val="12"/>
                <w:color w:val="auto"/>
              </w:rPr>
              <w:t>100%</w:t>
            </w:r>
          </w:p>
        </w:tc>
      </w:tr>
      <w:tr>
        <w:trPr>
          <w:trHeight w:val="178"/>
        </w:trPr>
        <w:tc>
          <w:tcPr>
            <w:tcW w:w="2300" w:type="dxa"/>
            <w:vAlign w:val="bottom"/>
            <w:tcBorders>
              <w:left w:val="single" w:sz="8" w:color="029C93"/>
              <w:right w:val="single" w:sz="8" w:color="029C93"/>
            </w:tcBorders>
          </w:tcPr>
          <w:p>
            <w:pPr>
              <w:ind w:left="100"/>
              <w:spacing w:after="0"/>
              <w:rPr>
                <w:sz w:val="20"/>
                <w:szCs w:val="20"/>
                <w:color w:val="auto"/>
              </w:rPr>
            </w:pPr>
            <w:r>
              <w:rPr>
                <w:rFonts w:ascii="Arial" w:cs="Arial" w:eastAsia="Arial" w:hAnsi="Arial"/>
                <w:sz w:val="12"/>
                <w:szCs w:val="12"/>
                <w:color w:val="auto"/>
              </w:rPr>
              <w:t>Genmab US, Inc.</w:t>
            </w:r>
          </w:p>
        </w:tc>
        <w:tc>
          <w:tcPr>
            <w:tcW w:w="2440" w:type="dxa"/>
            <w:vAlign w:val="bottom"/>
            <w:tcBorders>
              <w:right w:val="single" w:sz="8" w:color="029C93"/>
            </w:tcBorders>
          </w:tcPr>
          <w:p>
            <w:pPr>
              <w:ind w:left="80"/>
              <w:spacing w:after="0"/>
              <w:rPr>
                <w:sz w:val="20"/>
                <w:szCs w:val="20"/>
                <w:color w:val="auto"/>
              </w:rPr>
            </w:pPr>
            <w:r>
              <w:rPr>
                <w:rFonts w:ascii="Arial" w:cs="Arial" w:eastAsia="Arial" w:hAnsi="Arial"/>
                <w:sz w:val="12"/>
                <w:szCs w:val="12"/>
                <w:color w:val="auto"/>
              </w:rPr>
              <w:t>New Jersey, USA</w:t>
            </w:r>
          </w:p>
        </w:tc>
        <w:tc>
          <w:tcPr>
            <w:tcW w:w="1240" w:type="dxa"/>
            <w:vAlign w:val="bottom"/>
            <w:tcBorders>
              <w:right w:val="single" w:sz="8" w:color="029C93"/>
            </w:tcBorders>
          </w:tcPr>
          <w:p>
            <w:pPr>
              <w:jc w:val="right"/>
              <w:ind w:right="420"/>
              <w:spacing w:after="0"/>
              <w:rPr>
                <w:sz w:val="20"/>
                <w:szCs w:val="20"/>
                <w:color w:val="auto"/>
              </w:rPr>
            </w:pPr>
            <w:r>
              <w:rPr>
                <w:rFonts w:ascii="Arial" w:cs="Arial" w:eastAsia="Arial" w:hAnsi="Arial"/>
                <w:sz w:val="12"/>
                <w:szCs w:val="12"/>
                <w:color w:val="auto"/>
              </w:rPr>
              <w:t>100%</w:t>
            </w:r>
          </w:p>
        </w:tc>
        <w:tc>
          <w:tcPr>
            <w:tcW w:w="1220" w:type="dxa"/>
            <w:vAlign w:val="bottom"/>
            <w:tcBorders>
              <w:right w:val="single" w:sz="8" w:color="029C93"/>
            </w:tcBorders>
          </w:tcPr>
          <w:p>
            <w:pPr>
              <w:jc w:val="right"/>
              <w:ind w:right="400"/>
              <w:spacing w:after="0"/>
              <w:rPr>
                <w:sz w:val="20"/>
                <w:szCs w:val="20"/>
                <w:color w:val="auto"/>
              </w:rPr>
            </w:pPr>
            <w:r>
              <w:rPr>
                <w:rFonts w:ascii="Arial" w:cs="Arial" w:eastAsia="Arial" w:hAnsi="Arial"/>
                <w:sz w:val="12"/>
                <w:szCs w:val="12"/>
                <w:color w:val="auto"/>
              </w:rPr>
              <w:t>100%</w:t>
            </w:r>
          </w:p>
        </w:tc>
      </w:tr>
      <w:tr>
        <w:trPr>
          <w:trHeight w:val="183"/>
        </w:trPr>
        <w:tc>
          <w:tcPr>
            <w:tcW w:w="2300" w:type="dxa"/>
            <w:vAlign w:val="bottom"/>
            <w:tcBorders>
              <w:left w:val="single" w:sz="8" w:color="029C93"/>
              <w:bottom w:val="single" w:sz="8" w:color="029C93"/>
              <w:right w:val="single" w:sz="8" w:color="029C93"/>
            </w:tcBorders>
            <w:shd w:val="clear" w:color="auto" w:fill="E6E6E6"/>
          </w:tcPr>
          <w:p>
            <w:pPr>
              <w:ind w:left="100"/>
              <w:spacing w:after="0"/>
              <w:rPr>
                <w:sz w:val="20"/>
                <w:szCs w:val="20"/>
                <w:color w:val="auto"/>
              </w:rPr>
            </w:pPr>
            <w:r>
              <w:rPr>
                <w:rFonts w:ascii="Arial" w:cs="Arial" w:eastAsia="Arial" w:hAnsi="Arial"/>
                <w:sz w:val="12"/>
                <w:szCs w:val="12"/>
                <w:color w:val="auto"/>
              </w:rPr>
              <w:t>Genmab K.K.</w:t>
            </w:r>
          </w:p>
        </w:tc>
        <w:tc>
          <w:tcPr>
            <w:tcW w:w="2440" w:type="dxa"/>
            <w:vAlign w:val="bottom"/>
            <w:tcBorders>
              <w:bottom w:val="single" w:sz="8" w:color="029C93"/>
              <w:right w:val="single" w:sz="8" w:color="029C93"/>
            </w:tcBorders>
            <w:shd w:val="clear" w:color="auto" w:fill="E6E6E6"/>
          </w:tcPr>
          <w:p>
            <w:pPr>
              <w:ind w:left="80"/>
              <w:spacing w:after="0"/>
              <w:rPr>
                <w:sz w:val="20"/>
                <w:szCs w:val="20"/>
                <w:color w:val="auto"/>
              </w:rPr>
            </w:pPr>
            <w:r>
              <w:rPr>
                <w:rFonts w:ascii="Arial" w:cs="Arial" w:eastAsia="Arial" w:hAnsi="Arial"/>
                <w:sz w:val="12"/>
                <w:szCs w:val="12"/>
                <w:color w:val="auto"/>
              </w:rPr>
              <w:t>Tokyo, Japan</w:t>
            </w:r>
          </w:p>
        </w:tc>
        <w:tc>
          <w:tcPr>
            <w:tcW w:w="1240" w:type="dxa"/>
            <w:vAlign w:val="bottom"/>
            <w:tcBorders>
              <w:bottom w:val="single" w:sz="8" w:color="029C93"/>
              <w:right w:val="single" w:sz="8" w:color="029C93"/>
            </w:tcBorders>
            <w:shd w:val="clear" w:color="auto" w:fill="E6E6E6"/>
          </w:tcPr>
          <w:p>
            <w:pPr>
              <w:jc w:val="right"/>
              <w:ind w:right="420"/>
              <w:spacing w:after="0"/>
              <w:rPr>
                <w:sz w:val="20"/>
                <w:szCs w:val="20"/>
                <w:color w:val="auto"/>
              </w:rPr>
            </w:pPr>
            <w:r>
              <w:rPr>
                <w:rFonts w:ascii="Arial" w:cs="Arial" w:eastAsia="Arial" w:hAnsi="Arial"/>
                <w:sz w:val="12"/>
                <w:szCs w:val="12"/>
                <w:color w:val="auto"/>
              </w:rPr>
              <w:t>100%</w:t>
            </w:r>
          </w:p>
        </w:tc>
        <w:tc>
          <w:tcPr>
            <w:tcW w:w="1220" w:type="dxa"/>
            <w:vAlign w:val="bottom"/>
            <w:tcBorders>
              <w:bottom w:val="single" w:sz="8" w:color="029C93"/>
              <w:right w:val="single" w:sz="8" w:color="029C93"/>
            </w:tcBorders>
            <w:shd w:val="clear" w:color="auto" w:fill="E6E6E6"/>
          </w:tcPr>
          <w:p>
            <w:pPr>
              <w:jc w:val="right"/>
              <w:ind w:right="400"/>
              <w:spacing w:after="0"/>
              <w:rPr>
                <w:sz w:val="20"/>
                <w:szCs w:val="20"/>
                <w:color w:val="auto"/>
              </w:rPr>
            </w:pPr>
            <w:r>
              <w:rPr>
                <w:rFonts w:ascii="Arial" w:cs="Arial" w:eastAsia="Arial" w:hAnsi="Arial"/>
                <w:sz w:val="12"/>
                <w:szCs w:val="12"/>
                <w:color w:val="auto"/>
              </w:rPr>
              <w:t>100%</w:t>
            </w:r>
          </w:p>
        </w:tc>
      </w:tr>
    </w:tbl>
    <w:p>
      <w:pPr>
        <w:spacing w:after="0" w:line="123" w:lineRule="exact"/>
        <w:rPr>
          <w:sz w:val="20"/>
          <w:szCs w:val="20"/>
          <w:color w:val="auto"/>
        </w:rPr>
      </w:pPr>
    </w:p>
    <w:p>
      <w:pPr>
        <w:jc w:val="both"/>
        <w:ind w:left="20" w:right="259"/>
        <w:spacing w:after="0" w:line="255" w:lineRule="auto"/>
        <w:rPr>
          <w:sz w:val="20"/>
          <w:szCs w:val="20"/>
          <w:color w:val="auto"/>
        </w:rPr>
      </w:pPr>
      <w:r>
        <w:rPr>
          <w:rFonts w:ascii="Arial" w:cs="Arial" w:eastAsia="Arial" w:hAnsi="Arial"/>
          <w:sz w:val="12"/>
          <w:szCs w:val="12"/>
          <w:color w:val="auto"/>
        </w:rPr>
        <w:t>Genmab’s consolidated financial statements have been prepared on the basis of the financial statements of the parent company and subsidiaries – prepared under Genmab’s accounting policies – by combining similar accounting items on a line-by-line basis. On consolidation, intercompany income and expenses, intercompany receivables and payables, and unrealized gains and losses on transactions between the consolidated companies are eliminated.</w:t>
      </w:r>
    </w:p>
    <w:p>
      <w:pPr>
        <w:spacing w:after="0" w:line="113" w:lineRule="exact"/>
        <w:rPr>
          <w:sz w:val="20"/>
          <w:szCs w:val="20"/>
          <w:color w:val="auto"/>
        </w:rPr>
      </w:pPr>
    </w:p>
    <w:p>
      <w:pPr>
        <w:ind w:left="20" w:right="519"/>
        <w:spacing w:after="0" w:line="273" w:lineRule="auto"/>
        <w:rPr>
          <w:sz w:val="20"/>
          <w:szCs w:val="20"/>
          <w:color w:val="auto"/>
        </w:rPr>
      </w:pPr>
      <w:r>
        <w:rPr>
          <w:rFonts w:ascii="Arial" w:cs="Arial" w:eastAsia="Arial" w:hAnsi="Arial"/>
          <w:sz w:val="12"/>
          <w:szCs w:val="12"/>
          <w:color w:val="auto"/>
        </w:rPr>
        <w:t>The recorded value of the equity interests in the consolidated subsidiaries is eliminated with the proportionate share of the subsidiaries’ equity. Subsidiaries are consolidated from the date when control is transferred to the Group.</w:t>
      </w:r>
    </w:p>
    <w:p>
      <w:pPr>
        <w:spacing w:after="0" w:line="103" w:lineRule="exact"/>
        <w:rPr>
          <w:sz w:val="20"/>
          <w:szCs w:val="20"/>
          <w:color w:val="auto"/>
        </w:rPr>
      </w:pPr>
    </w:p>
    <w:p>
      <w:pPr>
        <w:ind w:left="20" w:right="79"/>
        <w:spacing w:after="0" w:line="273" w:lineRule="auto"/>
        <w:rPr>
          <w:sz w:val="20"/>
          <w:szCs w:val="20"/>
          <w:color w:val="auto"/>
        </w:rPr>
      </w:pPr>
      <w:r>
        <w:rPr>
          <w:rFonts w:ascii="Arial" w:cs="Arial" w:eastAsia="Arial" w:hAnsi="Arial"/>
          <w:sz w:val="12"/>
          <w:szCs w:val="12"/>
          <w:color w:val="auto"/>
        </w:rPr>
        <w:t>The income statements for subsidiaries with a different functional currency than Genmab’s presentation currency are translated into Genmab’s presentation currency at average exchange rates, and the balance sheets are translated at the exchange rate in effect at the balance sheet date.</w:t>
      </w:r>
    </w:p>
    <w:p>
      <w:pPr>
        <w:spacing w:after="0" w:line="103" w:lineRule="exact"/>
        <w:rPr>
          <w:sz w:val="20"/>
          <w:szCs w:val="20"/>
          <w:color w:val="auto"/>
        </w:rPr>
      </w:pPr>
    </w:p>
    <w:p>
      <w:pPr>
        <w:ind w:left="20" w:right="119"/>
        <w:spacing w:after="0" w:line="273" w:lineRule="auto"/>
        <w:rPr>
          <w:sz w:val="20"/>
          <w:szCs w:val="20"/>
          <w:color w:val="auto"/>
        </w:rPr>
      </w:pPr>
      <w:r>
        <w:rPr>
          <w:rFonts w:ascii="Arial" w:cs="Arial" w:eastAsia="Arial" w:hAnsi="Arial"/>
          <w:sz w:val="12"/>
          <w:szCs w:val="12"/>
          <w:color w:val="auto"/>
        </w:rPr>
        <w:t>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4" w:name="page85"/>
    <w:bookmarkEnd w:id="8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Functional and Presentation Currency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financial statements have been prepared in Danish Kroner (DKK), which is the functional and presentation currency of the parent company.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Foreign Currency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Transactions in foreign currencies are translated at the exchange rates in effect at the date of the transaction.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Exchange rate gains and losses arising between the transaction date and the settlement date are recognized in the income statement as financial income or expense.</w:t>
      </w:r>
    </w:p>
    <w:p>
      <w:pPr>
        <w:spacing w:after="0" w:line="143" w:lineRule="exact"/>
        <w:rPr>
          <w:sz w:val="20"/>
          <w:szCs w:val="20"/>
          <w:color w:val="auto"/>
        </w:rPr>
      </w:pPr>
    </w:p>
    <w:p>
      <w:pPr>
        <w:ind w:left="20" w:right="119"/>
        <w:spacing w:after="0" w:line="273" w:lineRule="auto"/>
        <w:rPr>
          <w:sz w:val="20"/>
          <w:szCs w:val="20"/>
          <w:color w:val="auto"/>
        </w:rPr>
      </w:pPr>
      <w:r>
        <w:rPr>
          <w:rFonts w:ascii="Arial" w:cs="Arial" w:eastAsia="Arial" w:hAnsi="Arial"/>
          <w:sz w:val="12"/>
          <w:szCs w:val="12"/>
          <w:color w:val="auto"/>
        </w:rPr>
        <w:t>Unsettled monetary assets and liabilities in foreign currencies are translated at the exchange rates in effect at the balance sheet date. Exchange rate gains and losses arising between the transaction date and the balance sheet date are recognized in the income statement as financial income or expense.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Classification of Operating Expenses in the Income Statement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Research and Development Expenses</w:t>
      </w:r>
    </w:p>
    <w:p>
      <w:pPr>
        <w:ind w:left="20" w:right="59"/>
        <w:spacing w:after="0" w:line="241" w:lineRule="auto"/>
        <w:rPr>
          <w:sz w:val="20"/>
          <w:szCs w:val="20"/>
          <w:color w:val="auto"/>
        </w:rPr>
      </w:pPr>
      <w:r>
        <w:rPr>
          <w:rFonts w:ascii="Arial" w:cs="Arial" w:eastAsia="Arial" w:hAnsi="Arial"/>
          <w:sz w:val="12"/>
          <w:szCs w:val="12"/>
          <w:color w:val="auto"/>
        </w:rPr>
        <w:t>Research and development expenses primarily include salaries, benefits and other employee-related costs of Genmab’s research and development staff, license costs, manufacturing costs, pre-clinical costs, clinical trials, contractors and outside service fees, amortization and impairment of licenses and rights related to intangible assets, depreciation of property and equipment, and depreciation of right-of-use assets, to the extent that such costs are related to the Group’s research and development activities.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3.1 for a more detailed description on the treatment of Genmab’s research and development expenses.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8" w:lineRule="exact"/>
        <w:rPr>
          <w:sz w:val="20"/>
          <w:szCs w:val="20"/>
          <w:color w:val="auto"/>
        </w:rPr>
      </w:pPr>
    </w:p>
    <w:p>
      <w:pPr>
        <w:ind w:left="20" w:right="239"/>
        <w:spacing w:after="0" w:line="241" w:lineRule="auto"/>
        <w:rPr>
          <w:sz w:val="20"/>
          <w:szCs w:val="20"/>
          <w:color w:val="auto"/>
        </w:rPr>
      </w:pPr>
      <w:r>
        <w:rPr>
          <w:rFonts w:ascii="Arial" w:cs="Arial" w:eastAsia="Arial" w:hAnsi="Arial"/>
          <w:sz w:val="12"/>
          <w:szCs w:val="12"/>
          <w:color w:val="auto"/>
        </w:rPr>
        <w:t>Selling, general and administrative expenses relate to the management and administration of Genmab, including commercialization activities. This primarily includes salaries, benefits and other employee costs related to management and support functions including human resources, information technology and the finance departments. In addition, depreciation of property and equipment and depreciation of right-of-use assets, to the extent such expenses are related to administrative functions, are also included. Selling, general and administrative expenses are recognized in the income statement in the period to which they relate.</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cash flow statement is presented using the indirect method with basis in the net profit before tax.</w:t>
      </w:r>
    </w:p>
    <w:p>
      <w:pPr>
        <w:spacing w:after="0" w:line="131" w:lineRule="exact"/>
        <w:rPr>
          <w:sz w:val="20"/>
          <w:szCs w:val="20"/>
          <w:color w:val="auto"/>
        </w:rPr>
      </w:pPr>
    </w:p>
    <w:p>
      <w:pPr>
        <w:jc w:val="both"/>
        <w:ind w:left="20" w:right="59"/>
        <w:spacing w:after="0" w:line="245" w:lineRule="auto"/>
        <w:rPr>
          <w:sz w:val="20"/>
          <w:szCs w:val="20"/>
          <w:color w:val="auto"/>
        </w:rPr>
      </w:pPr>
      <w:r>
        <w:rPr>
          <w:rFonts w:ascii="Arial" w:cs="Arial" w:eastAsia="Arial" w:hAnsi="Arial"/>
          <w:sz w:val="12"/>
          <w:szCs w:val="12"/>
          <w:color w:val="auto"/>
        </w:rPr>
        <w:t>Cash flows from operating activities are stated as the net profit before tax adjusted for net financial items, non-cash operating items such as depreciation, amortization, impairment losses, share-based compensation expenses, provisions, and for changes in operating assets and liabilities, interest paid and received, interest elements of lease payments and corporate taxes paid or received. Operating assets and liabilities are mainly comprised of changes in receivables and other payables excluding the items included in cash and cash equivalents. Changes in non-current assets and liabilities are included in operating assets and liabilities, if related to the main revenue-producing activities of Genmab.</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flows from investing activities consist of purchases and sales of marketable securities and other investments, as well as purchases of property and equipment.</w:t>
      </w:r>
    </w:p>
    <w:p>
      <w:pPr>
        <w:spacing w:after="0" w:line="143" w:lineRule="exact"/>
        <w:rPr>
          <w:sz w:val="20"/>
          <w:szCs w:val="20"/>
          <w:color w:val="auto"/>
        </w:rPr>
      </w:pPr>
    </w:p>
    <w:p>
      <w:pPr>
        <w:jc w:val="both"/>
        <w:ind w:left="20" w:right="39"/>
        <w:spacing w:after="0" w:line="273" w:lineRule="auto"/>
        <w:rPr>
          <w:sz w:val="20"/>
          <w:szCs w:val="20"/>
          <w:color w:val="auto"/>
        </w:rPr>
      </w:pPr>
      <w:r>
        <w:rPr>
          <w:rFonts w:ascii="Arial" w:cs="Arial" w:eastAsia="Arial" w:hAnsi="Arial"/>
          <w:sz w:val="12"/>
          <w:szCs w:val="12"/>
          <w:color w:val="auto"/>
        </w:rPr>
        <w:t>Cash flows from financing activities relate to the purchase of treasury shares, exercise of warrants, payments of withholding taxes on behalf of employees on net settled RSUs and payments of long-term loans including installments on lease liabilities.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5" w:name="page86"/>
    <w:bookmarkEnd w:id="8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and cash equivalents are comprised of cash, bank deposits, and marketable securities with a maturity of less than ninety days on the date of acquisition.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statements of cash flows cannot be derived solely from the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Treasury Shares</w:t>
      </w:r>
    </w:p>
    <w:p>
      <w:pPr>
        <w:spacing w:after="0" w:line="10" w:lineRule="exact"/>
        <w:rPr>
          <w:sz w:val="20"/>
          <w:szCs w:val="20"/>
          <w:color w:val="auto"/>
        </w:rPr>
      </w:pPr>
    </w:p>
    <w:p>
      <w:pPr>
        <w:ind w:left="20" w:right="479"/>
        <w:spacing w:after="0" w:line="252" w:lineRule="auto"/>
        <w:rPr>
          <w:sz w:val="20"/>
          <w:szCs w:val="20"/>
          <w:color w:val="auto"/>
        </w:rPr>
      </w:pPr>
      <w:r>
        <w:rPr>
          <w:rFonts w:ascii="Arial" w:cs="Arial" w:eastAsia="Arial" w:hAnsi="Arial"/>
          <w:sz w:val="12"/>
          <w:szCs w:val="12"/>
          <w:color w:val="auto"/>
        </w:rPr>
        <w:t>The total amount paid to acquire treasury shares including directly attributable costs and the proceeds from the sale of treasury shares is recognized in retained earnings.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Research Collaborations, License Agreements and Collaborative Agreements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Research Collaborations and License Agreements</w:t>
      </w:r>
    </w:p>
    <w:p>
      <w:pPr>
        <w:ind w:left="20" w:right="39"/>
        <w:spacing w:after="0" w:line="244" w:lineRule="auto"/>
        <w:rPr>
          <w:sz w:val="20"/>
          <w:szCs w:val="20"/>
          <w:color w:val="auto"/>
        </w:rPr>
      </w:pPr>
      <w:r>
        <w:rPr>
          <w:rFonts w:ascii="Arial" w:cs="Arial" w:eastAsia="Arial" w:hAnsi="Arial"/>
          <w:sz w:val="12"/>
          <w:szCs w:val="12"/>
          <w:color w:val="auto"/>
        </w:rPr>
        <w:t>Genmab continues to pursue the establishment of research collaborations and licensing agreements. These arrangements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20" w:lineRule="exact"/>
        <w:rPr>
          <w:sz w:val="20"/>
          <w:szCs w:val="20"/>
          <w:color w:val="auto"/>
        </w:rPr>
      </w:pPr>
    </w:p>
    <w:p>
      <w:pPr>
        <w:ind w:left="20" w:right="239"/>
        <w:spacing w:after="0" w:line="273" w:lineRule="auto"/>
        <w:rPr>
          <w:sz w:val="20"/>
          <w:szCs w:val="20"/>
          <w:color w:val="auto"/>
        </w:rPr>
      </w:pPr>
      <w:r>
        <w:rPr>
          <w:rFonts w:ascii="Arial" w:cs="Arial" w:eastAsia="Arial" w:hAnsi="Arial"/>
          <w:sz w:val="12"/>
          <w:szCs w:val="12"/>
          <w:color w:val="auto"/>
        </w:rPr>
        <w:t>In regard to Genmab’s license agreements with Janssen, Novartis and Roche, each of these parties retain final decision-making authority over the relevant activities and as such no joint control exists.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2.1 for additional information related to revenue from these parties.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Joint Collaborative Agreements</w:t>
      </w:r>
    </w:p>
    <w:p>
      <w:pPr>
        <w:spacing w:after="0" w:line="8" w:lineRule="exact"/>
        <w:rPr>
          <w:sz w:val="20"/>
          <w:szCs w:val="20"/>
          <w:color w:val="auto"/>
        </w:rPr>
      </w:pPr>
    </w:p>
    <w:p>
      <w:pPr>
        <w:ind w:left="20" w:right="99"/>
        <w:spacing w:after="0" w:line="244" w:lineRule="auto"/>
        <w:rPr>
          <w:sz w:val="20"/>
          <w:szCs w:val="20"/>
          <w:color w:val="auto"/>
        </w:rPr>
      </w:pPr>
      <w:r>
        <w:rPr>
          <w:rFonts w:ascii="Arial" w:cs="Arial" w:eastAsia="Arial" w:hAnsi="Arial"/>
          <w:sz w:val="12"/>
          <w:szCs w:val="12"/>
          <w:color w:val="auto"/>
        </w:rPr>
        <w:t>Genmab has entered into a number of joint collaborative agreements. These agreements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11" w:lineRule="exact"/>
        <w:rPr>
          <w:sz w:val="20"/>
          <w:szCs w:val="20"/>
          <w:color w:val="auto"/>
        </w:rPr>
      </w:pPr>
    </w:p>
    <w:p>
      <w:pPr>
        <w:ind w:left="20" w:right="119"/>
        <w:spacing w:after="0" w:line="255" w:lineRule="auto"/>
        <w:rPr>
          <w:sz w:val="20"/>
          <w:szCs w:val="20"/>
          <w:color w:val="auto"/>
        </w:rPr>
      </w:pPr>
      <w:r>
        <w:rPr>
          <w:rFonts w:ascii="Arial" w:cs="Arial" w:eastAsia="Arial" w:hAnsi="Arial"/>
          <w:sz w:val="12"/>
          <w:szCs w:val="12"/>
          <w:color w:val="auto"/>
        </w:rPr>
        <w:t>These agreements also provide Genmab with varying rights to develop, produce and market products together with its collaborative partners. Both parties in these arrangements share in the decision making and therefore have joint control of the arrangement. In 2022, Genmab’s more significant collaboration agreements are with AbbVie (Epcoritamab), Seagen (Tisotumab vedotin) and BioNTech.</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2.1 for additional information related to revenue from our joint collaborative agreements.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5.6 for detailed information regarding Genmab’s significant Research Collaborations, License Agreements and Collaborative Agreements.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1.2 New Accounting Policies and Disclosures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NEW ACCOUNTING POLICIES AND DISCLOSURES FOR 2022</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has, with effect from January 1, 2022, implemented the following standards and amendments:</w:t>
      </w:r>
    </w:p>
    <w:p>
      <w:pPr>
        <w:spacing w:after="0" w:line="143" w:lineRule="exact"/>
        <w:rPr>
          <w:sz w:val="20"/>
          <w:szCs w:val="20"/>
          <w:color w:val="auto"/>
        </w:rPr>
      </w:pPr>
    </w:p>
    <w:p>
      <w:pPr>
        <w:ind w:left="480" w:hanging="222"/>
        <w:spacing w:after="0"/>
        <w:tabs>
          <w:tab w:leader="none" w:pos="480" w:val="left"/>
        </w:tabs>
        <w:numPr>
          <w:ilvl w:val="0"/>
          <w:numId w:val="80"/>
        </w:numPr>
        <w:rPr>
          <w:rFonts w:ascii="Times New Roman" w:cs="Times New Roman" w:eastAsia="Times New Roman" w:hAnsi="Times New Roman"/>
          <w:sz w:val="12"/>
          <w:szCs w:val="12"/>
          <w:color w:val="auto"/>
        </w:rPr>
      </w:pPr>
      <w:r>
        <w:rPr>
          <w:rFonts w:ascii="Arial" w:cs="Arial" w:eastAsia="Arial" w:hAnsi="Arial"/>
          <w:sz w:val="12"/>
          <w:szCs w:val="12"/>
          <w:color w:val="auto"/>
        </w:rPr>
        <w:t>Amendments to IFRS 3 Business Combinations;</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0"/>
        </w:numPr>
        <w:rPr>
          <w:rFonts w:ascii="Times New Roman" w:cs="Times New Roman" w:eastAsia="Times New Roman" w:hAnsi="Times New Roman"/>
          <w:sz w:val="12"/>
          <w:szCs w:val="12"/>
          <w:color w:val="auto"/>
        </w:rPr>
      </w:pPr>
      <w:r>
        <w:rPr>
          <w:rFonts w:ascii="Arial" w:cs="Arial" w:eastAsia="Arial" w:hAnsi="Arial"/>
          <w:sz w:val="12"/>
          <w:szCs w:val="12"/>
          <w:color w:val="auto"/>
        </w:rPr>
        <w:t>Amendments to IAS 16 Property, Plant and Equipment;</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0"/>
        </w:numPr>
        <w:rPr>
          <w:rFonts w:ascii="Times New Roman" w:cs="Times New Roman" w:eastAsia="Times New Roman" w:hAnsi="Times New Roman"/>
          <w:sz w:val="12"/>
          <w:szCs w:val="12"/>
          <w:color w:val="auto"/>
        </w:rPr>
      </w:pPr>
      <w:r>
        <w:rPr>
          <w:rFonts w:ascii="Arial" w:cs="Arial" w:eastAsia="Arial" w:hAnsi="Arial"/>
          <w:sz w:val="12"/>
          <w:szCs w:val="12"/>
          <w:color w:val="auto"/>
        </w:rPr>
        <w:t>Amendments to IAS 37 Provisions, Contingent Liabilities and Contingent Assets; and</w:t>
      </w:r>
    </w:p>
    <w:p>
      <w:pPr>
        <w:spacing w:after="0" w:line="6"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0"/>
        </w:numPr>
        <w:rPr>
          <w:rFonts w:ascii="Times New Roman" w:cs="Times New Roman" w:eastAsia="Times New Roman" w:hAnsi="Times New Roman"/>
          <w:sz w:val="12"/>
          <w:szCs w:val="12"/>
          <w:color w:val="auto"/>
        </w:rPr>
      </w:pPr>
      <w:r>
        <w:rPr>
          <w:rFonts w:ascii="Arial" w:cs="Arial" w:eastAsia="Arial" w:hAnsi="Arial"/>
          <w:sz w:val="12"/>
          <w:szCs w:val="12"/>
          <w:color w:val="auto"/>
        </w:rPr>
        <w:t>Annual Improvements 2018-2020</w:t>
      </w:r>
    </w:p>
    <w:p>
      <w:pPr>
        <w:spacing w:after="0" w:line="140" w:lineRule="exact"/>
        <w:rPr>
          <w:sz w:val="20"/>
          <w:szCs w:val="20"/>
          <w:color w:val="auto"/>
        </w:rPr>
      </w:pPr>
    </w:p>
    <w:p>
      <w:pPr>
        <w:ind w:left="20" w:right="299"/>
        <w:spacing w:after="0" w:line="273" w:lineRule="auto"/>
        <w:rPr>
          <w:sz w:val="20"/>
          <w:szCs w:val="20"/>
          <w:color w:val="auto"/>
        </w:rPr>
      </w:pPr>
      <w:r>
        <w:rPr>
          <w:rFonts w:ascii="Arial" w:cs="Arial" w:eastAsia="Arial" w:hAnsi="Arial"/>
          <w:sz w:val="12"/>
          <w:szCs w:val="12"/>
          <w:color w:val="auto"/>
        </w:rPr>
        <w:t>All of the above amendments were issued on May 14, 2020. The implementation of these amendments did not have a material impact on the consolidated financial statements for the current or prior reporting periods and is not expected to have a significant impact in future reporting periods.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6" w:name="page87"/>
    <w:bookmarkEnd w:id="8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NEW ACCOUNTING POLICIES AND DISCLOSURES EFFECTIVE IN 2023 OR LATER</w:t>
      </w:r>
    </w:p>
    <w:p>
      <w:pPr>
        <w:spacing w:after="0" w:line="143" w:lineRule="exact"/>
        <w:rPr>
          <w:sz w:val="20"/>
          <w:szCs w:val="20"/>
          <w:color w:val="auto"/>
        </w:rPr>
      </w:pPr>
    </w:p>
    <w:p>
      <w:pPr>
        <w:ind w:left="20" w:right="379"/>
        <w:spacing w:after="0" w:line="255" w:lineRule="auto"/>
        <w:rPr>
          <w:sz w:val="20"/>
          <w:szCs w:val="20"/>
          <w:color w:val="auto"/>
        </w:rPr>
      </w:pPr>
      <w:r>
        <w:rPr>
          <w:rFonts w:ascii="Arial" w:cs="Arial" w:eastAsia="Arial" w:hAnsi="Arial"/>
          <w:sz w:val="12"/>
          <w:szCs w:val="12"/>
          <w:color w:val="auto"/>
        </w:rPr>
        <w:t>The IASB has issued a number of new standards and updated some existing standards, the majority of which are effective for accounting periods beginning on January 1, 2023 or later. Therefore, they are not incorporated in these consolidated financial statements. There are no standards presently known that are not yet effective and that would be expected to have a material impact on Genmab in current or future reporting periods and on foreseeable future transactions.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1.3 Management’s Judgements and Estimates under IFRS</w:t>
      </w:r>
    </w:p>
    <w:p>
      <w:pPr>
        <w:spacing w:after="0" w:line="160" w:lineRule="exact"/>
        <w:rPr>
          <w:sz w:val="20"/>
          <w:szCs w:val="20"/>
          <w:color w:val="auto"/>
        </w:rPr>
      </w:pPr>
    </w:p>
    <w:p>
      <w:pPr>
        <w:ind w:left="20" w:right="199"/>
        <w:spacing w:after="0" w:line="255" w:lineRule="auto"/>
        <w:rPr>
          <w:sz w:val="20"/>
          <w:szCs w:val="20"/>
          <w:color w:val="auto"/>
        </w:rPr>
      </w:pPr>
      <w:r>
        <w:rPr>
          <w:rFonts w:ascii="Arial" w:cs="Arial" w:eastAsia="Arial" w:hAnsi="Arial"/>
          <w:sz w:val="12"/>
          <w:szCs w:val="12"/>
          <w:color w:val="auto"/>
        </w:rPr>
        <w:t>In preparing financial statements under IFRS, certain provisions in the standards require management’s judgements, including various accounting estimates and assumptions. These judgements and estimates affect the application of accounting policies, as well as reported amounts within the consolidated financial statements and disclosures.</w:t>
      </w:r>
    </w:p>
    <w:p>
      <w:pPr>
        <w:spacing w:after="0" w:line="11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Determining the carrying amount of certain assets and liabilities requires judgements, estimates and assumptions concerning future events that are based on historical experience and other factors, which by their very nature are associated with uncertainty and unpredictability.</w:t>
      </w:r>
    </w:p>
    <w:p>
      <w:pPr>
        <w:spacing w:after="0" w:line="103" w:lineRule="exact"/>
        <w:rPr>
          <w:sz w:val="20"/>
          <w:szCs w:val="20"/>
          <w:color w:val="auto"/>
        </w:rPr>
      </w:pPr>
    </w:p>
    <w:p>
      <w:pPr>
        <w:ind w:left="20" w:right="359"/>
        <w:spacing w:after="0" w:line="273" w:lineRule="auto"/>
        <w:rPr>
          <w:sz w:val="20"/>
          <w:szCs w:val="20"/>
          <w:color w:val="auto"/>
        </w:rPr>
      </w:pPr>
      <w:r>
        <w:rPr>
          <w:rFonts w:ascii="Arial" w:cs="Arial" w:eastAsia="Arial" w:hAnsi="Arial"/>
          <w:sz w:val="12"/>
          <w:szCs w:val="12"/>
          <w:color w:val="auto"/>
        </w:rPr>
        <w:t>Accounting estimates are based on historical experience and various other factors relative to the circumstances in which they are applied. Estimates are generally made based on information available at the time.</w:t>
      </w:r>
    </w:p>
    <w:p>
      <w:pPr>
        <w:spacing w:after="0" w:line="103" w:lineRule="exact"/>
        <w:rPr>
          <w:sz w:val="20"/>
          <w:szCs w:val="20"/>
          <w:color w:val="auto"/>
        </w:rPr>
      </w:pPr>
    </w:p>
    <w:p>
      <w:pPr>
        <w:ind w:left="20" w:right="39"/>
        <w:spacing w:after="0" w:line="273" w:lineRule="auto"/>
        <w:rPr>
          <w:sz w:val="20"/>
          <w:szCs w:val="20"/>
          <w:color w:val="auto"/>
        </w:rPr>
      </w:pPr>
      <w:r>
        <w:rPr>
          <w:rFonts w:ascii="Arial" w:cs="Arial" w:eastAsia="Arial" w:hAnsi="Arial"/>
          <w:sz w:val="12"/>
          <w:szCs w:val="12"/>
          <w:color w:val="auto"/>
        </w:rPr>
        <w:t>Accounting judgements are made in the process of applying accounting policies. These judgements are typically made based on the guidance and information available at the time of application.</w:t>
      </w:r>
    </w:p>
    <w:p>
      <w:pPr>
        <w:spacing w:after="0" w:line="103"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These estimates and judgements may prove incomplete or incorrect, and unexpected events or circumstances may arise. Genmab is also subject to risks and uncertainties which may lead actual results to differ from these estimates, both positively and negatively. Specific risks for Genmab are discussed in the relevant section of this Annual Report and in the notes to the consolidated financial statements.</w:t>
      </w:r>
    </w:p>
    <w:p>
      <w:pPr>
        <w:spacing w:after="0" w:line="113" w:lineRule="exact"/>
        <w:rPr>
          <w:sz w:val="20"/>
          <w:szCs w:val="20"/>
          <w:color w:val="auto"/>
        </w:rPr>
      </w:pPr>
    </w:p>
    <w:p>
      <w:pPr>
        <w:ind w:left="20" w:right="519"/>
        <w:spacing w:after="0" w:line="273" w:lineRule="auto"/>
        <w:rPr>
          <w:sz w:val="20"/>
          <w:szCs w:val="20"/>
          <w:color w:val="auto"/>
        </w:rPr>
      </w:pPr>
      <w:r>
        <w:rPr>
          <w:rFonts w:ascii="Arial" w:cs="Arial" w:eastAsia="Arial" w:hAnsi="Arial"/>
          <w:sz w:val="12"/>
          <w:szCs w:val="12"/>
          <w:color w:val="auto"/>
        </w:rPr>
        <w:t>The areas involving a high degree of judgement and estimation that are significant to the consolidated financial statements are summarized below. Refer to the identified notes for further information on the key accounting estimates and judgements utilized in the preparation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7" w:name="page88"/>
    <w:bookmarkEnd w:id="8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0" w:type="dxa"/>
        <w:tblCellMar>
          <w:top w:w="0" w:type="dxa"/>
          <w:left w:w="0" w:type="dxa"/>
          <w:bottom w:w="0" w:type="dxa"/>
          <w:right w:w="0" w:type="dxa"/>
        </w:tblCellMar>
      </w:tblPr>
      <w:tr>
        <w:trPr>
          <w:trHeight w:val="174"/>
        </w:trPr>
        <w:tc>
          <w:tcPr>
            <w:tcW w:w="168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2"/>
                <w:szCs w:val="12"/>
                <w:b w:val="1"/>
                <w:bCs w:val="1"/>
                <w:color w:val="auto"/>
              </w:rPr>
              <w:t>Accounting Policy</w:t>
            </w:r>
          </w:p>
        </w:tc>
        <w:tc>
          <w:tcPr>
            <w:tcW w:w="4400" w:type="dxa"/>
            <w:vAlign w:val="bottom"/>
            <w:tcBorders>
              <w:top w:val="single" w:sz="8" w:color="auto"/>
              <w:right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Key Accounting Estimates and Judgements</w:t>
            </w:r>
          </w:p>
        </w:tc>
        <w:tc>
          <w:tcPr>
            <w:tcW w:w="13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2"/>
                <w:szCs w:val="12"/>
                <w:b w:val="1"/>
                <w:bCs w:val="1"/>
                <w:color w:val="auto"/>
              </w:rPr>
              <w:t>Note Reference</w:t>
            </w:r>
          </w:p>
        </w:tc>
        <w:tc>
          <w:tcPr>
            <w:tcW w:w="12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Estimation Risk</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gridSpan w:val="3"/>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Revenue Recognition</w:t>
            </w: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Estimation of partner net sales amounts in the calculation of royalties</w:t>
            </w: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Note 2.1</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Moderate / High</w:t>
            </w: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1680" w:type="dxa"/>
            <w:vAlign w:val="bottom"/>
            <w:tcBorders>
              <w:left w:val="single" w:sz="8" w:color="auto"/>
              <w:right w:val="single" w:sz="8" w:color="auto"/>
            </w:tcBorders>
          </w:tcPr>
          <w:p>
            <w:pPr>
              <w:spacing w:after="0"/>
              <w:rPr>
                <w:sz w:val="23"/>
                <w:szCs w:val="23"/>
                <w:color w:val="auto"/>
              </w:rPr>
            </w:pP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Judgement in assessing the probability of attainment of milestones</w:t>
            </w:r>
          </w:p>
        </w:tc>
        <w:tc>
          <w:tcPr>
            <w:tcW w:w="13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680" w:type="dxa"/>
            <w:vAlign w:val="bottom"/>
            <w:tcBorders>
              <w:left w:val="single" w:sz="8" w:color="auto"/>
              <w:right w:val="single" w:sz="8" w:color="auto"/>
            </w:tcBorders>
          </w:tcPr>
          <w:p>
            <w:pPr>
              <w:spacing w:after="0"/>
              <w:rPr>
                <w:sz w:val="24"/>
                <w:szCs w:val="24"/>
                <w:color w:val="auto"/>
              </w:rPr>
            </w:pP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Estimation of variable consideration</w:t>
            </w:r>
          </w:p>
        </w:tc>
        <w:tc>
          <w:tcPr>
            <w:tcW w:w="13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Borders>
              <w:left w:val="single" w:sz="8" w:color="auto"/>
              <w:right w:val="single" w:sz="8" w:color="auto"/>
            </w:tcBorders>
          </w:tcPr>
          <w:p>
            <w:pPr>
              <w:spacing w:after="0"/>
              <w:rPr>
                <w:sz w:val="22"/>
                <w:szCs w:val="22"/>
                <w:color w:val="auto"/>
              </w:rPr>
            </w:pP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Judgement in assessing the nature of combined performance obligations within</w:t>
            </w:r>
          </w:p>
        </w:tc>
        <w:tc>
          <w:tcPr>
            <w:tcW w:w="13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right w:val="single" w:sz="8" w:color="auto"/>
            </w:tcBorders>
          </w:tcPr>
          <w:p>
            <w:pPr>
              <w:spacing w:after="0"/>
              <w:rPr>
                <w:sz w:val="13"/>
                <w:szCs w:val="13"/>
                <w:color w:val="auto"/>
              </w:rPr>
            </w:pP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contracts</w:t>
            </w:r>
          </w:p>
        </w:tc>
        <w:tc>
          <w:tcPr>
            <w:tcW w:w="13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3"/>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Share Based Compensation</w:t>
            </w: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Judgement in selecting assumptions required for valuation of warrant grants</w:t>
            </w: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Note 4.6</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Moderate</w:t>
            </w: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gridSpan w:val="3"/>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tcPr>
          <w:p>
            <w:pPr>
              <w:ind w:left="80"/>
              <w:spacing w:after="0" w:line="113" w:lineRule="exact"/>
              <w:rPr>
                <w:sz w:val="20"/>
                <w:szCs w:val="20"/>
                <w:color w:val="auto"/>
              </w:rPr>
            </w:pPr>
            <w:r>
              <w:rPr>
                <w:rFonts w:ascii="Arial" w:cs="Arial" w:eastAsia="Arial" w:hAnsi="Arial"/>
                <w:sz w:val="12"/>
                <w:szCs w:val="12"/>
                <w:color w:val="auto"/>
              </w:rPr>
              <w:t>Current and deferred</w:t>
            </w:r>
          </w:p>
        </w:tc>
        <w:tc>
          <w:tcPr>
            <w:tcW w:w="4400" w:type="dxa"/>
            <w:vAlign w:val="bottom"/>
            <w:tcBorders>
              <w:right w:val="single" w:sz="8" w:color="auto"/>
            </w:tcBorders>
            <w:gridSpan w:val="3"/>
          </w:tcPr>
          <w:p>
            <w:pPr>
              <w:ind w:left="40"/>
              <w:spacing w:after="0" w:line="113" w:lineRule="exact"/>
              <w:rPr>
                <w:sz w:val="20"/>
                <w:szCs w:val="20"/>
                <w:color w:val="auto"/>
              </w:rPr>
            </w:pPr>
            <w:r>
              <w:rPr>
                <w:rFonts w:ascii="Arial" w:cs="Arial" w:eastAsia="Arial" w:hAnsi="Arial"/>
                <w:sz w:val="12"/>
                <w:szCs w:val="12"/>
                <w:color w:val="auto"/>
              </w:rPr>
              <w:t>Judgement and estimation regarding valuation of deferred income tax assets</w:t>
            </w:r>
          </w:p>
        </w:tc>
        <w:tc>
          <w:tcPr>
            <w:tcW w:w="1320" w:type="dxa"/>
            <w:vAlign w:val="bottom"/>
            <w:tcBorders>
              <w:right w:val="single" w:sz="8" w:color="auto"/>
            </w:tcBorders>
          </w:tcPr>
          <w:p>
            <w:pPr>
              <w:ind w:left="40"/>
              <w:spacing w:after="0" w:line="113" w:lineRule="exact"/>
              <w:rPr>
                <w:sz w:val="20"/>
                <w:szCs w:val="20"/>
                <w:color w:val="auto"/>
              </w:rPr>
            </w:pPr>
            <w:r>
              <w:rPr>
                <w:rFonts w:ascii="Arial" w:cs="Arial" w:eastAsia="Arial" w:hAnsi="Arial"/>
                <w:sz w:val="12"/>
                <w:szCs w:val="12"/>
                <w:color w:val="auto"/>
              </w:rPr>
              <w:t>Note 2.4</w:t>
            </w:r>
          </w:p>
        </w:tc>
        <w:tc>
          <w:tcPr>
            <w:tcW w:w="126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2"/>
                <w:szCs w:val="12"/>
                <w:color w:val="auto"/>
              </w:rPr>
              <w:t>Moderate</w:t>
            </w: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income taxes</w:t>
            </w:r>
          </w:p>
        </w:tc>
        <w:tc>
          <w:tcPr>
            <w:tcW w:w="4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2"/>
                <w:szCs w:val="12"/>
                <w:color w:val="auto"/>
              </w:rPr>
              <w:t>Estimation in developing the provision for any uncertain tax positions</w:t>
            </w:r>
          </w:p>
        </w:tc>
        <w:tc>
          <w:tcPr>
            <w:tcW w:w="13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4400" w:type="dxa"/>
            <w:vAlign w:val="bottom"/>
            <w:tcBorders>
              <w:right w:val="single" w:sz="8" w:color="auto"/>
            </w:tcBorders>
            <w:gridSpan w:val="3"/>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80" w:type="dxa"/>
            <w:vAlign w:val="bottom"/>
            <w:tcBorders>
              <w:left w:val="single" w:sz="8" w:color="auto"/>
              <w:bottom w:val="single" w:sz="8" w:color="auto"/>
              <w:right w:val="single" w:sz="8" w:color="auto"/>
            </w:tcBorders>
          </w:tcPr>
          <w:p>
            <w:pPr>
              <w:spacing w:after="0"/>
              <w:rPr>
                <w:sz w:val="11"/>
                <w:szCs w:val="11"/>
                <w:color w:val="auto"/>
              </w:rPr>
            </w:pPr>
          </w:p>
        </w:tc>
        <w:tc>
          <w:tcPr>
            <w:tcW w:w="4400" w:type="dxa"/>
            <w:vAlign w:val="bottom"/>
            <w:tcBorders>
              <w:bottom w:val="single" w:sz="8" w:color="auto"/>
              <w:right w:val="single" w:sz="8" w:color="auto"/>
            </w:tcBorders>
            <w:gridSpan w:val="3"/>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Intangible assets</w:t>
            </w:r>
          </w:p>
        </w:tc>
        <w:tc>
          <w:tcPr>
            <w:tcW w:w="440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Judgement in determining impairment of an intangible asset</w:t>
            </w:r>
          </w:p>
        </w:tc>
        <w:tc>
          <w:tcPr>
            <w:tcW w:w="13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Note 3.1</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Low</w:t>
            </w: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gridSpan w:val="3"/>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1680" w:type="dxa"/>
            <w:vAlign w:val="bottom"/>
          </w:tcPr>
          <w:p>
            <w:pPr>
              <w:spacing w:after="0"/>
              <w:rPr>
                <w:sz w:val="20"/>
                <w:szCs w:val="20"/>
                <w:color w:val="auto"/>
              </w:rPr>
            </w:pPr>
            <w:r>
              <w:rPr>
                <w:rFonts w:ascii="Arial" w:cs="Arial" w:eastAsia="Arial" w:hAnsi="Arial"/>
                <w:sz w:val="10"/>
                <w:szCs w:val="10"/>
                <w:color w:val="auto"/>
              </w:rPr>
              <w:t>Genmab A/S</w:t>
            </w:r>
          </w:p>
        </w:tc>
        <w:tc>
          <w:tcPr>
            <w:tcW w:w="4400" w:type="dxa"/>
            <w:vAlign w:val="bottom"/>
            <w:gridSpan w:val="3"/>
          </w:tcPr>
          <w:p>
            <w:pPr>
              <w:ind w:left="1460"/>
              <w:spacing w:after="0"/>
              <w:rPr>
                <w:sz w:val="20"/>
                <w:szCs w:val="20"/>
                <w:color w:val="auto"/>
              </w:rPr>
            </w:pPr>
            <w:r>
              <w:rPr>
                <w:rFonts w:ascii="Arial" w:cs="Arial" w:eastAsia="Arial" w:hAnsi="Arial"/>
                <w:sz w:val="10"/>
                <w:szCs w:val="10"/>
                <w:color w:val="auto"/>
              </w:rPr>
              <w:t>Tel: +45 7020 2728</w:t>
            </w:r>
          </w:p>
        </w:tc>
        <w:tc>
          <w:tcPr>
            <w:tcW w:w="1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16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Page 85/158</w:t>
            </w:r>
          </w:p>
        </w:tc>
        <w:tc>
          <w:tcPr>
            <w:tcW w:w="0" w:type="dxa"/>
            <w:vAlign w:val="bottom"/>
          </w:tcPr>
          <w:p>
            <w:pPr>
              <w:spacing w:after="0"/>
              <w:rPr>
                <w:sz w:val="1"/>
                <w:szCs w:val="1"/>
                <w:color w:val="auto"/>
              </w:rPr>
            </w:pPr>
          </w:p>
        </w:tc>
      </w:tr>
      <w:tr>
        <w:trPr>
          <w:trHeight w:val="105"/>
        </w:trPr>
        <w:tc>
          <w:tcPr>
            <w:tcW w:w="168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4400" w:type="dxa"/>
            <w:vAlign w:val="bottom"/>
            <w:gridSpan w:val="3"/>
          </w:tcPr>
          <w:p>
            <w:pPr>
              <w:ind w:left="1460"/>
              <w:spacing w:after="0" w:line="105" w:lineRule="exact"/>
              <w:rPr>
                <w:sz w:val="20"/>
                <w:szCs w:val="20"/>
                <w:color w:val="auto"/>
              </w:rPr>
            </w:pPr>
            <w:r>
              <w:rPr>
                <w:rFonts w:ascii="Arial" w:cs="Arial" w:eastAsia="Arial" w:hAnsi="Arial"/>
                <w:sz w:val="10"/>
                <w:szCs w:val="10"/>
                <w:color w:val="0000FF"/>
              </w:rPr>
              <w:t>www.genmab.com</w:t>
            </w:r>
          </w:p>
        </w:tc>
        <w:tc>
          <w:tcPr>
            <w:tcW w:w="1320" w:type="dxa"/>
            <w:vAlign w:val="bottom"/>
          </w:tcPr>
          <w:p>
            <w:pPr>
              <w:spacing w:after="0"/>
              <w:rPr>
                <w:sz w:val="9"/>
                <w:szCs w:val="9"/>
                <w:color w:val="auto"/>
              </w:rPr>
            </w:pPr>
          </w:p>
        </w:tc>
        <w:tc>
          <w:tcPr>
            <w:tcW w:w="15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1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88" w:name="page89"/>
    <w:bookmarkEnd w:id="8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Section 2 Results for the Year</w:t>
      </w:r>
    </w:p>
    <w:p>
      <w:pPr>
        <w:spacing w:after="0" w:line="151" w:lineRule="exact"/>
        <w:rPr>
          <w:sz w:val="20"/>
          <w:szCs w:val="20"/>
          <w:color w:val="auto"/>
        </w:rPr>
      </w:pPr>
    </w:p>
    <w:p>
      <w:pPr>
        <w:ind w:left="20" w:right="379"/>
        <w:spacing w:after="0" w:line="273" w:lineRule="auto"/>
        <w:rPr>
          <w:sz w:val="20"/>
          <w:szCs w:val="20"/>
          <w:color w:val="auto"/>
        </w:rPr>
      </w:pPr>
      <w:r>
        <w:rPr>
          <w:rFonts w:ascii="Arial" w:cs="Arial" w:eastAsia="Arial" w:hAnsi="Arial"/>
          <w:sz w:val="12"/>
          <w:szCs w:val="12"/>
          <w:color w:val="auto"/>
        </w:rPr>
        <w:t>This section includes disclosures related to revenue, information about geographical areas, staff costs, corporate and deferred tax and profit per share. A detailed description of the results for the year is provided in the Financial Review section in the Management’s Review.</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2.1 - Revenue</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00" w:type="dxa"/>
            <w:vAlign w:val="bottom"/>
          </w:tcPr>
          <w:p>
            <w:pPr>
              <w:spacing w:after="0"/>
              <w:rPr>
                <w:sz w:val="20"/>
                <w:szCs w:val="20"/>
                <w:color w:val="auto"/>
              </w:rPr>
            </w:pPr>
            <w:r>
              <w:rPr>
                <w:rFonts w:ascii="Arial" w:cs="Arial" w:eastAsia="Arial" w:hAnsi="Arial"/>
                <w:sz w:val="12"/>
                <w:szCs w:val="12"/>
                <w:color w:val="auto"/>
              </w:rPr>
              <w:t>(DKK million)</w:t>
            </w:r>
          </w:p>
        </w:tc>
        <w:tc>
          <w:tcPr>
            <w:tcW w:w="820" w:type="dxa"/>
            <w:vAlign w:val="bottom"/>
          </w:tcPr>
          <w:p>
            <w:pPr>
              <w:jc w:val="right"/>
              <w:spacing w:after="0"/>
              <w:rPr>
                <w:sz w:val="20"/>
                <w:szCs w:val="20"/>
                <w:color w:val="auto"/>
              </w:rPr>
            </w:pPr>
            <w:r>
              <w:rPr>
                <w:rFonts w:ascii="Arial" w:cs="Arial" w:eastAsia="Arial" w:hAnsi="Arial"/>
                <w:sz w:val="12"/>
                <w:szCs w:val="12"/>
                <w:color w:val="auto"/>
              </w:rPr>
              <w:t>2022</w:t>
            </w:r>
          </w:p>
        </w:tc>
        <w:tc>
          <w:tcPr>
            <w:tcW w:w="1380" w:type="dxa"/>
            <w:vAlign w:val="bottom"/>
            <w:gridSpan w:val="3"/>
          </w:tcPr>
          <w:p>
            <w:pPr>
              <w:jc w:val="right"/>
              <w:ind w:right="100"/>
              <w:spacing w:after="0"/>
              <w:rPr>
                <w:sz w:val="20"/>
                <w:szCs w:val="20"/>
                <w:color w:val="auto"/>
              </w:rPr>
            </w:pPr>
            <w:r>
              <w:rPr>
                <w:rFonts w:ascii="Arial" w:cs="Arial" w:eastAsia="Arial" w:hAnsi="Arial"/>
                <w:sz w:val="12"/>
                <w:szCs w:val="12"/>
                <w:color w:val="auto"/>
              </w:rPr>
              <w:t>2021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ind w:right="460"/>
              <w:spacing w:after="0"/>
              <w:rPr>
                <w:sz w:val="20"/>
                <w:szCs w:val="20"/>
                <w:color w:val="auto"/>
              </w:rPr>
            </w:pPr>
            <w:r>
              <w:rPr>
                <w:rFonts w:ascii="Arial" w:cs="Arial" w:eastAsia="Arial" w:hAnsi="Arial"/>
                <w:sz w:val="12"/>
                <w:szCs w:val="12"/>
                <w:color w:val="auto"/>
              </w:rPr>
              <w:t>2020</w:t>
            </w:r>
          </w:p>
        </w:tc>
      </w:tr>
      <w:tr>
        <w:trPr>
          <w:trHeight w:val="248"/>
        </w:trPr>
        <w:tc>
          <w:tcPr>
            <w:tcW w:w="5000" w:type="dxa"/>
            <w:vAlign w:val="bottom"/>
          </w:tcPr>
          <w:p>
            <w:pPr>
              <w:spacing w:after="0"/>
              <w:rPr>
                <w:sz w:val="20"/>
                <w:szCs w:val="20"/>
                <w:color w:val="auto"/>
              </w:rPr>
            </w:pPr>
            <w:r>
              <w:rPr>
                <w:rFonts w:ascii="Arial" w:cs="Arial" w:eastAsia="Arial" w:hAnsi="Arial"/>
                <w:sz w:val="12"/>
                <w:szCs w:val="12"/>
                <w:b w:val="1"/>
                <w:bCs w:val="1"/>
                <w:color w:val="auto"/>
              </w:rPr>
              <w:t>Revenue by type:</w:t>
            </w:r>
          </w:p>
        </w:tc>
        <w:tc>
          <w:tcPr>
            <w:tcW w:w="8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Royalties</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11,672</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6,977</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4,741</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Reimbursement revenue</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818</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531</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431</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Milestone revenue</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1,767</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954</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351</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License revenue</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6</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4,588</w:t>
            </w:r>
          </w:p>
        </w:tc>
      </w:tr>
      <w:tr>
        <w:trPr>
          <w:trHeight w:val="149"/>
        </w:trPr>
        <w:tc>
          <w:tcPr>
            <w:tcW w:w="5000" w:type="dxa"/>
            <w:vAlign w:val="bottom"/>
          </w:tcPr>
          <w:p>
            <w:pPr>
              <w:spacing w:after="0"/>
              <w:rPr>
                <w:sz w:val="20"/>
                <w:szCs w:val="20"/>
                <w:color w:val="auto"/>
              </w:rPr>
            </w:pPr>
            <w:r>
              <w:rPr>
                <w:rFonts w:ascii="Arial" w:cs="Arial" w:eastAsia="Arial" w:hAnsi="Arial"/>
                <w:sz w:val="12"/>
                <w:szCs w:val="12"/>
                <w:color w:val="auto"/>
              </w:rPr>
              <w:t>Collaboration revenue</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50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14,595</w:t>
            </w:r>
          </w:p>
        </w:tc>
        <w:tc>
          <w:tcPr>
            <w:tcW w:w="4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8,482</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10,111</w:t>
            </w:r>
          </w:p>
        </w:tc>
      </w:tr>
      <w:tr>
        <w:trPr>
          <w:trHeight w:val="248"/>
        </w:trPr>
        <w:tc>
          <w:tcPr>
            <w:tcW w:w="5000" w:type="dxa"/>
            <w:vAlign w:val="bottom"/>
          </w:tcPr>
          <w:p>
            <w:pPr>
              <w:spacing w:after="0"/>
              <w:rPr>
                <w:sz w:val="20"/>
                <w:szCs w:val="20"/>
                <w:color w:val="auto"/>
              </w:rPr>
            </w:pPr>
            <w:r>
              <w:rPr>
                <w:rFonts w:ascii="Arial" w:cs="Arial" w:eastAsia="Arial" w:hAnsi="Arial"/>
                <w:sz w:val="12"/>
                <w:szCs w:val="12"/>
                <w:b w:val="1"/>
                <w:bCs w:val="1"/>
                <w:color w:val="auto"/>
              </w:rPr>
              <w:t>Revenue by collaboration partner:</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Janssen</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10,620</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6,847</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4,693</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AbbVie</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1,174</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245</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4,398</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Roche</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796</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603</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305</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Novartis</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815</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236</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212</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BioNTech</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708</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416</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230</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Seagen</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413</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135</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201</w:t>
            </w:r>
          </w:p>
        </w:tc>
      </w:tr>
      <w:tr>
        <w:trPr>
          <w:trHeight w:val="149"/>
        </w:trPr>
        <w:tc>
          <w:tcPr>
            <w:tcW w:w="5000" w:type="dxa"/>
            <w:vAlign w:val="bottom"/>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r>
      <w:tr>
        <w:trPr>
          <w:trHeight w:val="261"/>
        </w:trPr>
        <w:tc>
          <w:tcPr>
            <w:tcW w:w="50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14,595</w:t>
            </w:r>
          </w:p>
        </w:tc>
        <w:tc>
          <w:tcPr>
            <w:tcW w:w="4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8,482</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10,111</w:t>
            </w:r>
          </w:p>
        </w:tc>
      </w:tr>
      <w:tr>
        <w:trPr>
          <w:trHeight w:val="248"/>
        </w:trPr>
        <w:tc>
          <w:tcPr>
            <w:tcW w:w="5000" w:type="dxa"/>
            <w:vAlign w:val="bottom"/>
          </w:tcPr>
          <w:p>
            <w:pPr>
              <w:spacing w:after="0"/>
              <w:rPr>
                <w:sz w:val="20"/>
                <w:szCs w:val="20"/>
                <w:color w:val="auto"/>
              </w:rPr>
            </w:pPr>
            <w:r>
              <w:rPr>
                <w:rFonts w:ascii="Arial" w:cs="Arial" w:eastAsia="Arial" w:hAnsi="Arial"/>
                <w:sz w:val="12"/>
                <w:szCs w:val="12"/>
                <w:b w:val="1"/>
                <w:bCs w:val="1"/>
                <w:color w:val="auto"/>
              </w:rPr>
              <w:t>Royalties by product:</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DARZALEX</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10,056</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6,135</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4,419</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TEPEZZA</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796</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593</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298</w:t>
            </w:r>
          </w:p>
        </w:tc>
      </w:tr>
      <w:tr>
        <w:trPr>
          <w:trHeight w:val="136"/>
        </w:trPr>
        <w:tc>
          <w:tcPr>
            <w:tcW w:w="5000" w:type="dxa"/>
            <w:vAlign w:val="bottom"/>
          </w:tcPr>
          <w:p>
            <w:pPr>
              <w:spacing w:after="0" w:line="136" w:lineRule="exact"/>
              <w:rPr>
                <w:sz w:val="20"/>
                <w:szCs w:val="20"/>
                <w:color w:val="auto"/>
              </w:rPr>
            </w:pPr>
            <w:r>
              <w:rPr>
                <w:rFonts w:ascii="Arial" w:cs="Arial" w:eastAsia="Arial" w:hAnsi="Arial"/>
                <w:sz w:val="12"/>
                <w:szCs w:val="12"/>
                <w:color w:val="auto"/>
              </w:rPr>
              <w:t>Kesimpta</w:t>
            </w:r>
          </w:p>
        </w:tc>
        <w:tc>
          <w:tcPr>
            <w:tcW w:w="82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779</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235</w:t>
            </w:r>
          </w:p>
        </w:tc>
        <w:tc>
          <w:tcPr>
            <w:tcW w:w="6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10</w:t>
            </w:r>
          </w:p>
        </w:tc>
      </w:tr>
      <w:tr>
        <w:trPr>
          <w:trHeight w:val="149"/>
        </w:trPr>
        <w:tc>
          <w:tcPr>
            <w:tcW w:w="5000" w:type="dxa"/>
            <w:vAlign w:val="bottom"/>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r>
      <w:tr>
        <w:trPr>
          <w:trHeight w:val="261"/>
        </w:trPr>
        <w:tc>
          <w:tcPr>
            <w:tcW w:w="50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11,672</w:t>
            </w:r>
          </w:p>
        </w:tc>
        <w:tc>
          <w:tcPr>
            <w:tcW w:w="4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6,977</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4,741</w:t>
            </w:r>
          </w:p>
        </w:tc>
      </w:tr>
    </w:tbl>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right="59"/>
        <w:spacing w:after="0" w:line="245" w:lineRule="auto"/>
        <w:rPr>
          <w:sz w:val="20"/>
          <w:szCs w:val="20"/>
          <w:color w:val="auto"/>
        </w:rPr>
      </w:pPr>
      <w:r>
        <w:rPr>
          <w:rFonts w:ascii="Arial" w:cs="Arial" w:eastAsia="Arial" w:hAnsi="Arial"/>
          <w:sz w:val="12"/>
          <w:szCs w:val="12"/>
          <w:color w:val="auto"/>
        </w:rPr>
        <w:t>Genmab recognizes revenue when its customer obtains control of promised goods or services, in an amount that reflects the consideration that it expects to receive in exchange for those goods or services. To determine revenue recognition for arrangements that Genmab determines are within the scope of IFRS 15, Genmab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Genmab only applies the five-step model to contracts when it is probable that the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89" w:name="page90"/>
    <w:bookmarkEnd w:id="8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Company will collect the consideration it is entitled to in exchange for the goods or services it transfers to the customer. At contract inception, once the contract is determined to be within the scope of IFRS 15, Genmab assesses the goods and services promised within each contract and identifies as a performance obligation each good or service that is distinct. Revenue is recognized in the amount of the transaction price that is allocated to the respective performance obligation when (or as) the performance obligation is satisfied.</w:t>
      </w:r>
    </w:p>
    <w:p>
      <w:pPr>
        <w:spacing w:after="0" w:line="119" w:lineRule="exact"/>
        <w:rPr>
          <w:sz w:val="20"/>
          <w:szCs w:val="20"/>
          <w:color w:val="auto"/>
        </w:rPr>
      </w:pPr>
    </w:p>
    <w:p>
      <w:pPr>
        <w:jc w:val="both"/>
        <w:ind w:left="20" w:right="199"/>
        <w:spacing w:after="0" w:line="255" w:lineRule="auto"/>
        <w:rPr>
          <w:sz w:val="20"/>
          <w:szCs w:val="20"/>
          <w:color w:val="auto"/>
        </w:rPr>
      </w:pPr>
      <w:r>
        <w:rPr>
          <w:rFonts w:ascii="Arial" w:cs="Arial" w:eastAsia="Arial" w:hAnsi="Arial"/>
          <w:sz w:val="12"/>
          <w:szCs w:val="12"/>
          <w:b w:val="1"/>
          <w:bCs w:val="1"/>
          <w:color w:val="auto"/>
        </w:rPr>
        <w:t xml:space="preserve">Royalties: </w:t>
      </w:r>
      <w:r>
        <w:rPr>
          <w:rFonts w:ascii="Arial" w:cs="Arial" w:eastAsia="Arial" w:hAnsi="Arial"/>
          <w:sz w:val="12"/>
          <w:szCs w:val="12"/>
          <w:color w:val="auto"/>
        </w:rPr>
        <w:t>Certain of Genmab’s license and collaboration agreements include sales-based royalties based on the level of sales. The license has been deemed to be</w:t>
      </w:r>
      <w:r>
        <w:rPr>
          <w:rFonts w:ascii="Arial" w:cs="Arial" w:eastAsia="Arial" w:hAnsi="Arial"/>
          <w:sz w:val="12"/>
          <w:szCs w:val="12"/>
          <w:b w:val="1"/>
          <w:bCs w:val="1"/>
          <w:color w:val="auto"/>
        </w:rPr>
        <w:t xml:space="preserve"> </w:t>
      </w:r>
      <w:r>
        <w:rPr>
          <w:rFonts w:ascii="Arial" w:cs="Arial" w:eastAsia="Arial" w:hAnsi="Arial"/>
          <w:sz w:val="12"/>
          <w:szCs w:val="12"/>
          <w:color w:val="auto"/>
        </w:rPr>
        <w:t>the predominant item to which the royalties relate under Genmab’s license and collaboration agreements. As a result, Genmab recognizes revenue when the related sales occur.</w:t>
      </w:r>
    </w:p>
    <w:p>
      <w:pPr>
        <w:spacing w:after="0" w:line="113" w:lineRule="exact"/>
        <w:rPr>
          <w:sz w:val="20"/>
          <w:szCs w:val="20"/>
          <w:color w:val="auto"/>
        </w:rPr>
      </w:pPr>
    </w:p>
    <w:p>
      <w:pPr>
        <w:jc w:val="both"/>
        <w:ind w:left="20" w:right="59"/>
        <w:spacing w:after="0" w:line="255" w:lineRule="auto"/>
        <w:rPr>
          <w:sz w:val="20"/>
          <w:szCs w:val="20"/>
          <w:color w:val="auto"/>
        </w:rPr>
      </w:pPr>
      <w:r>
        <w:rPr>
          <w:rFonts w:ascii="Arial" w:cs="Arial" w:eastAsia="Arial" w:hAnsi="Arial"/>
          <w:sz w:val="12"/>
          <w:szCs w:val="12"/>
          <w:b w:val="1"/>
          <w:bCs w:val="1"/>
          <w:color w:val="auto"/>
        </w:rPr>
        <w:t xml:space="preserve">Reimbursement Revenue for R&amp;D Services: </w:t>
      </w:r>
      <w:r>
        <w:rPr>
          <w:rFonts w:ascii="Arial" w:cs="Arial" w:eastAsia="Arial" w:hAnsi="Arial"/>
          <w:sz w:val="12"/>
          <w:szCs w:val="12"/>
          <w:color w:val="auto"/>
        </w:rPr>
        <w:t>Genmab’s research collaboration agreements include the provisions for reimbursement or cost sharing for research and</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services and payment for FTEs at contractual rates. R&amp;D services are performed and satisfied over time given that the customer simultaneously receives and consumes the benefits provided by Genmab and revenue for research services is recognized over time rather than at a point in time.</w:t>
      </w:r>
    </w:p>
    <w:p>
      <w:pPr>
        <w:spacing w:after="0" w:line="113" w:lineRule="exact"/>
        <w:rPr>
          <w:sz w:val="20"/>
          <w:szCs w:val="20"/>
          <w:color w:val="auto"/>
        </w:rPr>
      </w:pPr>
    </w:p>
    <w:p>
      <w:pPr>
        <w:ind w:left="20" w:right="59"/>
        <w:spacing w:after="0"/>
        <w:rPr>
          <w:sz w:val="20"/>
          <w:szCs w:val="20"/>
          <w:color w:val="auto"/>
        </w:rPr>
      </w:pPr>
      <w:r>
        <w:rPr>
          <w:rFonts w:ascii="Arial" w:cs="Arial" w:eastAsia="Arial" w:hAnsi="Arial"/>
          <w:sz w:val="12"/>
          <w:szCs w:val="12"/>
          <w:b w:val="1"/>
          <w:bCs w:val="1"/>
          <w:color w:val="auto"/>
        </w:rPr>
        <w:t xml:space="preserve">Milestone Revenue: </w:t>
      </w:r>
      <w:r>
        <w:rPr>
          <w:rFonts w:ascii="Arial" w:cs="Arial" w:eastAsia="Arial" w:hAnsi="Arial"/>
          <w:sz w:val="12"/>
          <w:szCs w:val="12"/>
          <w:color w:val="auto"/>
        </w:rPr>
        <w:t>Certain of Genmab’s license and collaboration agreements include development, regulatory and commercial milestone payments based on the</w:t>
      </w:r>
      <w:r>
        <w:rPr>
          <w:rFonts w:ascii="Arial" w:cs="Arial" w:eastAsia="Arial" w:hAnsi="Arial"/>
          <w:sz w:val="12"/>
          <w:szCs w:val="12"/>
          <w:b w:val="1"/>
          <w:bCs w:val="1"/>
          <w:color w:val="auto"/>
        </w:rPr>
        <w:t xml:space="preserve"> </w:t>
      </w:r>
      <w:r>
        <w:rPr>
          <w:rFonts w:ascii="Arial" w:cs="Arial" w:eastAsia="Arial" w:hAnsi="Arial"/>
          <w:sz w:val="12"/>
          <w:szCs w:val="12"/>
          <w:color w:val="auto"/>
        </w:rPr>
        <w:t>level of sales. At the inception of each arrangement that includes milestone payments, Genmab evaluates whether the achievement of milestones is considered highly probable and estimates the amount to be included in the transaction price using the most likely amount method. If it is highly probable that a significant revenue reversal would not occur, the associated milestone value is included in the transaction price. Milestone payments that are not within the control of Genmab or the license and collaboration partner, such as regulatory approvals, are not considered probable of being achieved until those approvals are received. The transaction price is then allocated to each performance obligation on a relative stand-alone selling price basis, for which Genmab recognizes revenue as or when the performance obligations under the contract are satisfied. At the end of each subsequent reporting period, Genmab re-evaluates the probability of achievement of such development milestones and any related constraint, and if necessary, adjusts its estimate of the overall transaction price. Any such adjustments are recorded on a cumulative catch-up basis, which would affect revenue and earnings in the period of adjustment. Under all of Genmab’s existing license and collaboration agreements, milestone payments have been allocated to the license transfer performance obligation.</w:t>
      </w:r>
    </w:p>
    <w:p>
      <w:pPr>
        <w:spacing w:after="0" w:line="125" w:lineRule="exact"/>
        <w:rPr>
          <w:sz w:val="20"/>
          <w:szCs w:val="20"/>
          <w:color w:val="auto"/>
        </w:rPr>
      </w:pPr>
    </w:p>
    <w:p>
      <w:pPr>
        <w:ind w:left="20" w:right="39"/>
        <w:spacing w:after="0" w:line="242" w:lineRule="auto"/>
        <w:rPr>
          <w:sz w:val="20"/>
          <w:szCs w:val="20"/>
          <w:color w:val="auto"/>
        </w:rPr>
      </w:pPr>
      <w:r>
        <w:rPr>
          <w:rFonts w:ascii="Arial" w:cs="Arial" w:eastAsia="Arial" w:hAnsi="Arial"/>
          <w:sz w:val="12"/>
          <w:szCs w:val="12"/>
          <w:b w:val="1"/>
          <w:bCs w:val="1"/>
          <w:color w:val="auto"/>
        </w:rPr>
        <w:t xml:space="preserve">License Revenue for Intellectual Property: </w:t>
      </w:r>
      <w:r>
        <w:rPr>
          <w:rFonts w:ascii="Arial" w:cs="Arial" w:eastAsia="Arial" w:hAnsi="Arial"/>
          <w:sz w:val="12"/>
          <w:szCs w:val="12"/>
          <w:color w:val="auto"/>
        </w:rPr>
        <w:t>If the license to Genmab’s functional intellectual property is determined to be distinct from the other performance</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identified in the arrangement, Genmab recognizes revenues from non-refundable upfront fees allocated to the license at the point in time the license is transferred to the licensee and the licensee is able to use and benefit from the license. For licenses that are bundled with other promises, Genmab utilizes judgement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Under all of Genmab’s existing license and collaboration agreements the license to functional intellectual property has been determined to be distinct from other performance obligations identified in the agreement.</w:t>
      </w:r>
    </w:p>
    <w:p>
      <w:pPr>
        <w:spacing w:after="0" w:line="123" w:lineRule="exact"/>
        <w:rPr>
          <w:sz w:val="20"/>
          <w:szCs w:val="20"/>
          <w:color w:val="auto"/>
        </w:rPr>
      </w:pPr>
    </w:p>
    <w:p>
      <w:pPr>
        <w:jc w:val="both"/>
        <w:ind w:left="20" w:right="39"/>
        <w:spacing w:after="0" w:line="248" w:lineRule="auto"/>
        <w:rPr>
          <w:sz w:val="20"/>
          <w:szCs w:val="20"/>
          <w:color w:val="auto"/>
        </w:rPr>
      </w:pPr>
      <w:r>
        <w:rPr>
          <w:rFonts w:ascii="Arial" w:cs="Arial" w:eastAsia="Arial" w:hAnsi="Arial"/>
          <w:sz w:val="12"/>
          <w:szCs w:val="12"/>
          <w:b w:val="1"/>
          <w:bCs w:val="1"/>
          <w:color w:val="auto"/>
        </w:rPr>
        <w:t xml:space="preserve">Collaboration Revenue: </w:t>
      </w:r>
      <w:r>
        <w:rPr>
          <w:rFonts w:ascii="Arial" w:cs="Arial" w:eastAsia="Arial" w:hAnsi="Arial"/>
          <w:sz w:val="12"/>
          <w:szCs w:val="12"/>
          <w:color w:val="auto"/>
        </w:rPr>
        <w:t>Collaboration revenue includes net profit sharing arrangements for the sale of commercial products. When Genmab is determined to be the</w:t>
      </w:r>
      <w:r>
        <w:rPr>
          <w:rFonts w:ascii="Arial" w:cs="Arial" w:eastAsia="Arial" w:hAnsi="Arial"/>
          <w:sz w:val="12"/>
          <w:szCs w:val="12"/>
          <w:b w:val="1"/>
          <w:bCs w:val="1"/>
          <w:color w:val="auto"/>
        </w:rPr>
        <w:t xml:space="preserve"> </w:t>
      </w:r>
      <w:r>
        <w:rPr>
          <w:rFonts w:ascii="Arial" w:cs="Arial" w:eastAsia="Arial" w:hAnsi="Arial"/>
          <w:sz w:val="12"/>
          <w:szCs w:val="12"/>
          <w:color w:val="auto"/>
        </w:rPr>
        <w:t>principal in sales to end customers, all product sales are included in net product sales in the income statement. As of December 31, 2022, Genmab has not recorded any net product sales. When Genmab’s collaboration partner is determined to be the principal in sales to end customers, Genmab’s share of net profits for the sale of commercial products is included in collaboration revenue.</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0" w:name="page91"/>
    <w:bookmarkEnd w:id="9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5.6 for detailed information regarding Genmab’s significant Research Collaborations, License Agreements and Collaborative Agreements.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MANAGEMENT’S JUDGEMENTS AND ESTIMATES – REVENUE RECOGNITION</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Evaluating the criteria for revenue recognition under license and collaboration agreements requires management’s judgement to assess and determine the following:</w:t>
      </w:r>
    </w:p>
    <w:p>
      <w:pPr>
        <w:spacing w:after="0" w:line="131" w:lineRule="exact"/>
        <w:rPr>
          <w:sz w:val="20"/>
          <w:szCs w:val="20"/>
          <w:color w:val="auto"/>
        </w:rPr>
      </w:pPr>
    </w:p>
    <w:p>
      <w:pPr>
        <w:ind w:left="480" w:hanging="222"/>
        <w:spacing w:after="0"/>
        <w:tabs>
          <w:tab w:leader="none" w:pos="480" w:val="left"/>
        </w:tabs>
        <w:numPr>
          <w:ilvl w:val="0"/>
          <w:numId w:val="81"/>
        </w:numPr>
        <w:rPr>
          <w:rFonts w:ascii="Times New Roman" w:cs="Times New Roman" w:eastAsia="Times New Roman" w:hAnsi="Times New Roman"/>
          <w:sz w:val="12"/>
          <w:szCs w:val="12"/>
          <w:color w:val="auto"/>
        </w:rPr>
      </w:pPr>
      <w:r>
        <w:rPr>
          <w:rFonts w:ascii="Arial" w:cs="Arial" w:eastAsia="Arial" w:hAnsi="Arial"/>
          <w:sz w:val="12"/>
          <w:szCs w:val="12"/>
          <w:color w:val="auto"/>
        </w:rPr>
        <w:t>An estimation of partner net sales amounts in determination of the calculation of royalties.</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1"/>
        </w:numPr>
        <w:rPr>
          <w:rFonts w:ascii="Times New Roman" w:cs="Times New Roman" w:eastAsia="Times New Roman" w:hAnsi="Times New Roman"/>
          <w:sz w:val="12"/>
          <w:szCs w:val="12"/>
          <w:color w:val="auto"/>
        </w:rPr>
      </w:pPr>
      <w:r>
        <w:rPr>
          <w:rFonts w:ascii="Arial" w:cs="Arial" w:eastAsia="Arial" w:hAnsi="Arial"/>
          <w:sz w:val="12"/>
          <w:szCs w:val="12"/>
          <w:color w:val="auto"/>
        </w:rPr>
        <w:t>An assessment of whether the achievement of milestone payments is highly probable.</w:t>
      </w:r>
    </w:p>
    <w:p>
      <w:pPr>
        <w:spacing w:after="0" w:line="6" w:lineRule="exact"/>
        <w:rPr>
          <w:rFonts w:ascii="Times New Roman" w:cs="Times New Roman" w:eastAsia="Times New Roman" w:hAnsi="Times New Roman"/>
          <w:sz w:val="12"/>
          <w:szCs w:val="12"/>
          <w:color w:val="auto"/>
        </w:rPr>
      </w:pPr>
    </w:p>
    <w:p>
      <w:pPr>
        <w:ind w:left="480" w:right="459" w:hanging="222"/>
        <w:spacing w:after="0" w:line="236" w:lineRule="auto"/>
        <w:tabs>
          <w:tab w:leader="none" w:pos="480" w:val="left"/>
        </w:tabs>
        <w:numPr>
          <w:ilvl w:val="0"/>
          <w:numId w:val="81"/>
        </w:numPr>
        <w:rPr>
          <w:rFonts w:ascii="Times New Roman" w:cs="Times New Roman" w:eastAsia="Times New Roman" w:hAnsi="Times New Roman"/>
          <w:sz w:val="12"/>
          <w:szCs w:val="12"/>
          <w:color w:val="auto"/>
        </w:rPr>
      </w:pPr>
      <w:r>
        <w:rPr>
          <w:rFonts w:ascii="Arial" w:cs="Arial" w:eastAsia="Arial" w:hAnsi="Arial"/>
          <w:sz w:val="12"/>
          <w:szCs w:val="12"/>
          <w:color w:val="auto"/>
        </w:rPr>
        <w:t>An estimation of variable consideration identified in the contract using key assumptions which may include forecasted revenues, development timelines, reimbursement rates for personnel costs, discount rates and probabilities of technical and regulatory success.</w:t>
      </w:r>
    </w:p>
    <w:p>
      <w:pPr>
        <w:ind w:left="480" w:right="419" w:hanging="222"/>
        <w:spacing w:after="0" w:line="251" w:lineRule="auto"/>
        <w:tabs>
          <w:tab w:leader="none" w:pos="480" w:val="left"/>
        </w:tabs>
        <w:numPr>
          <w:ilvl w:val="0"/>
          <w:numId w:val="81"/>
        </w:numPr>
        <w:rPr>
          <w:rFonts w:ascii="Times New Roman" w:cs="Times New Roman" w:eastAsia="Times New Roman" w:hAnsi="Times New Roman"/>
          <w:sz w:val="12"/>
          <w:szCs w:val="12"/>
          <w:color w:val="auto"/>
        </w:rPr>
      </w:pPr>
      <w:r>
        <w:rPr>
          <w:rFonts w:ascii="Arial" w:cs="Arial" w:eastAsia="Arial" w:hAnsi="Arial"/>
          <w:sz w:val="12"/>
          <w:szCs w:val="12"/>
          <w:color w:val="auto"/>
        </w:rPr>
        <w:t>The nature of performance obligations and whether they are distinct or should be combined with other performance obligations to determine whether the performance obligations are satisfied over time or at a point in time.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2.2 – Information about Geographical Areas</w:t>
      </w:r>
    </w:p>
    <w:p>
      <w:pPr>
        <w:spacing w:after="0" w:line="141"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Genmab is managed and operated as one business unit, which is reflected in the organizational structure and internal reporting. No separate lines of business or separate business entities have been identified with respect to any licensed products, marketed products, product candidates or geographical markets and no segment information is currently prepared for internal reporting.</w:t>
      </w:r>
    </w:p>
    <w:p>
      <w:pPr>
        <w:spacing w:after="0" w:line="11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Accordingly, it has been concluded that it is not relevant to include segment disclosures in the financial statements as Genmab’s business activities are not organized on the basis of differences in related product and geographical areas.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640" w:type="dxa"/>
            <w:vAlign w:val="bottom"/>
          </w:tcPr>
          <w:p>
            <w:pPr>
              <w:spacing w:after="0"/>
              <w:rPr>
                <w:sz w:val="12"/>
                <w:szCs w:val="12"/>
                <w:color w:val="auto"/>
              </w:rPr>
            </w:pPr>
          </w:p>
        </w:tc>
        <w:tc>
          <w:tcPr>
            <w:tcW w:w="1160" w:type="dxa"/>
            <w:vAlign w:val="bottom"/>
            <w:gridSpan w:val="2"/>
          </w:tcPr>
          <w:p>
            <w:pPr>
              <w:ind w:left="320"/>
              <w:spacing w:after="0"/>
              <w:rPr>
                <w:sz w:val="20"/>
                <w:szCs w:val="20"/>
                <w:color w:val="auto"/>
              </w:rPr>
            </w:pPr>
            <w:r>
              <w:rPr>
                <w:rFonts w:ascii="Arial" w:cs="Arial" w:eastAsia="Arial" w:hAnsi="Arial"/>
                <w:sz w:val="11"/>
                <w:szCs w:val="11"/>
                <w:b w:val="1"/>
                <w:bCs w:val="1"/>
                <w:color w:val="auto"/>
              </w:rPr>
              <w:t>Revenue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Non-current assets</w:t>
            </w:r>
          </w:p>
        </w:tc>
        <w:tc>
          <w:tcPr>
            <w:tcW w:w="800" w:type="dxa"/>
            <w:vAlign w:val="bottom"/>
          </w:tcPr>
          <w:p>
            <w:pPr>
              <w:ind w:left="340"/>
              <w:spacing w:after="0"/>
              <w:rPr>
                <w:sz w:val="20"/>
                <w:szCs w:val="20"/>
                <w:color w:val="auto"/>
              </w:rPr>
            </w:pPr>
            <w:r>
              <w:rPr>
                <w:rFonts w:ascii="Arial" w:cs="Arial" w:eastAsia="Arial" w:hAnsi="Arial"/>
                <w:sz w:val="11"/>
                <w:szCs w:val="11"/>
                <w:b w:val="1"/>
                <w:bCs w:val="1"/>
                <w:color w:val="auto"/>
                <w:w w:val="95"/>
              </w:rPr>
              <w:t>Revenue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Non-current assets</w:t>
            </w:r>
          </w:p>
        </w:tc>
        <w:tc>
          <w:tcPr>
            <w:tcW w:w="1180" w:type="dxa"/>
            <w:vAlign w:val="bottom"/>
            <w:gridSpan w:val="2"/>
          </w:tcPr>
          <w:p>
            <w:pPr>
              <w:ind w:left="340"/>
              <w:spacing w:after="0"/>
              <w:rPr>
                <w:sz w:val="20"/>
                <w:szCs w:val="20"/>
                <w:color w:val="auto"/>
              </w:rPr>
            </w:pPr>
            <w:r>
              <w:rPr>
                <w:rFonts w:ascii="Arial" w:cs="Arial" w:eastAsia="Arial" w:hAnsi="Arial"/>
                <w:sz w:val="11"/>
                <w:szCs w:val="11"/>
                <w:b w:val="1"/>
                <w:bCs w:val="1"/>
                <w:color w:val="auto"/>
              </w:rPr>
              <w:t>Revenue</w:t>
            </w:r>
          </w:p>
        </w:tc>
        <w:tc>
          <w:tcPr>
            <w:tcW w:w="1140" w:type="dxa"/>
            <w:vAlign w:val="bottom"/>
          </w:tcPr>
          <w:p>
            <w:pPr>
              <w:jc w:val="right"/>
              <w:ind w:right="26"/>
              <w:spacing w:after="0"/>
              <w:rPr>
                <w:sz w:val="20"/>
                <w:szCs w:val="20"/>
                <w:color w:val="auto"/>
              </w:rPr>
            </w:pPr>
            <w:r>
              <w:rPr>
                <w:rFonts w:ascii="Arial" w:cs="Arial" w:eastAsia="Arial" w:hAnsi="Arial"/>
                <w:sz w:val="11"/>
                <w:szCs w:val="11"/>
                <w:b w:val="1"/>
                <w:bCs w:val="1"/>
                <w:color w:val="auto"/>
              </w:rPr>
              <w:t>Non-current assets</w:t>
            </w:r>
          </w:p>
        </w:tc>
      </w:tr>
      <w:tr>
        <w:trPr>
          <w:trHeight w:val="241"/>
        </w:trPr>
        <w:tc>
          <w:tcPr>
            <w:tcW w:w="1640" w:type="dxa"/>
            <w:vAlign w:val="bottom"/>
          </w:tcPr>
          <w:p>
            <w:pPr>
              <w:spacing w:after="0"/>
              <w:rPr>
                <w:sz w:val="20"/>
                <w:szCs w:val="20"/>
                <w:color w:val="auto"/>
              </w:rPr>
            </w:pPr>
            <w:r>
              <w:rPr>
                <w:rFonts w:ascii="Arial" w:cs="Arial" w:eastAsia="Arial" w:hAnsi="Arial"/>
                <w:sz w:val="11"/>
                <w:szCs w:val="11"/>
                <w:color w:val="auto"/>
              </w:rPr>
              <w:t>(DKK million)</w:t>
            </w:r>
          </w:p>
        </w:tc>
        <w:tc>
          <w:tcPr>
            <w:tcW w:w="2280" w:type="dxa"/>
            <w:vAlign w:val="bottom"/>
            <w:tcBorders>
              <w:bottom w:val="single" w:sz="8" w:color="auto"/>
            </w:tcBorders>
            <w:gridSpan w:val="3"/>
          </w:tcPr>
          <w:p>
            <w:pPr>
              <w:jc w:val="right"/>
              <w:ind w:right="966"/>
              <w:spacing w:after="0"/>
              <w:rPr>
                <w:sz w:val="20"/>
                <w:szCs w:val="20"/>
                <w:color w:val="auto"/>
              </w:rPr>
            </w:pPr>
            <w:r>
              <w:rPr>
                <w:rFonts w:ascii="Arial" w:cs="Arial" w:eastAsia="Arial" w:hAnsi="Arial"/>
                <w:sz w:val="11"/>
                <w:szCs w:val="11"/>
                <w:color w:val="auto"/>
              </w:rPr>
              <w:t>2022</w:t>
            </w: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1"/>
                <w:szCs w:val="11"/>
                <w:color w:val="auto"/>
              </w:rPr>
              <w:t>2021</w:t>
            </w:r>
          </w:p>
        </w:tc>
        <w:tc>
          <w:tcPr>
            <w:tcW w:w="6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986"/>
              <w:spacing w:after="0"/>
              <w:rPr>
                <w:sz w:val="20"/>
                <w:szCs w:val="20"/>
                <w:color w:val="auto"/>
              </w:rPr>
            </w:pPr>
            <w:r>
              <w:rPr>
                <w:rFonts w:ascii="Arial" w:cs="Arial" w:eastAsia="Arial" w:hAnsi="Arial"/>
                <w:sz w:val="11"/>
                <w:szCs w:val="11"/>
                <w:color w:val="auto"/>
              </w:rPr>
              <w:t>2020</w:t>
            </w:r>
          </w:p>
        </w:tc>
      </w:tr>
      <w:tr>
        <w:trPr>
          <w:trHeight w:val="361"/>
        </w:trPr>
        <w:tc>
          <w:tcPr>
            <w:tcW w:w="1640" w:type="dxa"/>
            <w:vAlign w:val="bottom"/>
          </w:tcPr>
          <w:p>
            <w:pPr>
              <w:spacing w:after="0"/>
              <w:rPr>
                <w:sz w:val="20"/>
                <w:szCs w:val="20"/>
                <w:color w:val="auto"/>
              </w:rPr>
            </w:pPr>
            <w:r>
              <w:rPr>
                <w:rFonts w:ascii="Arial" w:cs="Arial" w:eastAsia="Arial" w:hAnsi="Arial"/>
                <w:sz w:val="11"/>
                <w:szCs w:val="11"/>
                <w:color w:val="auto"/>
              </w:rPr>
              <w:t>Denmark</w:t>
            </w:r>
          </w:p>
        </w:tc>
        <w:tc>
          <w:tcPr>
            <w:tcW w:w="1120" w:type="dxa"/>
            <w:vAlign w:val="bottom"/>
          </w:tcPr>
          <w:p>
            <w:pPr>
              <w:jc w:val="right"/>
              <w:spacing w:after="0"/>
              <w:rPr>
                <w:sz w:val="20"/>
                <w:szCs w:val="20"/>
                <w:color w:val="auto"/>
              </w:rPr>
            </w:pPr>
            <w:r>
              <w:rPr>
                <w:rFonts w:ascii="Arial" w:cs="Arial" w:eastAsia="Arial" w:hAnsi="Arial"/>
                <w:sz w:val="11"/>
                <w:szCs w:val="11"/>
                <w:color w:val="auto"/>
              </w:rPr>
              <w:t>14,595</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211</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w w:val="94"/>
              </w:rPr>
              <w:t>8,482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269</w:t>
            </w: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10,111</w:t>
            </w: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344</w:t>
            </w:r>
          </w:p>
        </w:tc>
      </w:tr>
      <w:tr>
        <w:trPr>
          <w:trHeight w:val="127"/>
        </w:trPr>
        <w:tc>
          <w:tcPr>
            <w:tcW w:w="1640" w:type="dxa"/>
            <w:vAlign w:val="bottom"/>
          </w:tcPr>
          <w:p>
            <w:pPr>
              <w:spacing w:after="0"/>
              <w:rPr>
                <w:sz w:val="20"/>
                <w:szCs w:val="20"/>
                <w:color w:val="auto"/>
              </w:rPr>
            </w:pPr>
            <w:r>
              <w:rPr>
                <w:rFonts w:ascii="Arial" w:cs="Arial" w:eastAsia="Arial" w:hAnsi="Arial"/>
                <w:sz w:val="11"/>
                <w:szCs w:val="11"/>
                <w:color w:val="auto"/>
              </w:rPr>
              <w:t>Netherlands</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793</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422</w:t>
            </w: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380</w:t>
            </w:r>
          </w:p>
        </w:tc>
      </w:tr>
      <w:tr>
        <w:trPr>
          <w:trHeight w:val="127"/>
        </w:trPr>
        <w:tc>
          <w:tcPr>
            <w:tcW w:w="1640" w:type="dxa"/>
            <w:vAlign w:val="bottom"/>
          </w:tcPr>
          <w:p>
            <w:pPr>
              <w:spacing w:after="0"/>
              <w:rPr>
                <w:sz w:val="20"/>
                <w:szCs w:val="20"/>
                <w:color w:val="auto"/>
              </w:rPr>
            </w:pPr>
            <w:r>
              <w:rPr>
                <w:rFonts w:ascii="Arial" w:cs="Arial" w:eastAsia="Arial" w:hAnsi="Arial"/>
                <w:sz w:val="11"/>
                <w:szCs w:val="11"/>
                <w:color w:val="auto"/>
              </w:rPr>
              <w:t>United States</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442</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470</w:t>
            </w: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370</w:t>
            </w:r>
          </w:p>
        </w:tc>
      </w:tr>
      <w:tr>
        <w:trPr>
          <w:trHeight w:val="136"/>
        </w:trPr>
        <w:tc>
          <w:tcPr>
            <w:tcW w:w="1640" w:type="dxa"/>
            <w:vAlign w:val="bottom"/>
          </w:tcPr>
          <w:p>
            <w:pPr>
              <w:spacing w:after="0"/>
              <w:rPr>
                <w:sz w:val="20"/>
                <w:szCs w:val="20"/>
                <w:color w:val="auto"/>
              </w:rPr>
            </w:pPr>
            <w:r>
              <w:rPr>
                <w:rFonts w:ascii="Arial" w:cs="Arial" w:eastAsia="Arial" w:hAnsi="Arial"/>
                <w:sz w:val="11"/>
                <w:szCs w:val="11"/>
                <w:color w:val="auto"/>
              </w:rPr>
              <w:t>Japan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4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243"/>
        </w:trPr>
        <w:tc>
          <w:tcPr>
            <w:tcW w:w="164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14,595</w:t>
            </w:r>
          </w:p>
        </w:tc>
        <w:tc>
          <w:tcPr>
            <w:tcW w:w="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1,516</w:t>
            </w:r>
          </w:p>
        </w:tc>
        <w:tc>
          <w:tcPr>
            <w:tcW w:w="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8,482</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1,256</w:t>
            </w:r>
          </w:p>
        </w:tc>
        <w:tc>
          <w:tcPr>
            <w:tcW w:w="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10,111</w:t>
            </w:r>
          </w:p>
        </w:tc>
        <w:tc>
          <w:tcPr>
            <w:tcW w:w="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1,094</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0" w:lineRule="exact"/>
        <w:rPr>
          <w:sz w:val="20"/>
          <w:szCs w:val="20"/>
          <w:color w:val="auto"/>
        </w:rPr>
      </w:pPr>
    </w:p>
    <w:p>
      <w:pPr>
        <w:ind w:left="20" w:right="179"/>
        <w:spacing w:after="0" w:line="252" w:lineRule="auto"/>
        <w:rPr>
          <w:sz w:val="20"/>
          <w:szCs w:val="20"/>
          <w:color w:val="auto"/>
        </w:rPr>
      </w:pPr>
      <w:r>
        <w:rPr>
          <w:rFonts w:ascii="Arial" w:cs="Arial" w:eastAsia="Arial" w:hAnsi="Arial"/>
          <w:sz w:val="12"/>
          <w:szCs w:val="12"/>
          <w:color w:val="auto"/>
        </w:rPr>
        <w:t>Geographical information is presented for Genmab’s revenue and non-current assets. Revenue is attributed to countries on the basis of the location of the legal entity holding the contract with the counterparty. Non-current assets comprise intangible assets, property and equipment, right-of-use assets and receivables.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1" w:name="page92"/>
    <w:bookmarkEnd w:id="9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2.3 – Staff Costs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920" w:type="dxa"/>
            <w:vAlign w:val="bottom"/>
            <w:gridSpan w:val="2"/>
          </w:tcPr>
          <w:p>
            <w:pPr>
              <w:ind w:left="5620"/>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color w:val="auto"/>
              </w:rPr>
              <w:t>2021</w:t>
            </w:r>
          </w:p>
        </w:tc>
        <w:tc>
          <w:tcPr>
            <w:tcW w:w="40" w:type="dxa"/>
            <w:vAlign w:val="bottom"/>
          </w:tcPr>
          <w:p>
            <w:pPr>
              <w:spacing w:after="0"/>
              <w:rPr>
                <w:sz w:val="11"/>
                <w:szCs w:val="11"/>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color w:val="auto"/>
              </w:rPr>
              <w:t>2020</w:t>
            </w:r>
          </w:p>
        </w:tc>
      </w:tr>
      <w:tr>
        <w:trPr>
          <w:trHeight w:val="123"/>
        </w:trPr>
        <w:tc>
          <w:tcPr>
            <w:tcW w:w="5160" w:type="dxa"/>
            <w:vAlign w:val="bottom"/>
          </w:tcPr>
          <w:p>
            <w:pPr>
              <w:spacing w:after="0" w:line="123" w:lineRule="exact"/>
              <w:rPr>
                <w:sz w:val="20"/>
                <w:szCs w:val="20"/>
                <w:color w:val="auto"/>
              </w:rPr>
            </w:pPr>
            <w:r>
              <w:rPr>
                <w:rFonts w:ascii="Arial" w:cs="Arial" w:eastAsia="Arial" w:hAnsi="Arial"/>
                <w:sz w:val="11"/>
                <w:szCs w:val="11"/>
                <w:color w:val="auto"/>
              </w:rPr>
              <w:t>(DKK million)</w:t>
            </w:r>
          </w:p>
        </w:tc>
        <w:tc>
          <w:tcPr>
            <w:tcW w:w="7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238"/>
        </w:trPr>
        <w:tc>
          <w:tcPr>
            <w:tcW w:w="5920" w:type="dxa"/>
            <w:vAlign w:val="bottom"/>
            <w:gridSpan w:val="2"/>
          </w:tcPr>
          <w:p>
            <w:pPr>
              <w:spacing w:after="0"/>
              <w:rPr>
                <w:sz w:val="20"/>
                <w:szCs w:val="20"/>
                <w:color w:val="auto"/>
              </w:rPr>
            </w:pPr>
            <w:r>
              <w:rPr>
                <w:rFonts w:ascii="Arial" w:cs="Arial" w:eastAsia="Arial" w:hAnsi="Arial"/>
                <w:sz w:val="11"/>
                <w:szCs w:val="11"/>
                <w:color w:val="auto"/>
              </w:rPr>
              <w:t>Wages and salaries</w:t>
            </w:r>
          </w:p>
        </w:tc>
        <w:tc>
          <w:tcPr>
            <w:tcW w:w="400" w:type="dxa"/>
            <w:vAlign w:val="bottom"/>
          </w:tcPr>
          <w:p>
            <w:pPr>
              <w:jc w:val="right"/>
              <w:spacing w:after="0"/>
              <w:rPr>
                <w:sz w:val="20"/>
                <w:szCs w:val="20"/>
                <w:color w:val="auto"/>
              </w:rPr>
            </w:pPr>
            <w:r>
              <w:rPr>
                <w:rFonts w:ascii="Arial" w:cs="Arial" w:eastAsia="Arial" w:hAnsi="Arial"/>
                <w:sz w:val="11"/>
                <w:szCs w:val="11"/>
                <w:color w:val="auto"/>
              </w:rPr>
              <w:t>1,913</w:t>
            </w: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1,174</w:t>
            </w: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694</w:t>
            </w:r>
          </w:p>
        </w:tc>
      </w:tr>
      <w:tr>
        <w:trPr>
          <w:trHeight w:val="127"/>
        </w:trPr>
        <w:tc>
          <w:tcPr>
            <w:tcW w:w="5920" w:type="dxa"/>
            <w:vAlign w:val="bottom"/>
            <w:gridSpan w:val="2"/>
          </w:tcPr>
          <w:p>
            <w:pPr>
              <w:spacing w:after="0"/>
              <w:rPr>
                <w:sz w:val="20"/>
                <w:szCs w:val="20"/>
                <w:color w:val="auto"/>
              </w:rPr>
            </w:pPr>
            <w:r>
              <w:rPr>
                <w:rFonts w:ascii="Arial" w:cs="Arial" w:eastAsia="Arial" w:hAnsi="Arial"/>
                <w:sz w:val="11"/>
                <w:szCs w:val="11"/>
                <w:color w:val="auto"/>
              </w:rPr>
              <w:t>Share-based compensation</w:t>
            </w:r>
          </w:p>
        </w:tc>
        <w:tc>
          <w:tcPr>
            <w:tcW w:w="400" w:type="dxa"/>
            <w:vAlign w:val="bottom"/>
          </w:tcPr>
          <w:p>
            <w:pPr>
              <w:jc w:val="right"/>
              <w:spacing w:after="0"/>
              <w:rPr>
                <w:sz w:val="20"/>
                <w:szCs w:val="20"/>
                <w:color w:val="auto"/>
              </w:rPr>
            </w:pPr>
            <w:r>
              <w:rPr>
                <w:rFonts w:ascii="Arial" w:cs="Arial" w:eastAsia="Arial" w:hAnsi="Arial"/>
                <w:sz w:val="11"/>
                <w:szCs w:val="11"/>
                <w:color w:val="auto"/>
              </w:rPr>
              <w:t>439</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310</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200</w:t>
            </w:r>
          </w:p>
        </w:tc>
      </w:tr>
      <w:tr>
        <w:trPr>
          <w:trHeight w:val="127"/>
        </w:trPr>
        <w:tc>
          <w:tcPr>
            <w:tcW w:w="5920" w:type="dxa"/>
            <w:vAlign w:val="bottom"/>
            <w:gridSpan w:val="2"/>
          </w:tcPr>
          <w:p>
            <w:pPr>
              <w:spacing w:after="0"/>
              <w:rPr>
                <w:sz w:val="20"/>
                <w:szCs w:val="20"/>
                <w:color w:val="auto"/>
              </w:rPr>
            </w:pPr>
            <w:r>
              <w:rPr>
                <w:rFonts w:ascii="Arial" w:cs="Arial" w:eastAsia="Arial" w:hAnsi="Arial"/>
                <w:sz w:val="11"/>
                <w:szCs w:val="11"/>
                <w:color w:val="auto"/>
              </w:rPr>
              <w:t>Defined contribution plans</w:t>
            </w:r>
          </w:p>
        </w:tc>
        <w:tc>
          <w:tcPr>
            <w:tcW w:w="400" w:type="dxa"/>
            <w:vAlign w:val="bottom"/>
          </w:tcPr>
          <w:p>
            <w:pPr>
              <w:jc w:val="right"/>
              <w:spacing w:after="0"/>
              <w:rPr>
                <w:sz w:val="20"/>
                <w:szCs w:val="20"/>
                <w:color w:val="auto"/>
              </w:rPr>
            </w:pPr>
            <w:r>
              <w:rPr>
                <w:rFonts w:ascii="Arial" w:cs="Arial" w:eastAsia="Arial" w:hAnsi="Arial"/>
                <w:sz w:val="11"/>
                <w:szCs w:val="11"/>
                <w:color w:val="auto"/>
              </w:rPr>
              <w:t>112</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80</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127"/>
        </w:trPr>
        <w:tc>
          <w:tcPr>
            <w:tcW w:w="5920" w:type="dxa"/>
            <w:vAlign w:val="bottom"/>
            <w:gridSpan w:val="2"/>
          </w:tcPr>
          <w:p>
            <w:pPr>
              <w:spacing w:after="0"/>
              <w:rPr>
                <w:sz w:val="20"/>
                <w:szCs w:val="20"/>
                <w:color w:val="auto"/>
              </w:rPr>
            </w:pPr>
            <w:r>
              <w:rPr>
                <w:rFonts w:ascii="Arial" w:cs="Arial" w:eastAsia="Arial" w:hAnsi="Arial"/>
                <w:sz w:val="11"/>
                <w:szCs w:val="11"/>
                <w:color w:val="auto"/>
              </w:rPr>
              <w:t>Other social security costs</w:t>
            </w:r>
          </w:p>
        </w:tc>
        <w:tc>
          <w:tcPr>
            <w:tcW w:w="400" w:type="dxa"/>
            <w:vAlign w:val="bottom"/>
          </w:tcPr>
          <w:p>
            <w:pPr>
              <w:jc w:val="right"/>
              <w:spacing w:after="0"/>
              <w:rPr>
                <w:sz w:val="20"/>
                <w:szCs w:val="20"/>
                <w:color w:val="auto"/>
              </w:rPr>
            </w:pPr>
            <w:r>
              <w:rPr>
                <w:rFonts w:ascii="Arial" w:cs="Arial" w:eastAsia="Arial" w:hAnsi="Arial"/>
                <w:sz w:val="11"/>
                <w:szCs w:val="11"/>
                <w:color w:val="auto"/>
              </w:rPr>
              <w:t>263</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155</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108</w:t>
            </w:r>
          </w:p>
        </w:tc>
      </w:tr>
      <w:tr>
        <w:trPr>
          <w:trHeight w:val="136"/>
        </w:trPr>
        <w:tc>
          <w:tcPr>
            <w:tcW w:w="5160" w:type="dxa"/>
            <w:vAlign w:val="bottom"/>
          </w:tcPr>
          <w:p>
            <w:pPr>
              <w:spacing w:after="0"/>
              <w:rPr>
                <w:sz w:val="20"/>
                <w:szCs w:val="20"/>
                <w:color w:val="auto"/>
              </w:rPr>
            </w:pPr>
            <w:r>
              <w:rPr>
                <w:rFonts w:ascii="Arial" w:cs="Arial" w:eastAsia="Arial" w:hAnsi="Arial"/>
                <w:sz w:val="11"/>
                <w:szCs w:val="11"/>
                <w:color w:val="auto"/>
              </w:rPr>
              <w:t>Government grants</w:t>
            </w: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w:t>
            </w:r>
          </w:p>
        </w:tc>
        <w:tc>
          <w:tcPr>
            <w:tcW w:w="40" w:type="dxa"/>
            <w:vAlign w:val="bottom"/>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40" w:type="dxa"/>
            <w:vAlign w:val="bottom"/>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w:t>
            </w:r>
          </w:p>
        </w:tc>
      </w:tr>
      <w:tr>
        <w:trPr>
          <w:trHeight w:val="243"/>
        </w:trPr>
        <w:tc>
          <w:tcPr>
            <w:tcW w:w="51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2,583</w:t>
            </w:r>
          </w:p>
        </w:tc>
        <w:tc>
          <w:tcPr>
            <w:tcW w:w="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1,597</w:t>
            </w:r>
          </w:p>
        </w:tc>
        <w:tc>
          <w:tcPr>
            <w:tcW w:w="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934</w:t>
            </w:r>
          </w:p>
        </w:tc>
      </w:tr>
      <w:tr>
        <w:trPr>
          <w:trHeight w:val="234"/>
        </w:trPr>
        <w:tc>
          <w:tcPr>
            <w:tcW w:w="5920" w:type="dxa"/>
            <w:vAlign w:val="bottom"/>
            <w:gridSpan w:val="2"/>
          </w:tcPr>
          <w:p>
            <w:pPr>
              <w:spacing w:after="0"/>
              <w:rPr>
                <w:sz w:val="20"/>
                <w:szCs w:val="20"/>
                <w:color w:val="auto"/>
              </w:rPr>
            </w:pPr>
            <w:r>
              <w:rPr>
                <w:rFonts w:ascii="Arial" w:cs="Arial" w:eastAsia="Arial" w:hAnsi="Arial"/>
                <w:sz w:val="11"/>
                <w:szCs w:val="11"/>
                <w:b w:val="1"/>
                <w:bCs w:val="1"/>
                <w:color w:val="auto"/>
              </w:rPr>
              <w:t>Staff costs are included in the income statement as follows:</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27"/>
        </w:trPr>
        <w:tc>
          <w:tcPr>
            <w:tcW w:w="5920" w:type="dxa"/>
            <w:vAlign w:val="bottom"/>
            <w:gridSpan w:val="2"/>
          </w:tcPr>
          <w:p>
            <w:pPr>
              <w:spacing w:after="0"/>
              <w:rPr>
                <w:sz w:val="20"/>
                <w:szCs w:val="20"/>
                <w:color w:val="auto"/>
              </w:rPr>
            </w:pPr>
            <w:r>
              <w:rPr>
                <w:rFonts w:ascii="Arial" w:cs="Arial" w:eastAsia="Arial" w:hAnsi="Arial"/>
                <w:sz w:val="11"/>
                <w:szCs w:val="11"/>
                <w:color w:val="auto"/>
              </w:rPr>
              <w:t>Research and development expenses</w:t>
            </w:r>
          </w:p>
        </w:tc>
        <w:tc>
          <w:tcPr>
            <w:tcW w:w="400" w:type="dxa"/>
            <w:vAlign w:val="bottom"/>
          </w:tcPr>
          <w:p>
            <w:pPr>
              <w:jc w:val="right"/>
              <w:spacing w:after="0"/>
              <w:rPr>
                <w:sz w:val="20"/>
                <w:szCs w:val="20"/>
                <w:color w:val="auto"/>
              </w:rPr>
            </w:pPr>
            <w:r>
              <w:rPr>
                <w:rFonts w:ascii="Arial" w:cs="Arial" w:eastAsia="Arial" w:hAnsi="Arial"/>
                <w:sz w:val="11"/>
                <w:szCs w:val="11"/>
                <w:color w:val="auto"/>
              </w:rPr>
              <w:t>1,662</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1,190</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803</w:t>
            </w:r>
          </w:p>
        </w:tc>
      </w:tr>
      <w:tr>
        <w:trPr>
          <w:trHeight w:val="127"/>
        </w:trPr>
        <w:tc>
          <w:tcPr>
            <w:tcW w:w="5920" w:type="dxa"/>
            <w:vAlign w:val="bottom"/>
            <w:gridSpan w:val="2"/>
          </w:tcPr>
          <w:p>
            <w:pPr>
              <w:spacing w:after="0"/>
              <w:rPr>
                <w:sz w:val="20"/>
                <w:szCs w:val="20"/>
                <w:color w:val="auto"/>
              </w:rPr>
            </w:pPr>
            <w:r>
              <w:rPr>
                <w:rFonts w:ascii="Arial" w:cs="Arial" w:eastAsia="Arial" w:hAnsi="Arial"/>
                <w:sz w:val="11"/>
                <w:szCs w:val="11"/>
                <w:color w:val="auto"/>
              </w:rPr>
              <w:t>Selling, general and administrative expenses</w:t>
            </w:r>
          </w:p>
        </w:tc>
        <w:tc>
          <w:tcPr>
            <w:tcW w:w="400" w:type="dxa"/>
            <w:vAlign w:val="bottom"/>
          </w:tcPr>
          <w:p>
            <w:pPr>
              <w:jc w:val="right"/>
              <w:spacing w:after="0"/>
              <w:rPr>
                <w:sz w:val="20"/>
                <w:szCs w:val="20"/>
                <w:color w:val="auto"/>
              </w:rPr>
            </w:pPr>
            <w:r>
              <w:rPr>
                <w:rFonts w:ascii="Arial" w:cs="Arial" w:eastAsia="Arial" w:hAnsi="Arial"/>
                <w:sz w:val="11"/>
                <w:szCs w:val="11"/>
                <w:color w:val="auto"/>
              </w:rPr>
              <w:t>1,065</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529</w:t>
            </w:r>
          </w:p>
        </w:tc>
        <w:tc>
          <w:tcPr>
            <w:tcW w:w="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250</w:t>
            </w:r>
          </w:p>
        </w:tc>
      </w:tr>
      <w:tr>
        <w:trPr>
          <w:trHeight w:val="136"/>
        </w:trPr>
        <w:tc>
          <w:tcPr>
            <w:tcW w:w="5160" w:type="dxa"/>
            <w:vAlign w:val="bottom"/>
          </w:tcPr>
          <w:p>
            <w:pPr>
              <w:spacing w:after="0"/>
              <w:rPr>
                <w:sz w:val="20"/>
                <w:szCs w:val="20"/>
                <w:color w:val="auto"/>
              </w:rPr>
            </w:pPr>
            <w:r>
              <w:rPr>
                <w:rFonts w:ascii="Arial" w:cs="Arial" w:eastAsia="Arial" w:hAnsi="Arial"/>
                <w:sz w:val="11"/>
                <w:szCs w:val="11"/>
                <w:color w:val="auto"/>
              </w:rPr>
              <w:t>Government grants related to research and development expenses</w:t>
            </w: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w:t>
            </w:r>
          </w:p>
        </w:tc>
        <w:tc>
          <w:tcPr>
            <w:tcW w:w="40" w:type="dxa"/>
            <w:vAlign w:val="bottom"/>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40" w:type="dxa"/>
            <w:vAlign w:val="bottom"/>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w:t>
            </w:r>
          </w:p>
        </w:tc>
      </w:tr>
      <w:tr>
        <w:trPr>
          <w:trHeight w:val="243"/>
        </w:trPr>
        <w:tc>
          <w:tcPr>
            <w:tcW w:w="51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2,583</w:t>
            </w:r>
          </w:p>
        </w:tc>
        <w:tc>
          <w:tcPr>
            <w:tcW w:w="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1,597</w:t>
            </w:r>
          </w:p>
        </w:tc>
        <w:tc>
          <w:tcPr>
            <w:tcW w:w="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934</w:t>
            </w:r>
          </w:p>
        </w:tc>
      </w:tr>
      <w:tr>
        <w:trPr>
          <w:trHeight w:val="243"/>
        </w:trPr>
        <w:tc>
          <w:tcPr>
            <w:tcW w:w="5920" w:type="dxa"/>
            <w:vAlign w:val="bottom"/>
            <w:gridSpan w:val="2"/>
          </w:tcPr>
          <w:p>
            <w:pPr>
              <w:spacing w:after="0"/>
              <w:rPr>
                <w:sz w:val="20"/>
                <w:szCs w:val="20"/>
                <w:color w:val="auto"/>
              </w:rPr>
            </w:pPr>
            <w:r>
              <w:rPr>
                <w:rFonts w:ascii="Arial" w:cs="Arial" w:eastAsia="Arial" w:hAnsi="Arial"/>
                <w:sz w:val="11"/>
                <w:szCs w:val="11"/>
                <w:b w:val="1"/>
                <w:bCs w:val="1"/>
                <w:color w:val="auto"/>
              </w:rPr>
              <w:t>Average number of FTE</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1,460</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1,022</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656</w:t>
            </w:r>
          </w:p>
        </w:tc>
      </w:tr>
      <w:tr>
        <w:trPr>
          <w:trHeight w:val="116"/>
        </w:trPr>
        <w:tc>
          <w:tcPr>
            <w:tcW w:w="5160" w:type="dxa"/>
            <w:vAlign w:val="bottom"/>
          </w:tcPr>
          <w:p>
            <w:pPr>
              <w:spacing w:after="0" w:line="116" w:lineRule="exact"/>
              <w:rPr>
                <w:sz w:val="20"/>
                <w:szCs w:val="20"/>
                <w:color w:val="auto"/>
              </w:rPr>
            </w:pPr>
            <w:r>
              <w:rPr>
                <w:rFonts w:ascii="Arial" w:cs="Arial" w:eastAsia="Arial" w:hAnsi="Arial"/>
                <w:sz w:val="11"/>
                <w:szCs w:val="11"/>
                <w:b w:val="1"/>
                <w:bCs w:val="1"/>
                <w:color w:val="auto"/>
              </w:rPr>
              <w:t>Number of FTE at year-end</w:t>
            </w:r>
          </w:p>
        </w:tc>
        <w:tc>
          <w:tcPr>
            <w:tcW w:w="7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1,660</w:t>
            </w:r>
          </w:p>
        </w:tc>
        <w:tc>
          <w:tcPr>
            <w:tcW w:w="40" w:type="dxa"/>
            <w:vAlign w:val="bottom"/>
          </w:tcPr>
          <w:p>
            <w:pPr>
              <w:spacing w:after="0"/>
              <w:rPr>
                <w:sz w:val="10"/>
                <w:szCs w:val="10"/>
                <w:color w:val="auto"/>
              </w:rPr>
            </w:pPr>
          </w:p>
        </w:tc>
        <w:tc>
          <w:tcPr>
            <w:tcW w:w="112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1,212</w:t>
            </w:r>
          </w:p>
        </w:tc>
        <w:tc>
          <w:tcPr>
            <w:tcW w:w="40" w:type="dxa"/>
            <w:vAlign w:val="bottom"/>
          </w:tcPr>
          <w:p>
            <w:pPr>
              <w:spacing w:after="0"/>
              <w:rPr>
                <w:sz w:val="10"/>
                <w:szCs w:val="10"/>
                <w:color w:val="auto"/>
              </w:rPr>
            </w:pPr>
          </w:p>
        </w:tc>
        <w:tc>
          <w:tcPr>
            <w:tcW w:w="112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781</w:t>
            </w:r>
          </w:p>
        </w:tc>
      </w:tr>
    </w:tbl>
    <w:p>
      <w:pPr>
        <w:spacing w:after="0" w:line="259" w:lineRule="exact"/>
        <w:rPr>
          <w:sz w:val="20"/>
          <w:szCs w:val="20"/>
          <w:color w:val="auto"/>
        </w:rPr>
      </w:pPr>
    </w:p>
    <w:p>
      <w:pPr>
        <w:ind w:left="20" w:right="419"/>
        <w:spacing w:after="0" w:line="273" w:lineRule="auto"/>
        <w:rPr>
          <w:sz w:val="20"/>
          <w:szCs w:val="20"/>
          <w:color w:val="auto"/>
        </w:rPr>
      </w:pPr>
      <w:r>
        <w:rPr>
          <w:rFonts w:ascii="Arial" w:cs="Arial" w:eastAsia="Arial" w:hAnsi="Arial"/>
          <w:sz w:val="12"/>
          <w:szCs w:val="12"/>
          <w:color w:val="029C93"/>
        </w:rPr>
        <w:t>Refer to Note 4.6 for additional information regarding share-based instruments and Note 5.1 for additional information regarding the remuneration of the Board of Directors and Executive Management.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STAFF COSTS</w:t>
      </w:r>
    </w:p>
    <w:p>
      <w:pPr>
        <w:spacing w:after="0" w:line="10" w:lineRule="exact"/>
        <w:rPr>
          <w:sz w:val="20"/>
          <w:szCs w:val="20"/>
          <w:color w:val="auto"/>
        </w:rPr>
      </w:pPr>
    </w:p>
    <w:p>
      <w:pPr>
        <w:ind w:left="20" w:right="419"/>
        <w:spacing w:after="0" w:line="252" w:lineRule="auto"/>
        <w:rPr>
          <w:sz w:val="20"/>
          <w:szCs w:val="20"/>
          <w:color w:val="auto"/>
        </w:rPr>
      </w:pPr>
      <w:r>
        <w:rPr>
          <w:rFonts w:ascii="Arial" w:cs="Arial" w:eastAsia="Arial" w:hAnsi="Arial"/>
          <w:sz w:val="12"/>
          <w:szCs w:val="12"/>
          <w:color w:val="auto"/>
        </w:rPr>
        <w:t>Wages and salaries, other social security costs, paid leave and bonuses, and other employee benefits are recognized in the financial year in which the employee performs the associated work.</w:t>
      </w:r>
    </w:p>
    <w:p>
      <w:pPr>
        <w:spacing w:after="0" w:line="115"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Genmab’s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103"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Termination benefits are recognized as an expense, when Genmab is committed demonstrably, without realistic possibility of withdrawal, to a formal detailed plan to terminate employment.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GOVERNMENT GRANTS</w:t>
      </w:r>
    </w:p>
    <w:p>
      <w:pPr>
        <w:spacing w:after="0" w:line="10" w:lineRule="exact"/>
        <w:rPr>
          <w:sz w:val="20"/>
          <w:szCs w:val="20"/>
          <w:color w:val="auto"/>
        </w:rPr>
      </w:pPr>
    </w:p>
    <w:p>
      <w:pPr>
        <w:ind w:left="20" w:right="379"/>
        <w:spacing w:after="0" w:line="252" w:lineRule="auto"/>
        <w:rPr>
          <w:sz w:val="20"/>
          <w:szCs w:val="20"/>
          <w:color w:val="auto"/>
        </w:rPr>
      </w:pPr>
      <w:r>
        <w:rPr>
          <w:rFonts w:ascii="Arial" w:cs="Arial" w:eastAsia="Arial" w:hAnsi="Arial"/>
          <w:sz w:val="12"/>
          <w:szCs w:val="12"/>
          <w:color w:val="auto"/>
        </w:rPr>
        <w:t>The Dutch Research and Development Act “WBSO” provides compensation for a part of research and development wages and other costs through a reduction in payroll taxes. WBSO grant amounts are offset against wages and salaries and included in research and development expenses in the income statement.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2.4 – Corporate and Deferred Tax</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TAXATION – INCOME STATEMENT &amp; SHAREHOLDERS’ EQUITY</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89/158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2" w:name="page93"/>
    <w:bookmarkEnd w:id="9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380" w:type="dxa"/>
            <w:vAlign w:val="bottom"/>
            <w:gridSpan w:val="2"/>
          </w:tcPr>
          <w:p>
            <w:pPr>
              <w:ind w:left="6160"/>
              <w:spacing w:after="0"/>
              <w:rPr>
                <w:sz w:val="20"/>
                <w:szCs w:val="20"/>
                <w:color w:val="auto"/>
              </w:rPr>
            </w:pPr>
            <w:r>
              <w:rPr>
                <w:rFonts w:ascii="Arial" w:cs="Arial" w:eastAsia="Arial" w:hAnsi="Arial"/>
                <w:sz w:val="10"/>
                <w:szCs w:val="10"/>
                <w:color w:val="auto"/>
                <w:w w:val="89"/>
              </w:rPr>
              <w:t>2022</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color w:val="auto"/>
              </w:rPr>
              <w:t>2021</w:t>
            </w:r>
          </w:p>
        </w:tc>
        <w:tc>
          <w:tcPr>
            <w:tcW w:w="120" w:type="dxa"/>
            <w:vAlign w:val="bottom"/>
          </w:tcPr>
          <w:p>
            <w:pPr>
              <w:spacing w:after="0"/>
              <w:rPr>
                <w:sz w:val="10"/>
                <w:szCs w:val="10"/>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color w:val="auto"/>
              </w:rPr>
              <w:t>2020</w:t>
            </w:r>
          </w:p>
        </w:tc>
      </w:tr>
      <w:tr>
        <w:trPr>
          <w:trHeight w:val="110"/>
        </w:trPr>
        <w:tc>
          <w:tcPr>
            <w:tcW w:w="5820" w:type="dxa"/>
            <w:vAlign w:val="bottom"/>
          </w:tcPr>
          <w:p>
            <w:pPr>
              <w:spacing w:after="0" w:line="110" w:lineRule="exact"/>
              <w:rPr>
                <w:sz w:val="20"/>
                <w:szCs w:val="20"/>
                <w:color w:val="auto"/>
              </w:rPr>
            </w:pPr>
            <w:r>
              <w:rPr>
                <w:rFonts w:ascii="Arial" w:cs="Arial" w:eastAsia="Arial" w:hAnsi="Arial"/>
                <w:sz w:val="10"/>
                <w:szCs w:val="10"/>
                <w:color w:val="auto"/>
              </w:rPr>
              <w:t>(DKK million)</w:t>
            </w:r>
          </w:p>
        </w:tc>
        <w:tc>
          <w:tcPr>
            <w:tcW w:w="5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r>
      <w:tr>
        <w:trPr>
          <w:trHeight w:val="310"/>
        </w:trPr>
        <w:tc>
          <w:tcPr>
            <w:tcW w:w="6380" w:type="dxa"/>
            <w:vAlign w:val="bottom"/>
            <w:gridSpan w:val="2"/>
          </w:tcPr>
          <w:p>
            <w:pPr>
              <w:spacing w:after="0"/>
              <w:rPr>
                <w:sz w:val="20"/>
                <w:szCs w:val="20"/>
                <w:color w:val="auto"/>
              </w:rPr>
            </w:pPr>
            <w:r>
              <w:rPr>
                <w:rFonts w:ascii="Arial" w:cs="Arial" w:eastAsia="Arial" w:hAnsi="Arial"/>
                <w:sz w:val="10"/>
                <w:szCs w:val="10"/>
                <w:color w:val="auto"/>
              </w:rPr>
              <w:t>Current tax on profit</w:t>
            </w:r>
          </w:p>
        </w:tc>
        <w:tc>
          <w:tcPr>
            <w:tcW w:w="320" w:type="dxa"/>
            <w:vAlign w:val="bottom"/>
          </w:tcPr>
          <w:p>
            <w:pPr>
              <w:jc w:val="right"/>
              <w:spacing w:after="0"/>
              <w:rPr>
                <w:sz w:val="20"/>
                <w:szCs w:val="20"/>
                <w:color w:val="auto"/>
              </w:rPr>
            </w:pPr>
            <w:r>
              <w:rPr>
                <w:rFonts w:ascii="Arial" w:cs="Arial" w:eastAsia="Arial" w:hAnsi="Arial"/>
                <w:sz w:val="10"/>
                <w:szCs w:val="10"/>
                <w:color w:val="auto"/>
              </w:rPr>
              <w:t>1,498</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968</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1,191</w:t>
            </w:r>
          </w:p>
        </w:tc>
      </w:tr>
      <w:tr>
        <w:trPr>
          <w:trHeight w:val="109"/>
        </w:trPr>
        <w:tc>
          <w:tcPr>
            <w:tcW w:w="6380" w:type="dxa"/>
            <w:vAlign w:val="bottom"/>
            <w:gridSpan w:val="2"/>
          </w:tcPr>
          <w:p>
            <w:pPr>
              <w:spacing w:after="0" w:line="109" w:lineRule="exact"/>
              <w:rPr>
                <w:sz w:val="20"/>
                <w:szCs w:val="20"/>
                <w:color w:val="auto"/>
              </w:rPr>
            </w:pPr>
            <w:r>
              <w:rPr>
                <w:rFonts w:ascii="Arial" w:cs="Arial" w:eastAsia="Arial" w:hAnsi="Arial"/>
                <w:sz w:val="10"/>
                <w:szCs w:val="10"/>
                <w:color w:val="auto"/>
              </w:rPr>
              <w:t>Adjustment to deferred tax</w:t>
            </w:r>
          </w:p>
        </w:tc>
        <w:tc>
          <w:tcPr>
            <w:tcW w:w="320" w:type="dxa"/>
            <w:vAlign w:val="bottom"/>
          </w:tcPr>
          <w:p>
            <w:pPr>
              <w:jc w:val="right"/>
              <w:spacing w:after="0" w:line="109" w:lineRule="exact"/>
              <w:rPr>
                <w:sz w:val="20"/>
                <w:szCs w:val="20"/>
                <w:color w:val="auto"/>
              </w:rPr>
            </w:pPr>
            <w:r>
              <w:rPr>
                <w:rFonts w:ascii="Arial" w:cs="Arial" w:eastAsia="Arial" w:hAnsi="Arial"/>
                <w:sz w:val="10"/>
                <w:szCs w:val="10"/>
                <w:color w:val="auto"/>
              </w:rPr>
              <w:t>107</w:t>
            </w:r>
          </w:p>
        </w:tc>
        <w:tc>
          <w:tcPr>
            <w:tcW w:w="60" w:type="dxa"/>
            <w:vAlign w:val="bottom"/>
          </w:tcPr>
          <w:p>
            <w:pPr>
              <w:spacing w:after="0"/>
              <w:rPr>
                <w:sz w:val="9"/>
                <w:szCs w:val="9"/>
                <w:color w:val="auto"/>
              </w:rPr>
            </w:pPr>
          </w:p>
        </w:tc>
        <w:tc>
          <w:tcPr>
            <w:tcW w:w="100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(371)</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(112)</w:t>
            </w:r>
          </w:p>
        </w:tc>
      </w:tr>
      <w:tr>
        <w:trPr>
          <w:trHeight w:val="114"/>
        </w:trPr>
        <w:tc>
          <w:tcPr>
            <w:tcW w:w="5820" w:type="dxa"/>
            <w:vAlign w:val="bottom"/>
          </w:tcPr>
          <w:p>
            <w:pPr>
              <w:spacing w:after="0" w:line="114" w:lineRule="exact"/>
              <w:rPr>
                <w:sz w:val="20"/>
                <w:szCs w:val="20"/>
                <w:color w:val="auto"/>
              </w:rPr>
            </w:pPr>
            <w:r>
              <w:rPr>
                <w:rFonts w:ascii="Arial" w:cs="Arial" w:eastAsia="Arial" w:hAnsi="Arial"/>
                <w:sz w:val="10"/>
                <w:szCs w:val="10"/>
                <w:color w:val="auto"/>
              </w:rPr>
              <w:t>Adjustment to unrecognized deferred tax assets</w:t>
            </w:r>
          </w:p>
        </w:tc>
        <w:tc>
          <w:tcPr>
            <w:tcW w:w="560" w:type="dxa"/>
            <w:vAlign w:val="bottom"/>
          </w:tcPr>
          <w:p>
            <w:pPr>
              <w:spacing w:after="0"/>
              <w:rPr>
                <w:sz w:val="9"/>
                <w:szCs w:val="9"/>
                <w:color w:val="auto"/>
              </w:rPr>
            </w:pPr>
          </w:p>
        </w:tc>
        <w:tc>
          <w:tcPr>
            <w:tcW w:w="3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(92)</w:t>
            </w:r>
          </w:p>
        </w:tc>
        <w:tc>
          <w:tcPr>
            <w:tcW w:w="880" w:type="dxa"/>
            <w:vAlign w:val="bottom"/>
          </w:tcPr>
          <w:p>
            <w:pPr>
              <w:jc w:val="right"/>
              <w:spacing w:after="0" w:line="114" w:lineRule="exact"/>
              <w:rPr>
                <w:sz w:val="20"/>
                <w:szCs w:val="20"/>
                <w:color w:val="auto"/>
              </w:rPr>
            </w:pPr>
            <w:r>
              <w:rPr>
                <w:rFonts w:ascii="Arial" w:cs="Arial" w:eastAsia="Arial" w:hAnsi="Arial"/>
                <w:sz w:val="10"/>
                <w:szCs w:val="10"/>
                <w:color w:val="auto"/>
              </w:rPr>
              <w:t>378</w:t>
            </w:r>
          </w:p>
        </w:tc>
        <w:tc>
          <w:tcPr>
            <w:tcW w:w="12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Arial" w:cs="Arial" w:eastAsia="Arial" w:hAnsi="Arial"/>
                <w:sz w:val="10"/>
                <w:szCs w:val="10"/>
                <w:color w:val="auto"/>
              </w:rPr>
              <w:t>67</w:t>
            </w: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Total tax for the period in the income statement</w:t>
            </w:r>
          </w:p>
        </w:tc>
        <w:tc>
          <w:tcPr>
            <w:tcW w:w="5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1,513</w:t>
            </w: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975</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1,146</w:t>
            </w:r>
          </w:p>
        </w:tc>
      </w:tr>
      <w:tr>
        <w:trPr>
          <w:trHeight w:val="315"/>
        </w:trPr>
        <w:tc>
          <w:tcPr>
            <w:tcW w:w="6380" w:type="dxa"/>
            <w:vAlign w:val="bottom"/>
            <w:gridSpan w:val="2"/>
          </w:tcPr>
          <w:p>
            <w:pPr>
              <w:ind w:left="6160"/>
              <w:spacing w:after="0"/>
              <w:rPr>
                <w:sz w:val="20"/>
                <w:szCs w:val="20"/>
                <w:color w:val="auto"/>
              </w:rPr>
            </w:pPr>
            <w:r>
              <w:rPr>
                <w:rFonts w:ascii="Arial" w:cs="Arial" w:eastAsia="Arial" w:hAnsi="Arial"/>
                <w:sz w:val="10"/>
                <w:szCs w:val="10"/>
                <w:color w:val="auto"/>
                <w:w w:val="89"/>
              </w:rPr>
              <w:t>2022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color w:val="auto"/>
              </w:rPr>
              <w:t>2021</w:t>
            </w:r>
          </w:p>
        </w:tc>
        <w:tc>
          <w:tcPr>
            <w:tcW w:w="12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color w:val="auto"/>
              </w:rPr>
              <w:t>2020</w:t>
            </w:r>
          </w:p>
        </w:tc>
      </w:tr>
      <w:tr>
        <w:trPr>
          <w:trHeight w:val="110"/>
        </w:trPr>
        <w:tc>
          <w:tcPr>
            <w:tcW w:w="5820" w:type="dxa"/>
            <w:vAlign w:val="bottom"/>
          </w:tcPr>
          <w:p>
            <w:pPr>
              <w:spacing w:after="0" w:line="110" w:lineRule="exact"/>
              <w:rPr>
                <w:sz w:val="20"/>
                <w:szCs w:val="20"/>
                <w:color w:val="auto"/>
              </w:rPr>
            </w:pPr>
            <w:r>
              <w:rPr>
                <w:rFonts w:ascii="Arial" w:cs="Arial" w:eastAsia="Arial" w:hAnsi="Arial"/>
                <w:sz w:val="10"/>
                <w:szCs w:val="10"/>
                <w:color w:val="auto"/>
              </w:rPr>
              <w:t>(DKK million)</w:t>
            </w:r>
          </w:p>
        </w:tc>
        <w:tc>
          <w:tcPr>
            <w:tcW w:w="5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r>
      <w:tr>
        <w:trPr>
          <w:trHeight w:val="206"/>
        </w:trPr>
        <w:tc>
          <w:tcPr>
            <w:tcW w:w="5820" w:type="dxa"/>
            <w:vAlign w:val="bottom"/>
          </w:tcPr>
          <w:p>
            <w:pPr>
              <w:spacing w:after="0"/>
              <w:rPr>
                <w:sz w:val="20"/>
                <w:szCs w:val="20"/>
                <w:color w:val="auto"/>
              </w:rPr>
            </w:pPr>
            <w:r>
              <w:rPr>
                <w:rFonts w:ascii="Arial" w:cs="Arial" w:eastAsia="Arial" w:hAnsi="Arial"/>
                <w:sz w:val="10"/>
                <w:szCs w:val="10"/>
                <w:color w:val="auto"/>
              </w:rPr>
              <w:t>Net profit before tax</w:t>
            </w: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7,035</w:t>
            </w:r>
          </w:p>
        </w:tc>
        <w:tc>
          <w:tcPr>
            <w:tcW w:w="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5,904</w:t>
            </w: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Tax at the Danish corporation tax rate of 22% for all periods</w:t>
            </w: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1,548</w:t>
            </w:r>
          </w:p>
        </w:tc>
        <w:tc>
          <w:tcPr>
            <w:tcW w:w="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876</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1,299</w:t>
            </w:r>
          </w:p>
        </w:tc>
      </w:tr>
      <w:tr>
        <w:trPr>
          <w:trHeight w:val="202"/>
        </w:trPr>
        <w:tc>
          <w:tcPr>
            <w:tcW w:w="6380" w:type="dxa"/>
            <w:vAlign w:val="bottom"/>
            <w:gridSpan w:val="2"/>
          </w:tcPr>
          <w:p>
            <w:pPr>
              <w:spacing w:after="0"/>
              <w:rPr>
                <w:sz w:val="20"/>
                <w:szCs w:val="20"/>
                <w:color w:val="auto"/>
              </w:rPr>
            </w:pPr>
            <w:r>
              <w:rPr>
                <w:rFonts w:ascii="Arial" w:cs="Arial" w:eastAsia="Arial" w:hAnsi="Arial"/>
                <w:sz w:val="10"/>
                <w:szCs w:val="10"/>
                <w:b w:val="1"/>
                <w:bCs w:val="1"/>
                <w:color w:val="auto"/>
              </w:rPr>
              <w:t>Tax effect of:</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09"/>
        </w:trPr>
        <w:tc>
          <w:tcPr>
            <w:tcW w:w="6380" w:type="dxa"/>
            <w:vAlign w:val="bottom"/>
            <w:gridSpan w:val="2"/>
          </w:tcPr>
          <w:p>
            <w:pPr>
              <w:spacing w:after="0" w:line="109" w:lineRule="exact"/>
              <w:rPr>
                <w:sz w:val="20"/>
                <w:szCs w:val="20"/>
                <w:color w:val="auto"/>
              </w:rPr>
            </w:pPr>
            <w:r>
              <w:rPr>
                <w:rFonts w:ascii="Arial" w:cs="Arial" w:eastAsia="Arial" w:hAnsi="Arial"/>
                <w:sz w:val="10"/>
                <w:szCs w:val="10"/>
                <w:color w:val="auto"/>
              </w:rPr>
              <w:t>Adjustment to unrecognized deferred tax assets</w:t>
            </w:r>
          </w:p>
        </w:tc>
        <w:tc>
          <w:tcPr>
            <w:tcW w:w="3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(92)</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137</w:t>
            </w:r>
          </w:p>
        </w:tc>
        <w:tc>
          <w:tcPr>
            <w:tcW w:w="1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67</w:t>
            </w:r>
          </w:p>
        </w:tc>
      </w:tr>
      <w:tr>
        <w:trPr>
          <w:trHeight w:val="109"/>
        </w:trPr>
        <w:tc>
          <w:tcPr>
            <w:tcW w:w="6380" w:type="dxa"/>
            <w:vAlign w:val="bottom"/>
            <w:gridSpan w:val="2"/>
          </w:tcPr>
          <w:p>
            <w:pPr>
              <w:spacing w:after="0" w:line="109" w:lineRule="exact"/>
              <w:rPr>
                <w:sz w:val="20"/>
                <w:szCs w:val="20"/>
                <w:color w:val="auto"/>
              </w:rPr>
            </w:pPr>
            <w:r>
              <w:rPr>
                <w:rFonts w:ascii="Arial" w:cs="Arial" w:eastAsia="Arial" w:hAnsi="Arial"/>
                <w:sz w:val="10"/>
                <w:szCs w:val="10"/>
                <w:color w:val="auto"/>
              </w:rPr>
              <w:t>Recognition of previously unrecognized tax losses and deductible temporary differences</w:t>
            </w:r>
          </w:p>
        </w:tc>
        <w:tc>
          <w:tcPr>
            <w:tcW w:w="3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(12)</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119</w:t>
            </w:r>
          </w:p>
        </w:tc>
        <w:tc>
          <w:tcPr>
            <w:tcW w:w="1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(222)</w:t>
            </w:r>
          </w:p>
        </w:tc>
      </w:tr>
      <w:tr>
        <w:trPr>
          <w:trHeight w:val="109"/>
        </w:trPr>
        <w:tc>
          <w:tcPr>
            <w:tcW w:w="6380" w:type="dxa"/>
            <w:vAlign w:val="bottom"/>
            <w:gridSpan w:val="2"/>
          </w:tcPr>
          <w:p>
            <w:pPr>
              <w:spacing w:after="0" w:line="109" w:lineRule="exact"/>
              <w:rPr>
                <w:sz w:val="20"/>
                <w:szCs w:val="20"/>
                <w:color w:val="auto"/>
              </w:rPr>
            </w:pPr>
            <w:r>
              <w:rPr>
                <w:rFonts w:ascii="Arial" w:cs="Arial" w:eastAsia="Arial" w:hAnsi="Arial"/>
                <w:sz w:val="10"/>
                <w:szCs w:val="10"/>
                <w:color w:val="auto"/>
              </w:rPr>
              <w:t>Non-deductible expenses/non-taxable income and other permanent differences, net</w:t>
            </w:r>
          </w:p>
        </w:tc>
        <w:tc>
          <w:tcPr>
            <w:tcW w:w="320" w:type="dxa"/>
            <w:vAlign w:val="bottom"/>
          </w:tcPr>
          <w:p>
            <w:pPr>
              <w:jc w:val="right"/>
              <w:spacing w:after="0" w:line="109" w:lineRule="exact"/>
              <w:rPr>
                <w:sz w:val="20"/>
                <w:szCs w:val="20"/>
                <w:color w:val="auto"/>
              </w:rPr>
            </w:pPr>
            <w:r>
              <w:rPr>
                <w:rFonts w:ascii="Arial" w:cs="Arial" w:eastAsia="Arial" w:hAnsi="Arial"/>
                <w:sz w:val="10"/>
                <w:szCs w:val="10"/>
                <w:color w:val="auto"/>
              </w:rPr>
              <w:t>73</w:t>
            </w:r>
          </w:p>
        </w:tc>
        <w:tc>
          <w:tcPr>
            <w:tcW w:w="60" w:type="dxa"/>
            <w:vAlign w:val="bottom"/>
          </w:tcPr>
          <w:p>
            <w:pPr>
              <w:spacing w:after="0"/>
              <w:rPr>
                <w:sz w:val="9"/>
                <w:szCs w:val="9"/>
                <w:color w:val="auto"/>
              </w:rPr>
            </w:pPr>
          </w:p>
        </w:tc>
        <w:tc>
          <w:tcPr>
            <w:tcW w:w="100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(147)</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(5)</w:t>
            </w:r>
          </w:p>
        </w:tc>
      </w:tr>
      <w:tr>
        <w:trPr>
          <w:trHeight w:val="114"/>
        </w:trPr>
        <w:tc>
          <w:tcPr>
            <w:tcW w:w="5820" w:type="dxa"/>
            <w:vAlign w:val="bottom"/>
          </w:tcPr>
          <w:p>
            <w:pPr>
              <w:spacing w:after="0" w:line="114" w:lineRule="exact"/>
              <w:rPr>
                <w:sz w:val="20"/>
                <w:szCs w:val="20"/>
                <w:color w:val="auto"/>
              </w:rPr>
            </w:pPr>
            <w:r>
              <w:rPr>
                <w:rFonts w:ascii="Arial" w:cs="Arial" w:eastAsia="Arial" w:hAnsi="Arial"/>
                <w:sz w:val="10"/>
                <w:szCs w:val="10"/>
                <w:color w:val="auto"/>
              </w:rPr>
              <w:t>All other</w:t>
            </w:r>
          </w:p>
        </w:tc>
        <w:tc>
          <w:tcPr>
            <w:tcW w:w="560" w:type="dxa"/>
            <w:vAlign w:val="bottom"/>
          </w:tcPr>
          <w:p>
            <w:pPr>
              <w:spacing w:after="0"/>
              <w:rPr>
                <w:sz w:val="9"/>
                <w:szCs w:val="9"/>
                <w:color w:val="auto"/>
              </w:rPr>
            </w:pPr>
          </w:p>
        </w:tc>
        <w:tc>
          <w:tcPr>
            <w:tcW w:w="38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(4)</w:t>
            </w:r>
          </w:p>
        </w:tc>
        <w:tc>
          <w:tcPr>
            <w:tcW w:w="100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(10)</w:t>
            </w:r>
          </w:p>
        </w:tc>
        <w:tc>
          <w:tcPr>
            <w:tcW w:w="880" w:type="dxa"/>
            <w:vAlign w:val="bottom"/>
          </w:tcPr>
          <w:p>
            <w:pPr>
              <w:jc w:val="right"/>
              <w:spacing w:after="0" w:line="114" w:lineRule="exact"/>
              <w:rPr>
                <w:sz w:val="20"/>
                <w:szCs w:val="20"/>
                <w:color w:val="auto"/>
              </w:rPr>
            </w:pPr>
            <w:r>
              <w:rPr>
                <w:rFonts w:ascii="Arial" w:cs="Arial" w:eastAsia="Arial" w:hAnsi="Arial"/>
                <w:sz w:val="10"/>
                <w:szCs w:val="10"/>
                <w:color w:val="auto"/>
              </w:rPr>
              <w:t>7</w:t>
            </w:r>
          </w:p>
        </w:tc>
      </w:tr>
      <w:tr>
        <w:trPr>
          <w:trHeight w:val="20"/>
        </w:trPr>
        <w:tc>
          <w:tcPr>
            <w:tcW w:w="5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Total tax effect</w:t>
            </w:r>
          </w:p>
        </w:tc>
        <w:tc>
          <w:tcPr>
            <w:tcW w:w="5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(35)</w:t>
            </w: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99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(153)</w:t>
            </w: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Total tax for the period in the income statement</w:t>
            </w:r>
          </w:p>
        </w:tc>
        <w:tc>
          <w:tcPr>
            <w:tcW w:w="5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1,513</w:t>
            </w: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975</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1,146</w:t>
            </w: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Total tax for the period in shareholders' equity</w:t>
            </w:r>
          </w:p>
        </w:tc>
        <w:tc>
          <w:tcPr>
            <w:tcW w:w="5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(22)</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(31)</w:t>
            </w: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(44)</w:t>
            </w:r>
          </w:p>
        </w:tc>
      </w:tr>
      <w:tr>
        <w:trPr>
          <w:trHeight w:val="207"/>
        </w:trPr>
        <w:tc>
          <w:tcPr>
            <w:tcW w:w="5820" w:type="dxa"/>
            <w:vAlign w:val="bottom"/>
          </w:tcPr>
          <w:p>
            <w:pPr>
              <w:spacing w:after="0"/>
              <w:rPr>
                <w:sz w:val="20"/>
                <w:szCs w:val="20"/>
                <w:color w:val="auto"/>
              </w:rPr>
            </w:pPr>
            <w:r>
              <w:rPr>
                <w:rFonts w:ascii="Arial" w:cs="Arial" w:eastAsia="Arial" w:hAnsi="Arial"/>
                <w:sz w:val="10"/>
                <w:szCs w:val="10"/>
                <w:b w:val="1"/>
                <w:bCs w:val="1"/>
                <w:color w:val="auto"/>
              </w:rPr>
              <w:t>Effective Tax Rate</w:t>
            </w:r>
          </w:p>
        </w:tc>
        <w:tc>
          <w:tcPr>
            <w:tcW w:w="5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21.5%</w:t>
            </w: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24.5%</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19.4%</w:t>
            </w:r>
          </w:p>
        </w:tc>
      </w:tr>
    </w:tbl>
    <w:p>
      <w:pPr>
        <w:spacing w:after="0" w:line="205" w:lineRule="exact"/>
        <w:rPr>
          <w:sz w:val="20"/>
          <w:szCs w:val="20"/>
          <w:color w:val="auto"/>
        </w:rPr>
      </w:pPr>
    </w:p>
    <w:p>
      <w:pPr>
        <w:ind w:left="20" w:right="119"/>
        <w:spacing w:after="0" w:line="255" w:lineRule="auto"/>
        <w:rPr>
          <w:sz w:val="20"/>
          <w:szCs w:val="20"/>
          <w:color w:val="auto"/>
        </w:rPr>
      </w:pPr>
      <w:r>
        <w:rPr>
          <w:rFonts w:ascii="Arial" w:cs="Arial" w:eastAsia="Arial" w:hAnsi="Arial"/>
          <w:sz w:val="12"/>
          <w:szCs w:val="12"/>
          <w:color w:val="auto"/>
        </w:rPr>
        <w:t>Corporate tax consists of current tax and the adjustment of deferred taxes during the year. The corporate tax expense was DKK 1,513 million in 2022, DKK 975 million in 2021 and DKK 1,146 million in 2020. Tax expenses of DKK 22 million, DKK 31 million, and DKK 44 million related to excess tax benefits for share-based compensation were recorded directly in shareholders’ equity, in 2022, 2021, and 2020, respectively.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3" w:name="page94"/>
    <w:bookmarkEnd w:id="9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TAXATION – BALANCE SHEET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Significant components of the deferred tax asset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840" w:type="dxa"/>
            <w:vAlign w:val="bottom"/>
            <w:gridSpan w:val="2"/>
          </w:tcPr>
          <w:p>
            <w:pPr>
              <w:ind w:left="5240"/>
              <w:spacing w:after="0"/>
              <w:rPr>
                <w:sz w:val="20"/>
                <w:szCs w:val="20"/>
                <w:color w:val="auto"/>
              </w:rPr>
            </w:pPr>
            <w:r>
              <w:rPr>
                <w:rFonts w:ascii="Arial" w:cs="Arial" w:eastAsia="Arial" w:hAnsi="Arial"/>
                <w:sz w:val="11"/>
                <w:szCs w:val="11"/>
                <w:color w:val="auto"/>
              </w:rPr>
              <w:t>2022</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jc w:val="right"/>
              <w:ind w:right="886"/>
              <w:spacing w:after="0"/>
              <w:rPr>
                <w:sz w:val="20"/>
                <w:szCs w:val="20"/>
                <w:color w:val="auto"/>
              </w:rPr>
            </w:pPr>
            <w:r>
              <w:rPr>
                <w:rFonts w:ascii="Arial" w:cs="Arial" w:eastAsia="Arial" w:hAnsi="Arial"/>
                <w:sz w:val="11"/>
                <w:szCs w:val="11"/>
                <w:color w:val="auto"/>
              </w:rPr>
              <w:t>2021</w:t>
            </w:r>
          </w:p>
        </w:tc>
      </w:tr>
      <w:tr>
        <w:trPr>
          <w:trHeight w:val="123"/>
        </w:trPr>
        <w:tc>
          <w:tcPr>
            <w:tcW w:w="4300" w:type="dxa"/>
            <w:vAlign w:val="bottom"/>
          </w:tcPr>
          <w:p>
            <w:pPr>
              <w:spacing w:after="0" w:line="123" w:lineRule="exact"/>
              <w:rPr>
                <w:sz w:val="20"/>
                <w:szCs w:val="20"/>
                <w:color w:val="auto"/>
              </w:rPr>
            </w:pPr>
            <w:r>
              <w:rPr>
                <w:rFonts w:ascii="Arial" w:cs="Arial" w:eastAsia="Arial" w:hAnsi="Arial"/>
                <w:sz w:val="11"/>
                <w:szCs w:val="11"/>
                <w:color w:val="auto"/>
              </w:rPr>
              <w:t>(DKK million)</w:t>
            </w:r>
          </w:p>
        </w:tc>
        <w:tc>
          <w:tcPr>
            <w:tcW w:w="1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Borders>
              <w:top w:val="single" w:sz="8" w:color="auto"/>
            </w:tcBorders>
          </w:tcPr>
          <w:p>
            <w:pPr>
              <w:spacing w:after="0"/>
              <w:rPr>
                <w:sz w:val="10"/>
                <w:szCs w:val="10"/>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1"/>
                <w:szCs w:val="11"/>
                <w:color w:val="auto"/>
              </w:rPr>
              <w:t>Share-based instruments</w:t>
            </w:r>
          </w:p>
        </w:tc>
        <w:tc>
          <w:tcPr>
            <w:tcW w:w="580" w:type="dxa"/>
            <w:vAlign w:val="bottom"/>
          </w:tcPr>
          <w:p>
            <w:pPr>
              <w:jc w:val="right"/>
              <w:spacing w:after="0"/>
              <w:rPr>
                <w:sz w:val="20"/>
                <w:szCs w:val="20"/>
                <w:color w:val="auto"/>
              </w:rPr>
            </w:pPr>
            <w:r>
              <w:rPr>
                <w:rFonts w:ascii="Arial" w:cs="Arial" w:eastAsia="Arial" w:hAnsi="Arial"/>
                <w:sz w:val="11"/>
                <w:szCs w:val="11"/>
                <w:color w:val="auto"/>
              </w:rPr>
              <w:t>128</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1"/>
                <w:szCs w:val="11"/>
                <w:color w:val="auto"/>
              </w:rPr>
              <w:t>136</w:t>
            </w:r>
          </w:p>
        </w:tc>
      </w:tr>
      <w:tr>
        <w:trPr>
          <w:trHeight w:val="127"/>
        </w:trPr>
        <w:tc>
          <w:tcPr>
            <w:tcW w:w="5840" w:type="dxa"/>
            <w:vAlign w:val="bottom"/>
            <w:gridSpan w:val="2"/>
          </w:tcPr>
          <w:p>
            <w:pPr>
              <w:spacing w:after="0"/>
              <w:rPr>
                <w:sz w:val="20"/>
                <w:szCs w:val="20"/>
                <w:color w:val="auto"/>
              </w:rPr>
            </w:pPr>
            <w:r>
              <w:rPr>
                <w:rFonts w:ascii="Arial" w:cs="Arial" w:eastAsia="Arial" w:hAnsi="Arial"/>
                <w:sz w:val="11"/>
                <w:szCs w:val="11"/>
                <w:color w:val="auto"/>
              </w:rPr>
              <w:t>Deferred revenue</w:t>
            </w:r>
          </w:p>
        </w:tc>
        <w:tc>
          <w:tcPr>
            <w:tcW w:w="580" w:type="dxa"/>
            <w:vAlign w:val="bottom"/>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1"/>
                <w:szCs w:val="11"/>
                <w:color w:val="auto"/>
              </w:rPr>
            </w:pPr>
          </w:p>
        </w:tc>
        <w:tc>
          <w:tcPr>
            <w:tcW w:w="2140" w:type="dxa"/>
            <w:vAlign w:val="bottom"/>
          </w:tcPr>
          <w:p>
            <w:pPr>
              <w:jc w:val="right"/>
              <w:spacing w:after="0"/>
              <w:rPr>
                <w:sz w:val="20"/>
                <w:szCs w:val="20"/>
                <w:color w:val="auto"/>
              </w:rPr>
            </w:pPr>
            <w:r>
              <w:rPr>
                <w:rFonts w:ascii="Arial" w:cs="Arial" w:eastAsia="Arial" w:hAnsi="Arial"/>
                <w:sz w:val="11"/>
                <w:szCs w:val="11"/>
                <w:color w:val="auto"/>
              </w:rPr>
              <w:t>113</w:t>
            </w:r>
          </w:p>
        </w:tc>
      </w:tr>
      <w:tr>
        <w:trPr>
          <w:trHeight w:val="136"/>
        </w:trPr>
        <w:tc>
          <w:tcPr>
            <w:tcW w:w="4300" w:type="dxa"/>
            <w:vAlign w:val="bottom"/>
          </w:tcPr>
          <w:p>
            <w:pPr>
              <w:spacing w:after="0"/>
              <w:rPr>
                <w:sz w:val="20"/>
                <w:szCs w:val="20"/>
                <w:color w:val="auto"/>
              </w:rPr>
            </w:pPr>
            <w:r>
              <w:rPr>
                <w:rFonts w:ascii="Arial" w:cs="Arial" w:eastAsia="Arial" w:hAnsi="Arial"/>
                <w:sz w:val="11"/>
                <w:szCs w:val="11"/>
                <w:color w:val="auto"/>
              </w:rPr>
              <w:t>Other temporary differences</w:t>
            </w:r>
          </w:p>
        </w:tc>
        <w:tc>
          <w:tcPr>
            <w:tcW w:w="15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1"/>
                <w:szCs w:val="1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r>
      <w:tr>
        <w:trPr>
          <w:trHeight w:val="243"/>
        </w:trPr>
        <w:tc>
          <w:tcPr>
            <w:tcW w:w="4300" w:type="dxa"/>
            <w:vAlign w:val="bottom"/>
          </w:tcPr>
          <w:p>
            <w:pPr>
              <w:spacing w:after="0"/>
              <w:rPr>
                <w:sz w:val="20"/>
                <w:szCs w:val="20"/>
                <w:color w:val="auto"/>
              </w:rPr>
            </w:pPr>
            <w:r>
              <w:rPr>
                <w:rFonts w:ascii="Arial" w:cs="Arial" w:eastAsia="Arial" w:hAnsi="Arial"/>
                <w:sz w:val="11"/>
                <w:szCs w:val="11"/>
                <w:b w:val="1"/>
                <w:bCs w:val="1"/>
                <w:color w:val="auto"/>
              </w:rPr>
              <w:t>Total Deferred Taxes</w:t>
            </w:r>
          </w:p>
        </w:tc>
        <w:tc>
          <w:tcPr>
            <w:tcW w:w="15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252</w:t>
            </w:r>
          </w:p>
        </w:tc>
        <w:tc>
          <w:tcPr>
            <w:tcW w:w="8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264</w:t>
            </w:r>
          </w:p>
        </w:tc>
      </w:tr>
    </w:tbl>
    <w:p>
      <w:pPr>
        <w:spacing w:after="0" w:line="114" w:lineRule="exact"/>
        <w:rPr>
          <w:sz w:val="20"/>
          <w:szCs w:val="20"/>
          <w:color w:val="auto"/>
        </w:rPr>
      </w:pPr>
    </w:p>
    <w:p>
      <w:pPr>
        <w:ind w:left="20" w:right="39"/>
        <w:spacing w:after="0" w:line="260" w:lineRule="auto"/>
        <w:rPr>
          <w:sz w:val="20"/>
          <w:szCs w:val="20"/>
          <w:color w:val="auto"/>
        </w:rPr>
      </w:pPr>
      <w:r>
        <w:rPr>
          <w:rFonts w:ascii="Arial" w:cs="Arial" w:eastAsia="Arial" w:hAnsi="Arial"/>
          <w:sz w:val="12"/>
          <w:szCs w:val="12"/>
          <w:color w:val="auto"/>
        </w:rPr>
        <w:t>Genmab recognizes deferred tax assets if it is probable that sufficient taxable income will be available in the future, against which the temporary differences and unused tax losses can be utilized. Management has considered future taxable income and applied its judgement in assessing whether deferred tax assets should be recognized.</w:t>
      </w:r>
    </w:p>
    <w:p>
      <w:pPr>
        <w:spacing w:after="0" w:line="254"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As of December 31, 2022, and 2021, Genmab had gross tax loss carryforwards of DKK 3.2 billion and DKK 2.7 billion, respectively, to reduce future taxable income in the U.S. and the Netherlands. The loss carryforwards generally expire in various periods through 2037; however, U.S. tax losses originating after 2017 and tax losses in the Netherlands available as of December 31, 2022, can be carried forward indefinitely.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CORPORATE TAX</w:t>
      </w:r>
    </w:p>
    <w:p>
      <w:pPr>
        <w:spacing w:after="0" w:line="10" w:lineRule="exact"/>
        <w:rPr>
          <w:sz w:val="20"/>
          <w:szCs w:val="20"/>
          <w:color w:val="auto"/>
        </w:rPr>
      </w:pPr>
    </w:p>
    <w:p>
      <w:pPr>
        <w:ind w:left="20" w:right="259"/>
        <w:spacing w:after="0" w:line="252" w:lineRule="auto"/>
        <w:rPr>
          <w:sz w:val="20"/>
          <w:szCs w:val="20"/>
          <w:color w:val="auto"/>
        </w:rPr>
      </w:pPr>
      <w:r>
        <w:rPr>
          <w:rFonts w:ascii="Arial" w:cs="Arial" w:eastAsia="Arial" w:hAnsi="Arial"/>
          <w:sz w:val="12"/>
          <w:szCs w:val="12"/>
          <w:color w:val="auto"/>
        </w:rPr>
        <w:t>Corporate tax, which consists of current tax and deferred taxes for the year, is recognized in the income statement, except to the extent that the tax is attributable to items which directly relate to shareholders’ equity or other comprehensive income.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Current tax assets and liabilities for current and prior periods are measured at the amounts expected to be recovered from or paid to the tax authorities.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DEFERRED TAX</w:t>
      </w:r>
    </w:p>
    <w:p>
      <w:pPr>
        <w:spacing w:after="0" w:line="10" w:lineRule="exact"/>
        <w:rPr>
          <w:sz w:val="20"/>
          <w:szCs w:val="20"/>
          <w:color w:val="auto"/>
        </w:rPr>
      </w:pPr>
    </w:p>
    <w:p>
      <w:pPr>
        <w:ind w:left="20" w:right="99"/>
        <w:spacing w:after="0" w:line="252" w:lineRule="auto"/>
        <w:rPr>
          <w:sz w:val="20"/>
          <w:szCs w:val="20"/>
          <w:color w:val="auto"/>
        </w:rPr>
      </w:pPr>
      <w:r>
        <w:rPr>
          <w:rFonts w:ascii="Arial" w:cs="Arial" w:eastAsia="Arial" w:hAnsi="Arial"/>
          <w:sz w:val="12"/>
          <w:szCs w:val="12"/>
          <w:color w:val="auto"/>
        </w:rPr>
        <w:t>Deferred tax accounting requires recognition of deferred tax on all temporary differences between the carrying amount of assets and liabilities and the tax base of such assets and liabilities. This includes the tax value of certain tax losses carried forward.</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Deferred tax is calculated in accordance with the tax regulations in the local countries and the tax rates expected to be in force at the time the deferred tax is utilized.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Changes in deferred tax as a result of changes in tax rates are recognized in the income statement.</w:t>
      </w:r>
    </w:p>
    <w:p>
      <w:pPr>
        <w:spacing w:after="0" w:line="131"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4" w:name="page95"/>
    <w:bookmarkEnd w:id="9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MANAGEMENT’S JUDGEMENTS AND ESTIMATES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DEFERRED TAX</w:t>
      </w:r>
    </w:p>
    <w:p>
      <w:pPr>
        <w:spacing w:after="0" w:line="10" w:lineRule="exact"/>
        <w:rPr>
          <w:sz w:val="20"/>
          <w:szCs w:val="20"/>
          <w:color w:val="auto"/>
        </w:rPr>
      </w:pPr>
    </w:p>
    <w:p>
      <w:pPr>
        <w:ind w:left="20" w:right="159"/>
        <w:spacing w:after="0" w:line="252" w:lineRule="auto"/>
        <w:rPr>
          <w:sz w:val="20"/>
          <w:szCs w:val="20"/>
          <w:color w:val="auto"/>
        </w:rPr>
      </w:pPr>
      <w:r>
        <w:rPr>
          <w:rFonts w:ascii="Arial" w:cs="Arial" w:eastAsia="Arial" w:hAnsi="Arial"/>
          <w:sz w:val="12"/>
          <w:szCs w:val="12"/>
          <w:color w:val="auto"/>
        </w:rPr>
        <w:t>Genmab recognizes deferred tax assets if management assesses that these tax assets can be offset against positive taxable income within a foreseeable future. This judgement is made on an ongoing basis and is based on numerous factors, including actual results, budgets and business plans for the coming years.</w:t>
      </w:r>
    </w:p>
    <w:p>
      <w:pPr>
        <w:spacing w:after="0" w:line="115" w:lineRule="exact"/>
        <w:rPr>
          <w:sz w:val="20"/>
          <w:szCs w:val="20"/>
          <w:color w:val="auto"/>
        </w:rPr>
      </w:pPr>
    </w:p>
    <w:p>
      <w:pPr>
        <w:ind w:left="20" w:right="59"/>
        <w:spacing w:after="0" w:line="243" w:lineRule="auto"/>
        <w:rPr>
          <w:sz w:val="20"/>
          <w:szCs w:val="20"/>
          <w:color w:val="auto"/>
        </w:rPr>
      </w:pPr>
      <w:r>
        <w:rPr>
          <w:rFonts w:ascii="Arial" w:cs="Arial" w:eastAsia="Arial" w:hAnsi="Arial"/>
          <w:sz w:val="12"/>
          <w:szCs w:val="12"/>
          <w:color w:val="auto"/>
        </w:rPr>
        <w:t>Realization of deferred tax assets is dependent upon a number of factors, including future taxable earnings, the timing and amount of which are highly uncertain. A significant portion of Genmab’s future taxable income will be driven by future events that are highly susceptible to factors outside the control of Genmab including commercial growth of DARZALEX, specific clinical outcomes, regulatory approvals, advancement of Genmab’s product pipeline and other matters. Genmab continues to maintain nonrecognition of a significant portion of deferred tax assets related to its subsidiaries until there is sufficient evidence to support the recognition of deferred tax assets. Genmab may recognize deferred tax assets related to its subsidiaries in the future. The recognition of deferred tax assets will result in a decrease to income tax expense in such period.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2.5 – Profit Per Share</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64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r>
      <w:tr>
        <w:trPr>
          <w:trHeight w:val="261"/>
        </w:trPr>
        <w:tc>
          <w:tcPr>
            <w:tcW w:w="4640" w:type="dxa"/>
            <w:vAlign w:val="bottom"/>
          </w:tcPr>
          <w:p>
            <w:pPr>
              <w:spacing w:after="0"/>
              <w:rPr>
                <w:sz w:val="20"/>
                <w:szCs w:val="20"/>
                <w:color w:val="auto"/>
              </w:rPr>
            </w:pPr>
            <w:r>
              <w:rPr>
                <w:rFonts w:ascii="Arial" w:cs="Arial" w:eastAsia="Arial" w:hAnsi="Arial"/>
                <w:sz w:val="12"/>
                <w:szCs w:val="12"/>
                <w:b w:val="1"/>
                <w:bCs w:val="1"/>
                <w:color w:val="auto"/>
              </w:rPr>
              <w:t>Net profit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5,522</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3,008</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4,758</w:t>
            </w:r>
          </w:p>
        </w:tc>
      </w:tr>
      <w:tr>
        <w:trPr>
          <w:trHeight w:val="278"/>
        </w:trPr>
        <w:tc>
          <w:tcPr>
            <w:tcW w:w="46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2"/>
                <w:szCs w:val="12"/>
                <w:color w:val="auto"/>
              </w:rPr>
              <w:t>Average number of shares outstanding</w:t>
            </w:r>
          </w:p>
        </w:tc>
        <w:tc>
          <w:tcPr>
            <w:tcW w:w="1260" w:type="dxa"/>
            <w:vAlign w:val="bottom"/>
          </w:tcPr>
          <w:p>
            <w:pPr>
              <w:jc w:val="right"/>
              <w:spacing w:after="0"/>
              <w:rPr>
                <w:sz w:val="20"/>
                <w:szCs w:val="20"/>
                <w:color w:val="auto"/>
              </w:rPr>
            </w:pPr>
            <w:r>
              <w:rPr>
                <w:rFonts w:ascii="Arial" w:cs="Arial" w:eastAsia="Arial" w:hAnsi="Arial"/>
                <w:sz w:val="12"/>
                <w:szCs w:val="12"/>
                <w:color w:val="auto"/>
              </w:rPr>
              <w:t>65,783,130</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65,634,300</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65,315,975</w:t>
            </w:r>
          </w:p>
        </w:tc>
      </w:tr>
      <w:tr>
        <w:trPr>
          <w:trHeight w:val="149"/>
        </w:trPr>
        <w:tc>
          <w:tcPr>
            <w:tcW w:w="4640" w:type="dxa"/>
            <w:vAlign w:val="bottom"/>
          </w:tcPr>
          <w:p>
            <w:pPr>
              <w:spacing w:after="0"/>
              <w:rPr>
                <w:sz w:val="20"/>
                <w:szCs w:val="20"/>
                <w:color w:val="auto"/>
              </w:rPr>
            </w:pPr>
            <w:r>
              <w:rPr>
                <w:rFonts w:ascii="Arial" w:cs="Arial" w:eastAsia="Arial" w:hAnsi="Arial"/>
                <w:sz w:val="12"/>
                <w:szCs w:val="12"/>
                <w:color w:val="auto"/>
              </w:rPr>
              <w:t>Average number of treasury shares</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(395,829)</w:t>
            </w: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(238,663)</w:t>
            </w:r>
          </w:p>
        </w:tc>
        <w:tc>
          <w:tcPr>
            <w:tcW w:w="1280" w:type="dxa"/>
            <w:vAlign w:val="bottom"/>
          </w:tcPr>
          <w:p>
            <w:pPr>
              <w:jc w:val="right"/>
              <w:spacing w:after="0"/>
              <w:rPr>
                <w:sz w:val="20"/>
                <w:szCs w:val="20"/>
                <w:color w:val="auto"/>
              </w:rPr>
            </w:pPr>
            <w:r>
              <w:rPr>
                <w:rFonts w:ascii="Arial" w:cs="Arial" w:eastAsia="Arial" w:hAnsi="Arial"/>
                <w:sz w:val="12"/>
                <w:szCs w:val="12"/>
                <w:color w:val="auto"/>
              </w:rPr>
              <w:t>(136,969)</w:t>
            </w:r>
          </w:p>
        </w:tc>
      </w:tr>
      <w:tr>
        <w:trPr>
          <w:trHeight w:val="248"/>
        </w:trPr>
        <w:tc>
          <w:tcPr>
            <w:tcW w:w="4640" w:type="dxa"/>
            <w:vAlign w:val="bottom"/>
          </w:tcPr>
          <w:p>
            <w:pPr>
              <w:spacing w:after="0"/>
              <w:rPr>
                <w:sz w:val="20"/>
                <w:szCs w:val="20"/>
                <w:color w:val="auto"/>
              </w:rPr>
            </w:pPr>
            <w:r>
              <w:rPr>
                <w:rFonts w:ascii="Arial" w:cs="Arial" w:eastAsia="Arial" w:hAnsi="Arial"/>
                <w:sz w:val="12"/>
                <w:szCs w:val="12"/>
                <w:b w:val="1"/>
                <w:bCs w:val="1"/>
                <w:color w:val="auto"/>
              </w:rPr>
              <w:t>Average number of shares excl. treasury shares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65,387,301</w:t>
            </w:r>
          </w:p>
        </w:tc>
        <w:tc>
          <w:tcPr>
            <w:tcW w:w="14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65,395,637</w:t>
            </w:r>
          </w:p>
        </w:tc>
        <w:tc>
          <w:tcPr>
            <w:tcW w:w="60" w:type="dxa"/>
            <w:vAlign w:val="bottom"/>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65,179,006</w:t>
            </w:r>
          </w:p>
        </w:tc>
      </w:tr>
      <w:tr>
        <w:trPr>
          <w:trHeight w:val="149"/>
        </w:trPr>
        <w:tc>
          <w:tcPr>
            <w:tcW w:w="4640" w:type="dxa"/>
            <w:vAlign w:val="bottom"/>
          </w:tcPr>
          <w:p>
            <w:pPr>
              <w:spacing w:after="0"/>
              <w:rPr>
                <w:sz w:val="20"/>
                <w:szCs w:val="20"/>
                <w:color w:val="auto"/>
              </w:rPr>
            </w:pPr>
            <w:r>
              <w:rPr>
                <w:rFonts w:ascii="Arial" w:cs="Arial" w:eastAsia="Arial" w:hAnsi="Arial"/>
                <w:sz w:val="12"/>
                <w:szCs w:val="12"/>
                <w:color w:val="auto"/>
              </w:rPr>
              <w:t>Average number of share-based instruments, dilution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622,303</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650,114</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706,869</w:t>
            </w:r>
          </w:p>
        </w:tc>
      </w:tr>
      <w:tr>
        <w:trPr>
          <w:trHeight w:val="261"/>
        </w:trPr>
        <w:tc>
          <w:tcPr>
            <w:tcW w:w="4640" w:type="dxa"/>
            <w:vAlign w:val="bottom"/>
          </w:tcPr>
          <w:p>
            <w:pPr>
              <w:spacing w:after="0"/>
              <w:rPr>
                <w:sz w:val="20"/>
                <w:szCs w:val="20"/>
                <w:color w:val="auto"/>
              </w:rPr>
            </w:pPr>
            <w:r>
              <w:rPr>
                <w:rFonts w:ascii="Arial" w:cs="Arial" w:eastAsia="Arial" w:hAnsi="Arial"/>
                <w:sz w:val="12"/>
                <w:szCs w:val="12"/>
                <w:b w:val="1"/>
                <w:bCs w:val="1"/>
                <w:color w:val="auto"/>
              </w:rPr>
              <w:t>Average number of shares, diluted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66,009,604</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66,045,751</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65,885,875</w:t>
            </w:r>
          </w:p>
        </w:tc>
      </w:tr>
      <w:tr>
        <w:trPr>
          <w:trHeight w:val="520"/>
        </w:trPr>
        <w:tc>
          <w:tcPr>
            <w:tcW w:w="4640" w:type="dxa"/>
            <w:vAlign w:val="bottom"/>
          </w:tcPr>
          <w:p>
            <w:pPr>
              <w:spacing w:after="0"/>
              <w:rPr>
                <w:sz w:val="20"/>
                <w:szCs w:val="20"/>
                <w:color w:val="auto"/>
              </w:rPr>
            </w:pPr>
            <w:r>
              <w:rPr>
                <w:rFonts w:ascii="Arial" w:cs="Arial" w:eastAsia="Arial" w:hAnsi="Arial"/>
                <w:sz w:val="12"/>
                <w:szCs w:val="12"/>
                <w:color w:val="auto"/>
              </w:rPr>
              <w:t>Basic net profit per share</w:t>
            </w:r>
          </w:p>
        </w:tc>
        <w:tc>
          <w:tcPr>
            <w:tcW w:w="1260" w:type="dxa"/>
            <w:vAlign w:val="bottom"/>
          </w:tcPr>
          <w:p>
            <w:pPr>
              <w:jc w:val="right"/>
              <w:spacing w:after="0"/>
              <w:rPr>
                <w:sz w:val="20"/>
                <w:szCs w:val="20"/>
                <w:color w:val="auto"/>
              </w:rPr>
            </w:pPr>
            <w:r>
              <w:rPr>
                <w:rFonts w:ascii="Arial" w:cs="Arial" w:eastAsia="Arial" w:hAnsi="Arial"/>
                <w:sz w:val="12"/>
                <w:szCs w:val="12"/>
                <w:color w:val="auto"/>
              </w:rPr>
              <w:t>84.45</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46.00</w:t>
            </w:r>
          </w:p>
        </w:tc>
        <w:tc>
          <w:tcPr>
            <w:tcW w:w="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73.00</w:t>
            </w:r>
          </w:p>
        </w:tc>
      </w:tr>
      <w:tr>
        <w:trPr>
          <w:trHeight w:val="159"/>
        </w:trPr>
        <w:tc>
          <w:tcPr>
            <w:tcW w:w="4640" w:type="dxa"/>
            <w:vAlign w:val="bottom"/>
          </w:tcPr>
          <w:p>
            <w:pPr>
              <w:spacing w:after="0"/>
              <w:rPr>
                <w:sz w:val="20"/>
                <w:szCs w:val="20"/>
                <w:color w:val="auto"/>
              </w:rPr>
            </w:pPr>
            <w:r>
              <w:rPr>
                <w:rFonts w:ascii="Arial" w:cs="Arial" w:eastAsia="Arial" w:hAnsi="Arial"/>
                <w:sz w:val="12"/>
                <w:szCs w:val="12"/>
                <w:color w:val="auto"/>
              </w:rPr>
              <w:t>Diluted net profit per share</w:t>
            </w:r>
          </w:p>
        </w:tc>
        <w:tc>
          <w:tcPr>
            <w:tcW w:w="1260" w:type="dxa"/>
            <w:vAlign w:val="bottom"/>
          </w:tcPr>
          <w:p>
            <w:pPr>
              <w:jc w:val="right"/>
              <w:spacing w:after="0"/>
              <w:rPr>
                <w:sz w:val="20"/>
                <w:szCs w:val="20"/>
                <w:color w:val="auto"/>
              </w:rPr>
            </w:pPr>
            <w:r>
              <w:rPr>
                <w:rFonts w:ascii="Arial" w:cs="Arial" w:eastAsia="Arial" w:hAnsi="Arial"/>
                <w:sz w:val="12"/>
                <w:szCs w:val="12"/>
                <w:color w:val="auto"/>
              </w:rPr>
              <w:t>83.65</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45.54</w:t>
            </w:r>
          </w:p>
        </w:tc>
        <w:tc>
          <w:tcPr>
            <w:tcW w:w="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72.21</w:t>
            </w:r>
          </w:p>
        </w:tc>
      </w:tr>
    </w:tbl>
    <w:p>
      <w:pPr>
        <w:spacing w:after="0" w:line="258"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In the calculation of the diluted net profit per share for 2022, 68,728 warrants (none of which were vested) have been excluded as these share-based instruments are out of the money, compared to 43,654 and 68,605 (none of which were vested) for 2021 and 2020, respectively.</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BASIC NET PROFIT PER SHARE</w:t>
      </w:r>
    </w:p>
    <w:p>
      <w:pPr>
        <w:spacing w:after="0" w:line="10" w:lineRule="exact"/>
        <w:rPr>
          <w:sz w:val="20"/>
          <w:szCs w:val="20"/>
          <w:color w:val="auto"/>
        </w:rPr>
      </w:pPr>
    </w:p>
    <w:p>
      <w:pPr>
        <w:ind w:left="20" w:right="419"/>
        <w:spacing w:after="0" w:line="252" w:lineRule="auto"/>
        <w:rPr>
          <w:sz w:val="20"/>
          <w:szCs w:val="20"/>
          <w:color w:val="auto"/>
        </w:rPr>
      </w:pPr>
      <w:r>
        <w:rPr>
          <w:rFonts w:ascii="Arial" w:cs="Arial" w:eastAsia="Arial" w:hAnsi="Arial"/>
          <w:sz w:val="12"/>
          <w:szCs w:val="12"/>
          <w:color w:val="auto"/>
        </w:rPr>
        <w:t>Basic net profit per share is calculated as the net profit for the period divided by the weighted average number of outstanding ordinary shares, excluding treasury shares.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DILUTED NET PROFIT PER SHARE</w:t>
      </w:r>
    </w:p>
    <w:p>
      <w:pPr>
        <w:spacing w:after="0" w:line="10" w:lineRule="exact"/>
        <w:rPr>
          <w:sz w:val="20"/>
          <w:szCs w:val="20"/>
          <w:color w:val="auto"/>
        </w:rPr>
      </w:pPr>
    </w:p>
    <w:p>
      <w:pPr>
        <w:ind w:left="20" w:right="339"/>
        <w:spacing w:after="0" w:line="252" w:lineRule="auto"/>
        <w:rPr>
          <w:sz w:val="20"/>
          <w:szCs w:val="20"/>
          <w:color w:val="auto"/>
        </w:rPr>
      </w:pPr>
      <w:r>
        <w:rPr>
          <w:rFonts w:ascii="Arial" w:cs="Arial" w:eastAsia="Arial" w:hAnsi="Arial"/>
          <w:sz w:val="12"/>
          <w:szCs w:val="12"/>
          <w:color w:val="auto"/>
        </w:rPr>
        <w:t>Diluted net profit per share is calculated as the net profit for the period divided by the weighted average number of outstanding ordinary shares, excluding treasury shares and adjusted for the dilutive effect of share equivalents.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Section 3 – Operating Assets and Liabilities</w:t>
      </w:r>
    </w:p>
    <w:p>
      <w:pPr>
        <w:spacing w:after="0" w:line="151" w:lineRule="exact"/>
        <w:rPr>
          <w:sz w:val="20"/>
          <w:szCs w:val="20"/>
          <w:color w:val="auto"/>
        </w:rPr>
      </w:pPr>
    </w:p>
    <w:p>
      <w:pPr>
        <w:ind w:left="20" w:right="99"/>
        <w:spacing w:after="0" w:line="284" w:lineRule="auto"/>
        <w:rPr>
          <w:sz w:val="20"/>
          <w:szCs w:val="20"/>
          <w:color w:val="auto"/>
        </w:rPr>
      </w:pPr>
      <w:r>
        <w:rPr>
          <w:rFonts w:ascii="Arial" w:cs="Arial" w:eastAsia="Arial" w:hAnsi="Arial"/>
          <w:sz w:val="12"/>
          <w:szCs w:val="12"/>
          <w:b w:val="1"/>
          <w:bCs w:val="1"/>
          <w:color w:val="029C93"/>
        </w:rPr>
        <w:t>This section covers the operating assets and related liabilities that form the basis for Genmab’s activities. Deferred tax assets and liabilities are included in Note 2.4. Assets related to Genmab’s financing activities are shown in section 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3.1 – Intangible Assets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5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00" w:type="dxa"/>
            <w:vAlign w:val="bottom"/>
            <w:gridSpan w:val="2"/>
          </w:tcPr>
          <w:p>
            <w:pPr>
              <w:jc w:val="right"/>
              <w:ind w:right="375"/>
              <w:spacing w:after="0"/>
              <w:rPr>
                <w:sz w:val="20"/>
                <w:szCs w:val="20"/>
                <w:color w:val="auto"/>
              </w:rPr>
            </w:pPr>
            <w:r>
              <w:rPr>
                <w:rFonts w:ascii="Arial" w:cs="Arial" w:eastAsia="Arial" w:hAnsi="Arial"/>
                <w:sz w:val="9"/>
                <w:szCs w:val="9"/>
                <w:b w:val="1"/>
                <w:bCs w:val="1"/>
                <w:color w:val="auto"/>
              </w:rPr>
              <w:t>Licenses, Rights, and Patents</w:t>
            </w: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20"/>
                <w:szCs w:val="20"/>
                <w:color w:val="auto"/>
              </w:rPr>
            </w:pPr>
            <w:r>
              <w:rPr>
                <w:rFonts w:ascii="Arial" w:cs="Arial" w:eastAsia="Arial" w:hAnsi="Arial"/>
                <w:sz w:val="9"/>
                <w:szCs w:val="9"/>
                <w:color w:val="auto"/>
              </w:rPr>
              <w:t>(DKK million)</w:t>
            </w:r>
          </w:p>
        </w:tc>
        <w:tc>
          <w:tcPr>
            <w:tcW w:w="820" w:type="dxa"/>
            <w:vAlign w:val="bottom"/>
          </w:tcPr>
          <w:p>
            <w:pPr>
              <w:spacing w:after="0"/>
              <w:rPr>
                <w:sz w:val="9"/>
                <w:szCs w:val="9"/>
                <w:color w:val="auto"/>
              </w:rPr>
            </w:pPr>
          </w:p>
        </w:tc>
        <w:tc>
          <w:tcPr>
            <w:tcW w:w="1480" w:type="dxa"/>
            <w:vAlign w:val="bottom"/>
            <w:tcBorders>
              <w:bottom w:val="single" w:sz="8" w:color="auto"/>
            </w:tcBorders>
          </w:tcPr>
          <w:p>
            <w:pPr>
              <w:jc w:val="right"/>
              <w:ind w:right="615"/>
              <w:spacing w:after="0"/>
              <w:rPr>
                <w:sz w:val="20"/>
                <w:szCs w:val="20"/>
                <w:color w:val="auto"/>
              </w:rPr>
            </w:pPr>
            <w:r>
              <w:rPr>
                <w:rFonts w:ascii="Arial" w:cs="Arial" w:eastAsia="Arial" w:hAnsi="Arial"/>
                <w:sz w:val="9"/>
                <w:szCs w:val="9"/>
                <w:b w:val="1"/>
                <w:bCs w:val="1"/>
                <w:color w:val="auto"/>
              </w:rPr>
              <w:t>2022</w:t>
            </w: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2021</w:t>
            </w: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9"/>
                <w:szCs w:val="9"/>
                <w:color w:val="auto"/>
              </w:rPr>
              <w:t>Cost at January 1</w:t>
            </w:r>
          </w:p>
        </w:tc>
        <w:tc>
          <w:tcPr>
            <w:tcW w:w="820" w:type="dxa"/>
            <w:vAlign w:val="bottom"/>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891</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5280" w:type="dxa"/>
            <w:vAlign w:val="bottom"/>
          </w:tcPr>
          <w:p>
            <w:pPr>
              <w:spacing w:after="0" w:line="89" w:lineRule="exact"/>
              <w:rPr>
                <w:sz w:val="20"/>
                <w:szCs w:val="20"/>
                <w:color w:val="auto"/>
              </w:rPr>
            </w:pPr>
            <w:r>
              <w:rPr>
                <w:rFonts w:ascii="Arial" w:cs="Arial" w:eastAsia="Arial" w:hAnsi="Arial"/>
                <w:sz w:val="9"/>
                <w:szCs w:val="9"/>
                <w:b w:val="1"/>
                <w:bCs w:val="1"/>
                <w:color w:val="auto"/>
              </w:rPr>
              <w:t>Cost at December 31</w:t>
            </w:r>
          </w:p>
        </w:tc>
        <w:tc>
          <w:tcPr>
            <w:tcW w:w="820" w:type="dxa"/>
            <w:vAlign w:val="bottom"/>
          </w:tcPr>
          <w:p>
            <w:pPr>
              <w:spacing w:after="0"/>
              <w:rPr>
                <w:sz w:val="7"/>
                <w:szCs w:val="7"/>
                <w:color w:val="auto"/>
              </w:rPr>
            </w:pPr>
          </w:p>
        </w:tc>
        <w:tc>
          <w:tcPr>
            <w:tcW w:w="1480" w:type="dxa"/>
            <w:vAlign w:val="bottom"/>
            <w:tcBorders>
              <w:bottom w:val="single" w:sz="8" w:color="auto"/>
            </w:tcBorders>
          </w:tcPr>
          <w:p>
            <w:pPr>
              <w:jc w:val="right"/>
              <w:ind w:right="15"/>
              <w:spacing w:after="0" w:line="89" w:lineRule="exact"/>
              <w:rPr>
                <w:sz w:val="20"/>
                <w:szCs w:val="20"/>
                <w:color w:val="auto"/>
              </w:rPr>
            </w:pPr>
            <w:r>
              <w:rPr>
                <w:rFonts w:ascii="Arial" w:cs="Arial" w:eastAsia="Arial" w:hAnsi="Arial"/>
                <w:sz w:val="9"/>
                <w:szCs w:val="9"/>
                <w:b w:val="1"/>
                <w:bCs w:val="1"/>
                <w:color w:val="auto"/>
              </w:rPr>
              <w:t>891</w:t>
            </w: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891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20"/>
                <w:szCs w:val="20"/>
                <w:color w:val="auto"/>
              </w:rPr>
            </w:pPr>
            <w:r>
              <w:rPr>
                <w:rFonts w:ascii="Arial" w:cs="Arial" w:eastAsia="Arial" w:hAnsi="Arial"/>
                <w:sz w:val="9"/>
                <w:szCs w:val="9"/>
                <w:color w:val="auto"/>
              </w:rPr>
              <w:t>Accumulated amortization and impairment at January 1</w:t>
            </w:r>
          </w:p>
        </w:tc>
        <w:tc>
          <w:tcPr>
            <w:tcW w:w="8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(637)</w:t>
            </w:r>
          </w:p>
        </w:tc>
        <w:tc>
          <w:tcPr>
            <w:tcW w:w="102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(553)</w:t>
            </w:r>
          </w:p>
        </w:tc>
        <w:tc>
          <w:tcPr>
            <w:tcW w:w="0" w:type="dxa"/>
            <w:vAlign w:val="bottom"/>
          </w:tcPr>
          <w:p>
            <w:pPr>
              <w:spacing w:after="0"/>
              <w:rPr>
                <w:sz w:val="1"/>
                <w:szCs w:val="1"/>
                <w:color w:val="auto"/>
              </w:rPr>
            </w:pPr>
          </w:p>
        </w:tc>
      </w:tr>
      <w:tr>
        <w:trPr>
          <w:trHeight w:val="100"/>
        </w:trPr>
        <w:tc>
          <w:tcPr>
            <w:tcW w:w="5280" w:type="dxa"/>
            <w:vAlign w:val="bottom"/>
          </w:tcPr>
          <w:p>
            <w:pPr>
              <w:spacing w:after="0" w:line="100" w:lineRule="exact"/>
              <w:rPr>
                <w:sz w:val="20"/>
                <w:szCs w:val="20"/>
                <w:color w:val="auto"/>
              </w:rPr>
            </w:pPr>
            <w:r>
              <w:rPr>
                <w:rFonts w:ascii="Arial" w:cs="Arial" w:eastAsia="Arial" w:hAnsi="Arial"/>
                <w:sz w:val="9"/>
                <w:szCs w:val="9"/>
                <w:color w:val="auto"/>
              </w:rPr>
              <w:t>Amortization for the year</w:t>
            </w:r>
          </w:p>
        </w:tc>
        <w:tc>
          <w:tcPr>
            <w:tcW w:w="820" w:type="dxa"/>
            <w:vAlign w:val="bottom"/>
          </w:tcPr>
          <w:p>
            <w:pPr>
              <w:spacing w:after="0"/>
              <w:rPr>
                <w:sz w:val="8"/>
                <w:szCs w:val="8"/>
                <w:color w:val="auto"/>
              </w:rPr>
            </w:pPr>
          </w:p>
        </w:tc>
        <w:tc>
          <w:tcPr>
            <w:tcW w:w="1480" w:type="dxa"/>
            <w:vAlign w:val="bottom"/>
          </w:tcPr>
          <w:p>
            <w:pPr>
              <w:jc w:val="right"/>
              <w:spacing w:after="0" w:line="100" w:lineRule="exact"/>
              <w:rPr>
                <w:sz w:val="20"/>
                <w:szCs w:val="20"/>
                <w:color w:val="auto"/>
              </w:rPr>
            </w:pPr>
            <w:r>
              <w:rPr>
                <w:rFonts w:ascii="Arial" w:cs="Arial" w:eastAsia="Arial" w:hAnsi="Arial"/>
                <w:sz w:val="9"/>
                <w:szCs w:val="9"/>
                <w:color w:val="auto"/>
              </w:rPr>
              <w:t>(70)</w:t>
            </w:r>
          </w:p>
        </w:tc>
        <w:tc>
          <w:tcPr>
            <w:tcW w:w="1020" w:type="dxa"/>
            <w:vAlign w:val="bottom"/>
          </w:tcPr>
          <w:p>
            <w:pPr>
              <w:spacing w:after="0"/>
              <w:rPr>
                <w:sz w:val="8"/>
                <w:szCs w:val="8"/>
                <w:color w:val="auto"/>
              </w:rPr>
            </w:pPr>
          </w:p>
        </w:tc>
        <w:tc>
          <w:tcPr>
            <w:tcW w:w="38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(84)</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20"/>
                <w:szCs w:val="20"/>
                <w:color w:val="auto"/>
              </w:rPr>
            </w:pPr>
            <w:r>
              <w:rPr>
                <w:rFonts w:ascii="Arial" w:cs="Arial" w:eastAsia="Arial" w:hAnsi="Arial"/>
                <w:sz w:val="9"/>
                <w:szCs w:val="9"/>
                <w:color w:val="auto"/>
              </w:rPr>
              <w:t>Impairment for the year</w:t>
            </w:r>
          </w:p>
        </w:tc>
        <w:tc>
          <w:tcPr>
            <w:tcW w:w="820" w:type="dxa"/>
            <w:vAlign w:val="bottom"/>
          </w:tcPr>
          <w:p>
            <w:pPr>
              <w:spacing w:after="0"/>
              <w:rPr>
                <w:sz w:val="9"/>
                <w:szCs w:val="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w:t>
            </w: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5280" w:type="dxa"/>
            <w:vAlign w:val="bottom"/>
          </w:tcPr>
          <w:p>
            <w:pPr>
              <w:spacing w:after="0" w:line="89" w:lineRule="exact"/>
              <w:rPr>
                <w:sz w:val="20"/>
                <w:szCs w:val="20"/>
                <w:color w:val="auto"/>
              </w:rPr>
            </w:pPr>
            <w:r>
              <w:rPr>
                <w:rFonts w:ascii="Arial" w:cs="Arial" w:eastAsia="Arial" w:hAnsi="Arial"/>
                <w:sz w:val="9"/>
                <w:szCs w:val="9"/>
                <w:b w:val="1"/>
                <w:bCs w:val="1"/>
                <w:color w:val="auto"/>
              </w:rPr>
              <w:t>Accumulated amortization and impairment at December 31</w:t>
            </w:r>
          </w:p>
        </w:tc>
        <w:tc>
          <w:tcPr>
            <w:tcW w:w="820" w:type="dxa"/>
            <w:vAlign w:val="bottom"/>
          </w:tcPr>
          <w:p>
            <w:pPr>
              <w:spacing w:after="0"/>
              <w:rPr>
                <w:sz w:val="7"/>
                <w:szCs w:val="7"/>
                <w:color w:val="auto"/>
              </w:rPr>
            </w:pPr>
          </w:p>
        </w:tc>
        <w:tc>
          <w:tcPr>
            <w:tcW w:w="14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(745)</w:t>
            </w: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(637)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280" w:type="dxa"/>
            <w:vAlign w:val="bottom"/>
            <w:vMerge w:val="restart"/>
          </w:tcPr>
          <w:p>
            <w:pPr>
              <w:spacing w:after="0"/>
              <w:rPr>
                <w:sz w:val="20"/>
                <w:szCs w:val="20"/>
                <w:color w:val="auto"/>
              </w:rPr>
            </w:pPr>
            <w:r>
              <w:rPr>
                <w:rFonts w:ascii="Arial" w:cs="Arial" w:eastAsia="Arial" w:hAnsi="Arial"/>
                <w:sz w:val="9"/>
                <w:szCs w:val="9"/>
                <w:b w:val="1"/>
                <w:bCs w:val="1"/>
                <w:color w:val="auto"/>
              </w:rPr>
              <w:t>Carrying amount of Intangible Assets at December 31</w:t>
            </w:r>
          </w:p>
        </w:tc>
        <w:tc>
          <w:tcPr>
            <w:tcW w:w="8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2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480" w:type="dxa"/>
            <w:vAlign w:val="bottom"/>
            <w:tcBorders>
              <w:bottom w:val="single" w:sz="8" w:color="auto"/>
            </w:tcBorders>
          </w:tcPr>
          <w:p>
            <w:pPr>
              <w:jc w:val="right"/>
              <w:ind w:right="15"/>
              <w:spacing w:after="0" w:line="89" w:lineRule="exact"/>
              <w:rPr>
                <w:sz w:val="20"/>
                <w:szCs w:val="20"/>
                <w:color w:val="auto"/>
              </w:rPr>
            </w:pPr>
            <w:r>
              <w:rPr>
                <w:rFonts w:ascii="Arial" w:cs="Arial" w:eastAsia="Arial" w:hAnsi="Arial"/>
                <w:sz w:val="9"/>
                <w:szCs w:val="9"/>
                <w:b w:val="1"/>
                <w:bCs w:val="1"/>
                <w:color w:val="auto"/>
              </w:rPr>
              <w:t>146</w:t>
            </w:r>
          </w:p>
        </w:tc>
        <w:tc>
          <w:tcPr>
            <w:tcW w:w="10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254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5280" w:type="dxa"/>
            <w:vAlign w:val="bottom"/>
          </w:tcPr>
          <w:p>
            <w:pPr>
              <w:spacing w:after="0"/>
              <w:rPr>
                <w:sz w:val="20"/>
                <w:szCs w:val="20"/>
                <w:color w:val="auto"/>
              </w:rPr>
            </w:pPr>
            <w:r>
              <w:rPr>
                <w:rFonts w:ascii="Arial" w:cs="Arial" w:eastAsia="Arial" w:hAnsi="Arial"/>
                <w:sz w:val="9"/>
                <w:szCs w:val="9"/>
                <w:color w:val="auto"/>
              </w:rPr>
              <w:t>(DKK million)</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2022</w:t>
            </w: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2021</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2020</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280" w:type="dxa"/>
            <w:vAlign w:val="bottom"/>
          </w:tcPr>
          <w:p>
            <w:pPr>
              <w:spacing w:after="0" w:line="81" w:lineRule="exact"/>
              <w:rPr>
                <w:sz w:val="20"/>
                <w:szCs w:val="20"/>
                <w:color w:val="auto"/>
              </w:rPr>
            </w:pPr>
            <w:r>
              <w:rPr>
                <w:rFonts w:ascii="Arial" w:cs="Arial" w:eastAsia="Arial" w:hAnsi="Arial"/>
                <w:sz w:val="9"/>
                <w:szCs w:val="9"/>
                <w:b w:val="1"/>
                <w:bCs w:val="1"/>
                <w:color w:val="auto"/>
              </w:rPr>
              <w:t>Amortization and impairment included in the income statement as follows:</w:t>
            </w: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20"/>
                <w:szCs w:val="20"/>
                <w:color w:val="auto"/>
              </w:rPr>
            </w:pPr>
            <w:r>
              <w:rPr>
                <w:rFonts w:ascii="Arial" w:cs="Arial" w:eastAsia="Arial" w:hAnsi="Arial"/>
                <w:sz w:val="9"/>
                <w:szCs w:val="9"/>
                <w:color w:val="auto"/>
              </w:rPr>
              <w:t>Research and development expenses</w:t>
            </w:r>
          </w:p>
        </w:tc>
        <w:tc>
          <w:tcPr>
            <w:tcW w:w="8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jc w:val="right"/>
              <w:ind w:right="1035"/>
              <w:spacing w:after="0"/>
              <w:rPr>
                <w:sz w:val="20"/>
                <w:szCs w:val="20"/>
                <w:color w:val="auto"/>
              </w:rPr>
            </w:pPr>
            <w:r>
              <w:rPr>
                <w:rFonts w:ascii="Arial" w:cs="Arial" w:eastAsia="Arial" w:hAnsi="Arial"/>
                <w:sz w:val="9"/>
                <w:szCs w:val="9"/>
                <w:color w:val="auto"/>
              </w:rPr>
              <w:t>108</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9"/>
                <w:szCs w:val="9"/>
                <w:color w:val="auto"/>
              </w:rPr>
              <w:t>84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5280" w:type="dxa"/>
            <w:vAlign w:val="bottom"/>
          </w:tcPr>
          <w:p>
            <w:pPr>
              <w:spacing w:after="0" w:line="89" w:lineRule="exact"/>
              <w:rPr>
                <w:sz w:val="20"/>
                <w:szCs w:val="20"/>
                <w:color w:val="auto"/>
              </w:rPr>
            </w:pPr>
            <w:r>
              <w:rPr>
                <w:rFonts w:ascii="Arial" w:cs="Arial" w:eastAsia="Arial" w:hAnsi="Arial"/>
                <w:sz w:val="9"/>
                <w:szCs w:val="9"/>
                <w:b w:val="1"/>
                <w:bCs w:val="1"/>
                <w:color w:val="auto"/>
              </w:rPr>
              <w:t>Total</w:t>
            </w:r>
          </w:p>
        </w:tc>
        <w:tc>
          <w:tcPr>
            <w:tcW w:w="8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ind w:right="1035"/>
              <w:spacing w:after="0" w:line="89" w:lineRule="exact"/>
              <w:rPr>
                <w:sz w:val="20"/>
                <w:szCs w:val="20"/>
                <w:color w:val="auto"/>
              </w:rPr>
            </w:pPr>
            <w:r>
              <w:rPr>
                <w:rFonts w:ascii="Arial" w:cs="Arial" w:eastAsia="Arial" w:hAnsi="Arial"/>
                <w:sz w:val="9"/>
                <w:szCs w:val="9"/>
                <w:b w:val="1"/>
                <w:bCs w:val="1"/>
                <w:color w:val="auto"/>
              </w:rPr>
              <w:t>108</w:t>
            </w:r>
          </w:p>
        </w:tc>
        <w:tc>
          <w:tcPr>
            <w:tcW w:w="1020" w:type="dxa"/>
            <w:vAlign w:val="bottom"/>
            <w:tcBorders>
              <w:bottom w:val="single" w:sz="8" w:color="auto"/>
            </w:tcBorders>
          </w:tcPr>
          <w:p>
            <w:pPr>
              <w:jc w:val="right"/>
              <w:ind w:right="815"/>
              <w:spacing w:after="0" w:line="89" w:lineRule="exact"/>
              <w:rPr>
                <w:sz w:val="20"/>
                <w:szCs w:val="20"/>
                <w:color w:val="auto"/>
              </w:rPr>
            </w:pPr>
            <w:r>
              <w:rPr>
                <w:rFonts w:ascii="Arial" w:cs="Arial" w:eastAsia="Arial" w:hAnsi="Arial"/>
                <w:sz w:val="9"/>
                <w:szCs w:val="9"/>
                <w:b w:val="1"/>
                <w:bCs w:val="1"/>
                <w:color w:val="auto"/>
              </w:rPr>
              <w:t>84</w:t>
            </w:r>
          </w:p>
        </w:tc>
        <w:tc>
          <w:tcPr>
            <w:tcW w:w="3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131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RESEARCH AND DEVELOPMENT PROJECTS</w:t>
      </w:r>
    </w:p>
    <w:p>
      <w:pPr>
        <w:spacing w:after="0" w:line="10" w:lineRule="exact"/>
        <w:rPr>
          <w:sz w:val="20"/>
          <w:szCs w:val="20"/>
          <w:color w:val="auto"/>
        </w:rPr>
      </w:pPr>
    </w:p>
    <w:p>
      <w:pPr>
        <w:ind w:left="20" w:right="119"/>
        <w:spacing w:after="0" w:line="244" w:lineRule="auto"/>
        <w:rPr>
          <w:sz w:val="20"/>
          <w:szCs w:val="20"/>
          <w:color w:val="auto"/>
        </w:rPr>
      </w:pPr>
      <w:r>
        <w:rPr>
          <w:rFonts w:ascii="Arial" w:cs="Arial" w:eastAsia="Arial" w:hAnsi="Arial"/>
          <w:sz w:val="12"/>
          <w:szCs w:val="12"/>
          <w:color w:val="auto"/>
        </w:rPr>
        <w:t>Internal and subcontracted research costs are charged in full to the income statement in the period in which they are incurred. Consistent with industry practice, development costs are also expensed until regulatory approval is obtained or is probable. Genmab has no internally generated intangible assets from development, as the criteria for recognition of an intangible asset are not met.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LICENSES AND RIGHTS</w:t>
      </w:r>
    </w:p>
    <w:p>
      <w:pPr>
        <w:spacing w:after="0" w:line="10" w:lineRule="exact"/>
        <w:rPr>
          <w:sz w:val="20"/>
          <w:szCs w:val="20"/>
          <w:color w:val="auto"/>
        </w:rPr>
      </w:pPr>
    </w:p>
    <w:p>
      <w:pPr>
        <w:jc w:val="both"/>
        <w:ind w:left="20" w:right="179"/>
        <w:spacing w:after="0" w:line="244" w:lineRule="auto"/>
        <w:rPr>
          <w:sz w:val="20"/>
          <w:szCs w:val="20"/>
          <w:color w:val="auto"/>
        </w:rPr>
      </w:pPr>
      <w:r>
        <w:rPr>
          <w:rFonts w:ascii="Arial" w:cs="Arial" w:eastAsia="Arial" w:hAnsi="Arial"/>
          <w:sz w:val="12"/>
          <w:szCs w:val="12"/>
          <w:color w:val="auto"/>
        </w:rPr>
        <w:t>Genmab acquires licenses and rights primarily to gain access to targets and technologies identified by third parties. Payments to third parties under collaboration and license agreements are assessed to determine whether such payments should be expensed as incurred as research and development expenses or capitalized as an intangible asset.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Licenses and rights that meet the criteria for capitalization as intangible assets are measured at cost less accumulated amortization and any impairment losses.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Milestone payments related to capitalized licenses and rights are accounted for as an increase in the cost to acquire licenses and rights.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6" w:name="page97"/>
    <w:bookmarkEnd w:id="9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Amortization</w:t>
      </w:r>
    </w:p>
    <w:p>
      <w:pPr>
        <w:spacing w:after="0" w:line="10" w:lineRule="exact"/>
        <w:rPr>
          <w:sz w:val="20"/>
          <w:szCs w:val="20"/>
          <w:color w:val="auto"/>
        </w:rPr>
      </w:pPr>
    </w:p>
    <w:p>
      <w:pPr>
        <w:ind w:left="20" w:right="59"/>
        <w:spacing w:after="0" w:line="252" w:lineRule="auto"/>
        <w:rPr>
          <w:sz w:val="20"/>
          <w:szCs w:val="20"/>
          <w:color w:val="auto"/>
        </w:rPr>
      </w:pPr>
      <w:r>
        <w:rPr>
          <w:rFonts w:ascii="Arial" w:cs="Arial" w:eastAsia="Arial" w:hAnsi="Arial"/>
          <w:sz w:val="12"/>
          <w:szCs w:val="12"/>
          <w:color w:val="auto"/>
        </w:rPr>
        <w:t>Amortization is based on the straight-line method over the estimated useful life. This corresponds to the legal duration or the economic useful life depending on which is shorter. The amortization of intellectual property rights commences after regulatory approval has been obtained or when assets are put in use.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MANAGEMENT’S JUDGEMENTS AND ESTIMATES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IMPAIRMENT</w:t>
      </w:r>
    </w:p>
    <w:p>
      <w:pPr>
        <w:spacing w:after="0" w:line="10" w:lineRule="exact"/>
        <w:rPr>
          <w:sz w:val="20"/>
          <w:szCs w:val="20"/>
          <w:color w:val="auto"/>
        </w:rPr>
      </w:pPr>
    </w:p>
    <w:p>
      <w:pPr>
        <w:ind w:left="20" w:right="39"/>
        <w:spacing w:after="0" w:line="241" w:lineRule="auto"/>
        <w:rPr>
          <w:sz w:val="20"/>
          <w:szCs w:val="20"/>
          <w:color w:val="auto"/>
        </w:rPr>
      </w:pPr>
      <w:r>
        <w:rPr>
          <w:rFonts w:ascii="Arial" w:cs="Arial" w:eastAsia="Arial" w:hAnsi="Arial"/>
          <w:sz w:val="12"/>
          <w:szCs w:val="12"/>
          <w:color w:val="auto"/>
        </w:rPr>
        <w:t>If circumstances or changes in Genmab’s operations indicate that the carrying amount of intangible assets may not be recoverable, management reviews the asset for impairment. The basis for the review is the recoverable amount of the intangible assets, determined as the greater of the fair value less cost to sell or its value in use. Value in use is calculated as the net present value of future cash inflow generated from the intangible asset. If the carrying amount of an intangible asset is greater than the recoverable amount, the intangible asset is written down to the recoverable amount. An impairment loss is recognized in the income statement when the impairment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 identified. Impairments on intangible assets are reviewed at each reporting date for possible reversal.</w:t>
      </w:r>
    </w:p>
    <w:p>
      <w:pPr>
        <w:spacing w:after="0" w:line="138" w:lineRule="exact"/>
        <w:rPr>
          <w:sz w:val="20"/>
          <w:szCs w:val="20"/>
          <w:color w:val="auto"/>
        </w:rPr>
      </w:pPr>
    </w:p>
    <w:p>
      <w:pPr>
        <w:ind w:left="20" w:right="379"/>
        <w:spacing w:after="0" w:line="305" w:lineRule="auto"/>
        <w:rPr>
          <w:sz w:val="20"/>
          <w:szCs w:val="20"/>
          <w:color w:val="auto"/>
        </w:rPr>
      </w:pPr>
      <w:r>
        <w:rPr>
          <w:rFonts w:ascii="Arial" w:cs="Arial" w:eastAsia="Arial" w:hAnsi="Arial"/>
          <w:sz w:val="12"/>
          <w:szCs w:val="12"/>
          <w:color w:val="auto"/>
        </w:rPr>
        <w:t>Amortization, impairment losses, and gains or losses on the disposal of intangible assets related to licenses and rights are recognized in the income statement as research and development expenses.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7" w:name="page98"/>
    <w:bookmarkEnd w:id="9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3.2 – Property and Equipment</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4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Equipment, furniture and</w:t>
            </w:r>
          </w:p>
        </w:tc>
        <w:tc>
          <w:tcPr>
            <w:tcW w:w="116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Assets under</w:t>
            </w:r>
          </w:p>
        </w:tc>
        <w:tc>
          <w:tcPr>
            <w:tcW w:w="112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8"/>
              </w:rPr>
              <w:t>Total property and</w:t>
            </w:r>
          </w:p>
        </w:tc>
        <w:tc>
          <w:tcPr>
            <w:tcW w:w="0" w:type="dxa"/>
            <w:vAlign w:val="bottom"/>
          </w:tcPr>
          <w:p>
            <w:pPr>
              <w:spacing w:after="0"/>
              <w:rPr>
                <w:sz w:val="1"/>
                <w:szCs w:val="1"/>
                <w:color w:val="auto"/>
              </w:rPr>
            </w:pPr>
          </w:p>
        </w:tc>
      </w:tr>
      <w:tr>
        <w:trPr>
          <w:trHeight w:val="108"/>
        </w:trPr>
        <w:tc>
          <w:tcPr>
            <w:tcW w:w="4080" w:type="dxa"/>
            <w:vAlign w:val="bottom"/>
            <w:vMerge w:val="restart"/>
          </w:tcPr>
          <w:p>
            <w:pPr>
              <w:spacing w:after="0"/>
              <w:rPr>
                <w:sz w:val="20"/>
                <w:szCs w:val="20"/>
                <w:color w:val="auto"/>
              </w:rPr>
            </w:pPr>
            <w:r>
              <w:rPr>
                <w:rFonts w:ascii="Arial" w:cs="Arial" w:eastAsia="Arial" w:hAnsi="Arial"/>
                <w:sz w:val="9"/>
                <w:szCs w:val="9"/>
                <w:b w:val="1"/>
                <w:bCs w:val="1"/>
                <w:color w:val="auto"/>
              </w:rPr>
              <w:t>(DKK million)</w:t>
            </w:r>
          </w:p>
        </w:tc>
        <w:tc>
          <w:tcPr>
            <w:tcW w:w="11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99"/>
              </w:rPr>
              <w:t>Leasehold improvements</w:t>
            </w:r>
          </w:p>
        </w:tc>
        <w:tc>
          <w:tcPr>
            <w:tcW w:w="114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8"/>
              </w:rPr>
              <w:t>fixtures</w:t>
            </w:r>
          </w:p>
        </w:tc>
        <w:tc>
          <w:tcPr>
            <w:tcW w:w="116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construction</w:t>
            </w:r>
          </w:p>
        </w:tc>
        <w:tc>
          <w:tcPr>
            <w:tcW w:w="112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rPr>
              <w:t>equipment</w:t>
            </w:r>
          </w:p>
        </w:tc>
        <w:tc>
          <w:tcPr>
            <w:tcW w:w="0" w:type="dxa"/>
            <w:vAlign w:val="bottom"/>
          </w:tcPr>
          <w:p>
            <w:pPr>
              <w:spacing w:after="0"/>
              <w:rPr>
                <w:sz w:val="1"/>
                <w:szCs w:val="1"/>
                <w:color w:val="auto"/>
              </w:rPr>
            </w:pPr>
          </w:p>
        </w:tc>
      </w:tr>
      <w:tr>
        <w:trPr>
          <w:trHeight w:val="80"/>
        </w:trPr>
        <w:tc>
          <w:tcPr>
            <w:tcW w:w="4080" w:type="dxa"/>
            <w:vAlign w:val="bottom"/>
            <w:vMerge w:val="continue"/>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b w:val="1"/>
                <w:bCs w:val="1"/>
                <w:color w:val="auto"/>
              </w:rPr>
              <w:t>2022</w:t>
            </w: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Cost at January 1</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400</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537</w:t>
            </w:r>
          </w:p>
        </w:tc>
        <w:tc>
          <w:tcPr>
            <w:tcW w:w="4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52</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989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Additions for the year</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5</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118</w:t>
            </w:r>
          </w:p>
        </w:tc>
        <w:tc>
          <w:tcPr>
            <w:tcW w:w="4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181</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304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Disposals for the year</w:t>
            </w: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(8)</w:t>
            </w: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(13)</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color w:val="auto"/>
              </w:rPr>
              <w:t>Exchange rate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9"/>
                <w:szCs w:val="9"/>
                <w:b w:val="1"/>
                <w:bCs w:val="1"/>
                <w:color w:val="auto"/>
              </w:rPr>
              <w:t>Cost at December 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412</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649</w:t>
            </w:r>
          </w:p>
        </w:tc>
        <w:tc>
          <w:tcPr>
            <w:tcW w:w="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233</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9"/>
                <w:szCs w:val="9"/>
                <w:color w:val="auto"/>
              </w:rPr>
              <w:t>Accumulated depreciation and impairment at January 1</w:t>
            </w:r>
          </w:p>
        </w:tc>
        <w:tc>
          <w:tcPr>
            <w:tcW w:w="1160" w:type="dxa"/>
            <w:vAlign w:val="bottom"/>
            <w:gridSpan w:val="2"/>
          </w:tcPr>
          <w:p>
            <w:pPr>
              <w:jc w:val="right"/>
              <w:ind w:right="60"/>
              <w:spacing w:after="0"/>
              <w:rPr>
                <w:sz w:val="20"/>
                <w:szCs w:val="20"/>
                <w:color w:val="auto"/>
              </w:rPr>
            </w:pPr>
            <w:r>
              <w:rPr>
                <w:rFonts w:ascii="Arial" w:cs="Arial" w:eastAsia="Arial" w:hAnsi="Arial"/>
                <w:sz w:val="9"/>
                <w:szCs w:val="9"/>
                <w:color w:val="auto"/>
              </w:rPr>
              <w:t>(90)</w:t>
            </w:r>
          </w:p>
        </w:tc>
        <w:tc>
          <w:tcPr>
            <w:tcW w:w="1140" w:type="dxa"/>
            <w:vAlign w:val="bottom"/>
            <w:gridSpan w:val="2"/>
          </w:tcPr>
          <w:p>
            <w:pPr>
              <w:jc w:val="right"/>
              <w:ind w:right="40"/>
              <w:spacing w:after="0"/>
              <w:rPr>
                <w:sz w:val="20"/>
                <w:szCs w:val="20"/>
                <w:color w:val="auto"/>
              </w:rPr>
            </w:pPr>
            <w:r>
              <w:rPr>
                <w:rFonts w:ascii="Arial" w:cs="Arial" w:eastAsia="Arial" w:hAnsi="Arial"/>
                <w:sz w:val="9"/>
                <w:szCs w:val="9"/>
                <w:color w:val="auto"/>
              </w:rPr>
              <w:t>(278)</w:t>
            </w:r>
          </w:p>
        </w:tc>
        <w:tc>
          <w:tcPr>
            <w:tcW w:w="11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9"/>
                <w:szCs w:val="9"/>
                <w:color w:val="auto"/>
              </w:rPr>
              <w:t>(368)</w:t>
            </w: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Depreciation for the year</w:t>
            </w: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(52)</w:t>
            </w: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(94)</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(146)</w:t>
            </w: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Exchange rate adjustment</w:t>
            </w: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(1)</w:t>
            </w: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(2)</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color w:val="auto"/>
              </w:rPr>
              <w:t>Accumulated depreciation on disposals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080" w:type="dxa"/>
            <w:vAlign w:val="bottom"/>
          </w:tcPr>
          <w:p>
            <w:pPr>
              <w:spacing w:after="0" w:line="89" w:lineRule="exact"/>
              <w:rPr>
                <w:sz w:val="20"/>
                <w:szCs w:val="20"/>
                <w:color w:val="auto"/>
              </w:rPr>
            </w:pPr>
            <w:r>
              <w:rPr>
                <w:rFonts w:ascii="Arial" w:cs="Arial" w:eastAsia="Arial" w:hAnsi="Arial"/>
                <w:sz w:val="9"/>
                <w:szCs w:val="9"/>
                <w:b w:val="1"/>
                <w:bCs w:val="1"/>
                <w:color w:val="auto"/>
              </w:rPr>
              <w:t>Accumulated depreciation and impairment at December 31</w:t>
            </w: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(132)</w:t>
            </w:r>
          </w:p>
        </w:tc>
        <w:tc>
          <w:tcPr>
            <w:tcW w:w="6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(363)</w:t>
            </w:r>
          </w:p>
        </w:tc>
        <w:tc>
          <w:tcPr>
            <w:tcW w:w="4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(495)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b w:val="1"/>
                <w:bCs w:val="1"/>
                <w:color w:val="auto"/>
              </w:rPr>
              <w:t>Carrying amount at December 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280</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286</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233</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Equipment, furniture and</w:t>
            </w:r>
          </w:p>
        </w:tc>
        <w:tc>
          <w:tcPr>
            <w:tcW w:w="116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Assets under</w:t>
            </w:r>
          </w:p>
        </w:tc>
        <w:tc>
          <w:tcPr>
            <w:tcW w:w="112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8"/>
              </w:rPr>
              <w:t>Total property and</w:t>
            </w:r>
          </w:p>
        </w:tc>
        <w:tc>
          <w:tcPr>
            <w:tcW w:w="0" w:type="dxa"/>
            <w:vAlign w:val="bottom"/>
          </w:tcPr>
          <w:p>
            <w:pPr>
              <w:spacing w:after="0"/>
              <w:rPr>
                <w:sz w:val="1"/>
                <w:szCs w:val="1"/>
                <w:color w:val="auto"/>
              </w:rPr>
            </w:pPr>
          </w:p>
        </w:tc>
      </w:tr>
      <w:tr>
        <w:trPr>
          <w:trHeight w:val="108"/>
        </w:trPr>
        <w:tc>
          <w:tcPr>
            <w:tcW w:w="4080" w:type="dxa"/>
            <w:vAlign w:val="bottom"/>
            <w:vMerge w:val="restart"/>
          </w:tcPr>
          <w:p>
            <w:pPr>
              <w:spacing w:after="0"/>
              <w:rPr>
                <w:sz w:val="20"/>
                <w:szCs w:val="20"/>
                <w:color w:val="auto"/>
              </w:rPr>
            </w:pPr>
            <w:r>
              <w:rPr>
                <w:rFonts w:ascii="Arial" w:cs="Arial" w:eastAsia="Arial" w:hAnsi="Arial"/>
                <w:sz w:val="9"/>
                <w:szCs w:val="9"/>
                <w:b w:val="1"/>
                <w:bCs w:val="1"/>
                <w:color w:val="auto"/>
              </w:rPr>
              <w:t>(DKK million)</w:t>
            </w:r>
          </w:p>
        </w:tc>
        <w:tc>
          <w:tcPr>
            <w:tcW w:w="11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99"/>
              </w:rPr>
              <w:t>Leasehold improvements</w:t>
            </w:r>
          </w:p>
        </w:tc>
        <w:tc>
          <w:tcPr>
            <w:tcW w:w="114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8"/>
              </w:rPr>
              <w:t>fixtures</w:t>
            </w:r>
          </w:p>
        </w:tc>
        <w:tc>
          <w:tcPr>
            <w:tcW w:w="116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construction</w:t>
            </w:r>
          </w:p>
        </w:tc>
        <w:tc>
          <w:tcPr>
            <w:tcW w:w="112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rPr>
              <w:t>equipment</w:t>
            </w:r>
          </w:p>
        </w:tc>
        <w:tc>
          <w:tcPr>
            <w:tcW w:w="0" w:type="dxa"/>
            <w:vAlign w:val="bottom"/>
          </w:tcPr>
          <w:p>
            <w:pPr>
              <w:spacing w:after="0"/>
              <w:rPr>
                <w:sz w:val="1"/>
                <w:szCs w:val="1"/>
                <w:color w:val="auto"/>
              </w:rPr>
            </w:pPr>
          </w:p>
        </w:tc>
      </w:tr>
      <w:tr>
        <w:trPr>
          <w:trHeight w:val="80"/>
        </w:trPr>
        <w:tc>
          <w:tcPr>
            <w:tcW w:w="4080" w:type="dxa"/>
            <w:vAlign w:val="bottom"/>
            <w:vMerge w:val="continue"/>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b w:val="1"/>
                <w:bCs w:val="1"/>
                <w:color w:val="auto"/>
              </w:rPr>
              <w:t>2021</w:t>
            </w: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Cost at January 1</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287</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416</w:t>
            </w:r>
          </w:p>
        </w:tc>
        <w:tc>
          <w:tcPr>
            <w:tcW w:w="4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14</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717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Additions for the year</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29</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120</w:t>
            </w:r>
          </w:p>
        </w:tc>
        <w:tc>
          <w:tcPr>
            <w:tcW w:w="4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111</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260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Transfers between the classes</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70</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3</w:t>
            </w:r>
          </w:p>
        </w:tc>
        <w:tc>
          <w:tcPr>
            <w:tcW w:w="40" w:type="dxa"/>
            <w:vAlign w:val="bottom"/>
          </w:tcPr>
          <w:p>
            <w:pPr>
              <w:spacing w:after="0"/>
              <w:rPr>
                <w:sz w:val="8"/>
                <w:szCs w:val="8"/>
                <w:color w:val="auto"/>
              </w:rPr>
            </w:pP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(73)</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Disposals for the year</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(9)</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color w:val="auto"/>
              </w:rPr>
              <w:t>Exchange rate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9"/>
                <w:szCs w:val="9"/>
                <w:b w:val="1"/>
                <w:bCs w:val="1"/>
                <w:color w:val="auto"/>
              </w:rPr>
              <w:t>Cost at December 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400</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537</w:t>
            </w:r>
          </w:p>
        </w:tc>
        <w:tc>
          <w:tcPr>
            <w:tcW w:w="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52</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9"/>
                <w:szCs w:val="9"/>
                <w:color w:val="auto"/>
              </w:rPr>
              <w:t>Accumulated depreciation and impairment at January 1</w:t>
            </w:r>
          </w:p>
        </w:tc>
        <w:tc>
          <w:tcPr>
            <w:tcW w:w="1160" w:type="dxa"/>
            <w:vAlign w:val="bottom"/>
            <w:gridSpan w:val="2"/>
          </w:tcPr>
          <w:p>
            <w:pPr>
              <w:jc w:val="right"/>
              <w:ind w:right="60"/>
              <w:spacing w:after="0"/>
              <w:rPr>
                <w:sz w:val="20"/>
                <w:szCs w:val="20"/>
                <w:color w:val="auto"/>
              </w:rPr>
            </w:pPr>
            <w:r>
              <w:rPr>
                <w:rFonts w:ascii="Arial" w:cs="Arial" w:eastAsia="Arial" w:hAnsi="Arial"/>
                <w:sz w:val="9"/>
                <w:szCs w:val="9"/>
                <w:color w:val="auto"/>
              </w:rPr>
              <w:t>(43)</w:t>
            </w:r>
          </w:p>
        </w:tc>
        <w:tc>
          <w:tcPr>
            <w:tcW w:w="1140" w:type="dxa"/>
            <w:vAlign w:val="bottom"/>
            <w:gridSpan w:val="2"/>
          </w:tcPr>
          <w:p>
            <w:pPr>
              <w:jc w:val="right"/>
              <w:ind w:right="40"/>
              <w:spacing w:after="0"/>
              <w:rPr>
                <w:sz w:val="20"/>
                <w:szCs w:val="20"/>
                <w:color w:val="auto"/>
              </w:rPr>
            </w:pPr>
            <w:r>
              <w:rPr>
                <w:rFonts w:ascii="Arial" w:cs="Arial" w:eastAsia="Arial" w:hAnsi="Arial"/>
                <w:sz w:val="9"/>
                <w:szCs w:val="9"/>
                <w:color w:val="auto"/>
              </w:rPr>
              <w:t>(221)</w:t>
            </w:r>
          </w:p>
        </w:tc>
        <w:tc>
          <w:tcPr>
            <w:tcW w:w="11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9"/>
                <w:szCs w:val="9"/>
                <w:color w:val="auto"/>
              </w:rPr>
              <w:t>(264)</w:t>
            </w: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Depreciation for the year</w:t>
            </w: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(46)</w:t>
            </w: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(64)</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(110)</w:t>
            </w: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Exchange rate adjustment</w:t>
            </w:r>
          </w:p>
        </w:tc>
        <w:tc>
          <w:tcPr>
            <w:tcW w:w="1160" w:type="dxa"/>
            <w:vAlign w:val="bottom"/>
            <w:gridSpan w:val="2"/>
          </w:tcPr>
          <w:p>
            <w:pPr>
              <w:jc w:val="right"/>
              <w:ind w:right="60"/>
              <w:spacing w:after="0" w:line="100" w:lineRule="exact"/>
              <w:rPr>
                <w:sz w:val="20"/>
                <w:szCs w:val="20"/>
                <w:color w:val="auto"/>
              </w:rPr>
            </w:pPr>
            <w:r>
              <w:rPr>
                <w:rFonts w:ascii="Arial" w:cs="Arial" w:eastAsia="Arial" w:hAnsi="Arial"/>
                <w:sz w:val="9"/>
                <w:szCs w:val="9"/>
                <w:color w:val="auto"/>
              </w:rPr>
              <w:t>(1)</w:t>
            </w:r>
          </w:p>
        </w:tc>
        <w:tc>
          <w:tcPr>
            <w:tcW w:w="1140" w:type="dxa"/>
            <w:vAlign w:val="bottom"/>
            <w:gridSpan w:val="2"/>
          </w:tcPr>
          <w:p>
            <w:pPr>
              <w:jc w:val="right"/>
              <w:ind w:right="40"/>
              <w:spacing w:after="0" w:line="100" w:lineRule="exact"/>
              <w:rPr>
                <w:sz w:val="20"/>
                <w:szCs w:val="20"/>
                <w:color w:val="auto"/>
              </w:rPr>
            </w:pPr>
            <w:r>
              <w:rPr>
                <w:rFonts w:ascii="Arial" w:cs="Arial" w:eastAsia="Arial" w:hAnsi="Arial"/>
                <w:sz w:val="9"/>
                <w:szCs w:val="9"/>
                <w:color w:val="auto"/>
              </w:rPr>
              <w:t>(2)</w:t>
            </w: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120" w:type="dxa"/>
            <w:vAlign w:val="bottom"/>
            <w:gridSpan w:val="2"/>
          </w:tcPr>
          <w:p>
            <w:pPr>
              <w:jc w:val="right"/>
              <w:ind w:right="20"/>
              <w:spacing w:after="0" w:line="100"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color w:val="auto"/>
              </w:rPr>
              <w:t>Accumulated depreciation on disposals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080" w:type="dxa"/>
            <w:vAlign w:val="bottom"/>
          </w:tcPr>
          <w:p>
            <w:pPr>
              <w:spacing w:after="0" w:line="89" w:lineRule="exact"/>
              <w:rPr>
                <w:sz w:val="20"/>
                <w:szCs w:val="20"/>
                <w:color w:val="auto"/>
              </w:rPr>
            </w:pPr>
            <w:r>
              <w:rPr>
                <w:rFonts w:ascii="Arial" w:cs="Arial" w:eastAsia="Arial" w:hAnsi="Arial"/>
                <w:sz w:val="9"/>
                <w:szCs w:val="9"/>
                <w:b w:val="1"/>
                <w:bCs w:val="1"/>
                <w:color w:val="auto"/>
              </w:rPr>
              <w:t>Accumulated depreciation and impairment at December 31</w:t>
            </w: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(90)</w:t>
            </w:r>
          </w:p>
        </w:tc>
        <w:tc>
          <w:tcPr>
            <w:tcW w:w="6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(278)</w:t>
            </w:r>
          </w:p>
        </w:tc>
        <w:tc>
          <w:tcPr>
            <w:tcW w:w="4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11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(368)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b w:val="1"/>
                <w:bCs w:val="1"/>
                <w:color w:val="auto"/>
              </w:rPr>
              <w:t>Carrying amount at December 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310</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259</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52</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4080" w:type="dxa"/>
            <w:vAlign w:val="bottom"/>
            <w:vMerge w:val="restart"/>
          </w:tcPr>
          <w:p>
            <w:pPr>
              <w:spacing w:after="0"/>
              <w:rPr>
                <w:sz w:val="20"/>
                <w:szCs w:val="20"/>
                <w:color w:val="auto"/>
              </w:rPr>
            </w:pPr>
            <w:r>
              <w:rPr>
                <w:rFonts w:ascii="Arial" w:cs="Arial" w:eastAsia="Arial" w:hAnsi="Arial"/>
                <w:sz w:val="9"/>
                <w:szCs w:val="9"/>
                <w:b w:val="1"/>
                <w:bCs w:val="1"/>
                <w:color w:val="auto"/>
              </w:rPr>
              <w:t>(DKK million)</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2022</w:t>
            </w:r>
          </w:p>
        </w:tc>
        <w:tc>
          <w:tcPr>
            <w:tcW w:w="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2021</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b w:val="1"/>
                <w:bCs w:val="1"/>
                <w:color w:val="auto"/>
              </w:rPr>
              <w:t>Depreciation and impairment included in the income statement as follows:</w:t>
            </w: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80" w:type="dxa"/>
            <w:vAlign w:val="bottom"/>
          </w:tcPr>
          <w:p>
            <w:pPr>
              <w:spacing w:after="0" w:line="100" w:lineRule="exact"/>
              <w:rPr>
                <w:sz w:val="20"/>
                <w:szCs w:val="20"/>
                <w:color w:val="auto"/>
              </w:rPr>
            </w:pPr>
            <w:r>
              <w:rPr>
                <w:rFonts w:ascii="Arial" w:cs="Arial" w:eastAsia="Arial" w:hAnsi="Arial"/>
                <w:sz w:val="9"/>
                <w:szCs w:val="9"/>
                <w:color w:val="auto"/>
              </w:rPr>
              <w:t>Research and development expenses</w:t>
            </w: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108</w:t>
            </w:r>
          </w:p>
        </w:tc>
        <w:tc>
          <w:tcPr>
            <w:tcW w:w="4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93</w:t>
            </w:r>
          </w:p>
        </w:tc>
        <w:tc>
          <w:tcPr>
            <w:tcW w:w="60" w:type="dxa"/>
            <w:vAlign w:val="bottom"/>
          </w:tcPr>
          <w:p>
            <w:pPr>
              <w:spacing w:after="0"/>
              <w:rPr>
                <w:sz w:val="8"/>
                <w:szCs w:val="8"/>
                <w:color w:val="auto"/>
              </w:rPr>
            </w:pPr>
          </w:p>
        </w:tc>
        <w:tc>
          <w:tcPr>
            <w:tcW w:w="1100" w:type="dxa"/>
            <w:vAlign w:val="bottom"/>
          </w:tcPr>
          <w:p>
            <w:pPr>
              <w:jc w:val="right"/>
              <w:spacing w:after="0" w:line="100" w:lineRule="exact"/>
              <w:rPr>
                <w:sz w:val="20"/>
                <w:szCs w:val="20"/>
                <w:color w:val="auto"/>
              </w:rPr>
            </w:pPr>
            <w:r>
              <w:rPr>
                <w:rFonts w:ascii="Arial" w:cs="Arial" w:eastAsia="Arial" w:hAnsi="Arial"/>
                <w:sz w:val="9"/>
                <w:szCs w:val="9"/>
                <w:color w:val="auto"/>
              </w:rPr>
              <w:t>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20"/>
                <w:szCs w:val="20"/>
                <w:color w:val="auto"/>
              </w:rPr>
            </w:pPr>
            <w:r>
              <w:rPr>
                <w:rFonts w:ascii="Arial" w:cs="Arial" w:eastAsia="Arial" w:hAnsi="Arial"/>
                <w:sz w:val="9"/>
                <w:szCs w:val="9"/>
                <w:color w:val="auto"/>
              </w:rPr>
              <w:t>Selling, general and administrative expenses</w:t>
            </w: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w:t>
            </w:r>
          </w:p>
        </w:tc>
        <w:tc>
          <w:tcPr>
            <w:tcW w:w="4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9"/>
                <w:szCs w:val="9"/>
                <w:b w:val="1"/>
                <w:bCs w:val="1"/>
                <w:color w:val="auto"/>
              </w:rPr>
              <w:t>Total</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146</w:t>
            </w:r>
          </w:p>
        </w:tc>
        <w:tc>
          <w:tcPr>
            <w:tcW w:w="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110</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left="20" w:right="359"/>
        <w:spacing w:after="0" w:line="273" w:lineRule="auto"/>
        <w:rPr>
          <w:sz w:val="20"/>
          <w:szCs w:val="20"/>
          <w:color w:val="auto"/>
        </w:rPr>
      </w:pPr>
      <w:r>
        <w:rPr>
          <w:rFonts w:ascii="Arial" w:cs="Arial" w:eastAsia="Arial" w:hAnsi="Arial"/>
          <w:sz w:val="12"/>
          <w:szCs w:val="12"/>
          <w:color w:val="auto"/>
        </w:rPr>
        <w:t>Capital expenditures in 2022 and 2021 were primarily related to the expansion of our facilities in the Netherlands and the U.S. to support the growth in our product pipeline.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0" w:lineRule="exact"/>
        <w:rPr>
          <w:sz w:val="20"/>
          <w:szCs w:val="20"/>
          <w:color w:val="auto"/>
        </w:rPr>
      </w:pPr>
    </w:p>
    <w:p>
      <w:pPr>
        <w:ind w:left="20" w:right="239"/>
        <w:spacing w:after="0" w:line="252" w:lineRule="auto"/>
        <w:rPr>
          <w:sz w:val="20"/>
          <w:szCs w:val="20"/>
          <w:color w:val="auto"/>
        </w:rPr>
      </w:pPr>
      <w:r>
        <w:rPr>
          <w:rFonts w:ascii="Arial" w:cs="Arial" w:eastAsia="Arial" w:hAnsi="Arial"/>
          <w:sz w:val="12"/>
          <w:szCs w:val="12"/>
          <w:color w:val="auto"/>
        </w:rPr>
        <w:t>Property and equipment is comprised of leasehold improvements, assets under construction, and equipment, furniture and fixtures, which are measured at cost less accumulated depreciation and any impairment losses.</w:t>
      </w:r>
    </w:p>
    <w:p>
      <w:pPr>
        <w:spacing w:after="0" w:line="115" w:lineRule="exact"/>
        <w:rPr>
          <w:sz w:val="20"/>
          <w:szCs w:val="20"/>
          <w:color w:val="auto"/>
        </w:rPr>
      </w:pPr>
    </w:p>
    <w:p>
      <w:pPr>
        <w:ind w:left="20" w:right="599"/>
        <w:spacing w:after="0" w:line="273" w:lineRule="auto"/>
        <w:rPr>
          <w:sz w:val="20"/>
          <w:szCs w:val="20"/>
          <w:color w:val="auto"/>
        </w:rPr>
      </w:pPr>
      <w:r>
        <w:rPr>
          <w:rFonts w:ascii="Arial" w:cs="Arial" w:eastAsia="Arial" w:hAnsi="Arial"/>
          <w:sz w:val="12"/>
          <w:szCs w:val="12"/>
          <w:color w:val="auto"/>
        </w:rPr>
        <w:t>The cost is comprised of the acquisition price and direct costs related to the acquisition until the asset is ready for use. Costs include direct costs and costs to subcontractors.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8" w:name="page99"/>
    <w:bookmarkEnd w:id="9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DEPRECIATION</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Depreciation is calculated on a straight-line basis to allocate the cost of the assets, net of any residual value, over the estimated useful lives, which are as follows:</w:t>
      </w:r>
    </w:p>
    <w:p>
      <w:pPr>
        <w:spacing w:after="0" w:line="8" w:lineRule="exact"/>
        <w:rPr>
          <w:sz w:val="20"/>
          <w:szCs w:val="20"/>
          <w:color w:val="auto"/>
        </w:rPr>
      </w:pPr>
    </w:p>
    <w:tbl>
      <w:tblPr>
        <w:tblLayout w:type="fixed"/>
        <w:tblInd w:w="1070" w:type="dxa"/>
        <w:tblCellMar>
          <w:top w:w="0" w:type="dxa"/>
          <w:left w:w="0" w:type="dxa"/>
          <w:bottom w:w="0" w:type="dxa"/>
          <w:right w:w="0" w:type="dxa"/>
        </w:tblCellMar>
      </w:tblPr>
      <w:tr>
        <w:trPr>
          <w:trHeight w:val="167"/>
        </w:trPr>
        <w:tc>
          <w:tcPr>
            <w:tcW w:w="3640" w:type="dxa"/>
            <w:vAlign w:val="bottom"/>
            <w:tcBorders>
              <w:top w:val="single" w:sz="8" w:color="029C93"/>
              <w:left w:val="single" w:sz="8" w:color="029C93"/>
              <w:right w:val="single" w:sz="8" w:color="029C93"/>
            </w:tcBorders>
          </w:tcPr>
          <w:p>
            <w:pPr>
              <w:ind w:left="60"/>
              <w:spacing w:after="0"/>
              <w:rPr>
                <w:sz w:val="20"/>
                <w:szCs w:val="20"/>
                <w:color w:val="auto"/>
              </w:rPr>
            </w:pPr>
            <w:r>
              <w:rPr>
                <w:rFonts w:ascii="Arial" w:cs="Arial" w:eastAsia="Arial" w:hAnsi="Arial"/>
                <w:sz w:val="12"/>
                <w:szCs w:val="12"/>
                <w:color w:val="auto"/>
              </w:rPr>
              <w:t>Equipment, furniture and fixtures</w:t>
            </w:r>
          </w:p>
        </w:tc>
        <w:tc>
          <w:tcPr>
            <w:tcW w:w="3280" w:type="dxa"/>
            <w:vAlign w:val="bottom"/>
            <w:tcBorders>
              <w:top w:val="single" w:sz="8" w:color="029C93"/>
              <w:right w:val="single" w:sz="8" w:color="029C93"/>
            </w:tcBorders>
          </w:tcPr>
          <w:p>
            <w:pPr>
              <w:ind w:left="40"/>
              <w:spacing w:after="0"/>
              <w:rPr>
                <w:sz w:val="20"/>
                <w:szCs w:val="20"/>
                <w:color w:val="auto"/>
              </w:rPr>
            </w:pPr>
            <w:r>
              <w:rPr>
                <w:rFonts w:ascii="Arial" w:cs="Arial" w:eastAsia="Arial" w:hAnsi="Arial"/>
                <w:sz w:val="12"/>
                <w:szCs w:val="12"/>
                <w:color w:val="auto"/>
              </w:rPr>
              <w:t>3-5 years</w:t>
            </w:r>
          </w:p>
        </w:tc>
      </w:tr>
      <w:tr>
        <w:trPr>
          <w:trHeight w:val="185"/>
        </w:trPr>
        <w:tc>
          <w:tcPr>
            <w:tcW w:w="3640" w:type="dxa"/>
            <w:vAlign w:val="bottom"/>
            <w:tcBorders>
              <w:left w:val="single" w:sz="8" w:color="029C93"/>
              <w:right w:val="single" w:sz="8" w:color="029C93"/>
            </w:tcBorders>
            <w:shd w:val="clear" w:color="auto" w:fill="E5E5E6"/>
          </w:tcPr>
          <w:p>
            <w:pPr>
              <w:ind w:left="60"/>
              <w:spacing w:after="0"/>
              <w:rPr>
                <w:sz w:val="20"/>
                <w:szCs w:val="20"/>
                <w:color w:val="auto"/>
              </w:rPr>
            </w:pPr>
            <w:r>
              <w:rPr>
                <w:rFonts w:ascii="Arial" w:cs="Arial" w:eastAsia="Arial" w:hAnsi="Arial"/>
                <w:sz w:val="12"/>
                <w:szCs w:val="12"/>
                <w:color w:val="auto"/>
              </w:rPr>
              <w:t>Computer equipment</w:t>
            </w:r>
          </w:p>
        </w:tc>
        <w:tc>
          <w:tcPr>
            <w:tcW w:w="3280" w:type="dxa"/>
            <w:vAlign w:val="bottom"/>
            <w:tcBorders>
              <w:right w:val="single" w:sz="8" w:color="029C93"/>
            </w:tcBorders>
            <w:shd w:val="clear" w:color="auto" w:fill="E5E5E6"/>
          </w:tcPr>
          <w:p>
            <w:pPr>
              <w:ind w:left="40"/>
              <w:spacing w:after="0"/>
              <w:rPr>
                <w:sz w:val="20"/>
                <w:szCs w:val="20"/>
                <w:color w:val="auto"/>
              </w:rPr>
            </w:pPr>
            <w:r>
              <w:rPr>
                <w:rFonts w:ascii="Arial" w:cs="Arial" w:eastAsia="Arial" w:hAnsi="Arial"/>
                <w:sz w:val="12"/>
                <w:szCs w:val="12"/>
                <w:color w:val="auto"/>
              </w:rPr>
              <w:t>3 years</w:t>
            </w:r>
          </w:p>
        </w:tc>
      </w:tr>
      <w:tr>
        <w:trPr>
          <w:trHeight w:val="169"/>
        </w:trPr>
        <w:tc>
          <w:tcPr>
            <w:tcW w:w="3640" w:type="dxa"/>
            <w:vAlign w:val="bottom"/>
            <w:tcBorders>
              <w:left w:val="single" w:sz="8" w:color="029C93"/>
              <w:right w:val="single" w:sz="8" w:color="029C93"/>
            </w:tcBorders>
          </w:tcPr>
          <w:p>
            <w:pPr>
              <w:ind w:left="60"/>
              <w:spacing w:after="0"/>
              <w:rPr>
                <w:sz w:val="20"/>
                <w:szCs w:val="20"/>
                <w:color w:val="auto"/>
              </w:rPr>
            </w:pPr>
            <w:r>
              <w:rPr>
                <w:rFonts w:ascii="Arial" w:cs="Arial" w:eastAsia="Arial" w:hAnsi="Arial"/>
                <w:sz w:val="12"/>
                <w:szCs w:val="12"/>
                <w:color w:val="auto"/>
              </w:rPr>
              <w:t>Leasehold improvements</w:t>
            </w:r>
          </w:p>
        </w:tc>
        <w:tc>
          <w:tcPr>
            <w:tcW w:w="3280" w:type="dxa"/>
            <w:vAlign w:val="bottom"/>
            <w:tcBorders>
              <w:right w:val="single" w:sz="8" w:color="029C93"/>
            </w:tcBorders>
          </w:tcPr>
          <w:p>
            <w:pPr>
              <w:ind w:left="40"/>
              <w:spacing w:after="0"/>
              <w:rPr>
                <w:sz w:val="20"/>
                <w:szCs w:val="20"/>
                <w:color w:val="auto"/>
              </w:rPr>
            </w:pPr>
            <w:r>
              <w:rPr>
                <w:rFonts w:ascii="Arial" w:cs="Arial" w:eastAsia="Arial" w:hAnsi="Arial"/>
                <w:sz w:val="12"/>
                <w:szCs w:val="12"/>
                <w:color w:val="auto"/>
              </w:rPr>
              <w:t>15 years</w:t>
            </w:r>
          </w:p>
        </w:tc>
      </w:tr>
      <w:tr>
        <w:trPr>
          <w:trHeight w:val="168"/>
        </w:trPr>
        <w:tc>
          <w:tcPr>
            <w:tcW w:w="3640" w:type="dxa"/>
            <w:vAlign w:val="bottom"/>
            <w:tcBorders>
              <w:left w:val="single" w:sz="8" w:color="029C93"/>
              <w:bottom w:val="single" w:sz="8" w:color="029C93"/>
              <w:right w:val="single" w:sz="8" w:color="029C93"/>
            </w:tcBorders>
          </w:tcPr>
          <w:p>
            <w:pPr>
              <w:spacing w:after="0"/>
              <w:rPr>
                <w:sz w:val="14"/>
                <w:szCs w:val="14"/>
                <w:color w:val="auto"/>
              </w:rPr>
            </w:pPr>
          </w:p>
        </w:tc>
        <w:tc>
          <w:tcPr>
            <w:tcW w:w="3280" w:type="dxa"/>
            <w:vAlign w:val="bottom"/>
            <w:tcBorders>
              <w:bottom w:val="single" w:sz="8" w:color="029C93"/>
              <w:right w:val="single" w:sz="8" w:color="029C93"/>
            </w:tcBorders>
          </w:tcPr>
          <w:p>
            <w:pPr>
              <w:ind w:left="40"/>
              <w:spacing w:after="0"/>
              <w:rPr>
                <w:sz w:val="20"/>
                <w:szCs w:val="20"/>
                <w:color w:val="auto"/>
              </w:rPr>
            </w:pPr>
            <w:r>
              <w:rPr>
                <w:rFonts w:ascii="Arial" w:cs="Arial" w:eastAsia="Arial" w:hAnsi="Arial"/>
                <w:sz w:val="12"/>
                <w:szCs w:val="12"/>
                <w:color w:val="auto"/>
              </w:rPr>
              <w:t>or the lease term, if shorter</w:t>
            </w:r>
          </w:p>
        </w:tc>
      </w:tr>
    </w:tbl>
    <w:p>
      <w:pPr>
        <w:spacing w:after="0" w:line="123"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Depreciation commences when the asset is available for use, including when it is in the location and condition necessary for it to be capable of operating in the manner intended by management. The useful lives and residual values are reviewed and adjusted if appropriate on a yearly basis. Assets under construction are not depreciated.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IMPAIRMENT</w:t>
      </w:r>
    </w:p>
    <w:p>
      <w:pPr>
        <w:spacing w:after="0" w:line="10" w:lineRule="exact"/>
        <w:rPr>
          <w:sz w:val="20"/>
          <w:szCs w:val="20"/>
          <w:color w:val="auto"/>
        </w:rPr>
      </w:pPr>
    </w:p>
    <w:p>
      <w:pPr>
        <w:ind w:left="20" w:right="239"/>
        <w:spacing w:after="0" w:line="252" w:lineRule="auto"/>
        <w:rPr>
          <w:sz w:val="20"/>
          <w:szCs w:val="20"/>
          <w:color w:val="auto"/>
        </w:rPr>
      </w:pPr>
      <w:r>
        <w:rPr>
          <w:rFonts w:ascii="Arial" w:cs="Arial" w:eastAsia="Arial" w:hAnsi="Arial"/>
          <w:sz w:val="12"/>
          <w:szCs w:val="12"/>
          <w:color w:val="auto"/>
        </w:rPr>
        <w:t>If circumstances or changes in Genmab’s operations indicate that the carrying amount of property and equipment may not be recoverable, management reviews the asset for impairment.</w:t>
      </w:r>
    </w:p>
    <w:p>
      <w:pPr>
        <w:spacing w:after="0" w:line="115" w:lineRule="exact"/>
        <w:rPr>
          <w:sz w:val="20"/>
          <w:szCs w:val="20"/>
          <w:color w:val="auto"/>
        </w:rPr>
      </w:pPr>
    </w:p>
    <w:p>
      <w:pPr>
        <w:ind w:left="20" w:right="79"/>
        <w:spacing w:after="0" w:line="273" w:lineRule="auto"/>
        <w:rPr>
          <w:sz w:val="20"/>
          <w:szCs w:val="20"/>
          <w:color w:val="auto"/>
        </w:rPr>
      </w:pPr>
      <w:r>
        <w:rPr>
          <w:rFonts w:ascii="Arial" w:cs="Arial" w:eastAsia="Arial" w:hAnsi="Arial"/>
          <w:sz w:val="12"/>
          <w:szCs w:val="12"/>
          <w:color w:val="auto"/>
        </w:rPr>
        <w:t>The basis for the review is the recoverable amount of the asset, determined as the greater of the fair value less cost to sell or its value in use. Value in use is calculated as the net present value of future cash inflow generated from the asset.</w:t>
      </w:r>
    </w:p>
    <w:p>
      <w:pPr>
        <w:spacing w:after="0" w:line="10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If the carrying amount of an asset is greater than the recoverable amount, the asset is written down to the recoverable amount. An impairment loss is recognized in the income statement when the impairment is identified.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3.3 - Leases</w:t>
      </w:r>
    </w:p>
    <w:p>
      <w:pPr>
        <w:spacing w:after="0" w:line="141" w:lineRule="exact"/>
        <w:rPr>
          <w:sz w:val="20"/>
          <w:szCs w:val="20"/>
          <w:color w:val="auto"/>
        </w:rPr>
      </w:pPr>
    </w:p>
    <w:p>
      <w:pPr>
        <w:ind w:left="20" w:right="539"/>
        <w:spacing w:after="0" w:line="273" w:lineRule="auto"/>
        <w:rPr>
          <w:sz w:val="20"/>
          <w:szCs w:val="20"/>
          <w:color w:val="auto"/>
        </w:rPr>
      </w:pPr>
      <w:r>
        <w:rPr>
          <w:rFonts w:ascii="Arial" w:cs="Arial" w:eastAsia="Arial" w:hAnsi="Arial"/>
          <w:sz w:val="12"/>
          <w:szCs w:val="12"/>
          <w:color w:val="auto"/>
        </w:rPr>
        <w:t>Genmab has entered into lease agreements with respect to office and laboratory space, and IT equipment. The expense, lease liability, and right-of-use assets balances related to IT equipment are immaterial. The leases are non-cancellable over various periods through 2038.</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99" w:name="page100"/>
    <w:bookmarkEnd w:id="9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180" w:type="dxa"/>
            <w:vAlign w:val="bottom"/>
          </w:tcPr>
          <w:p>
            <w:pPr>
              <w:jc w:val="center"/>
              <w:ind w:left="220"/>
              <w:spacing w:after="0"/>
              <w:rPr>
                <w:sz w:val="20"/>
                <w:szCs w:val="20"/>
                <w:color w:val="auto"/>
              </w:rPr>
            </w:pPr>
            <w:r>
              <w:rPr>
                <w:rFonts w:ascii="Arial" w:cs="Arial" w:eastAsia="Arial" w:hAnsi="Arial"/>
                <w:sz w:val="12"/>
                <w:szCs w:val="12"/>
                <w:b w:val="1"/>
                <w:bCs w:val="1"/>
                <w:color w:val="auto"/>
                <w:w w:val="99"/>
              </w:rPr>
              <w:t>December 31,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ind w:left="220"/>
              <w:spacing w:after="0"/>
              <w:rPr>
                <w:sz w:val="20"/>
                <w:szCs w:val="20"/>
                <w:color w:val="auto"/>
              </w:rPr>
            </w:pPr>
            <w:r>
              <w:rPr>
                <w:rFonts w:ascii="Arial" w:cs="Arial" w:eastAsia="Arial" w:hAnsi="Arial"/>
                <w:sz w:val="12"/>
                <w:szCs w:val="12"/>
                <w:b w:val="1"/>
                <w:bCs w:val="1"/>
                <w:color w:val="auto"/>
                <w:w w:val="99"/>
              </w:rPr>
              <w:t>December 31,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ind w:right="2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180" w:type="dxa"/>
            <w:vAlign w:val="bottom"/>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15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397"/>
        </w:trPr>
        <w:tc>
          <w:tcPr>
            <w:tcW w:w="4240" w:type="dxa"/>
            <w:vAlign w:val="bottom"/>
          </w:tcPr>
          <w:p>
            <w:pPr>
              <w:spacing w:after="0"/>
              <w:rPr>
                <w:sz w:val="20"/>
                <w:szCs w:val="20"/>
                <w:color w:val="auto"/>
              </w:rPr>
            </w:pPr>
            <w:r>
              <w:rPr>
                <w:rFonts w:ascii="Arial" w:cs="Arial" w:eastAsia="Arial" w:hAnsi="Arial"/>
                <w:sz w:val="11"/>
                <w:szCs w:val="11"/>
                <w:b w:val="1"/>
                <w:bCs w:val="1"/>
                <w:color w:val="auto"/>
              </w:rPr>
              <w:t>Right-of-use assets</w:t>
            </w: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354</w:t>
            </w: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283</w:t>
            </w:r>
          </w:p>
        </w:tc>
        <w:tc>
          <w:tcPr>
            <w:tcW w:w="60" w:type="dxa"/>
            <w:vAlign w:val="bottom"/>
          </w:tcPr>
          <w:p>
            <w:pPr>
              <w:spacing w:after="0"/>
              <w:rPr>
                <w:sz w:val="24"/>
                <w:szCs w:val="24"/>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23"/>
        </w:trPr>
        <w:tc>
          <w:tcPr>
            <w:tcW w:w="4240" w:type="dxa"/>
            <w:vAlign w:val="bottom"/>
          </w:tcPr>
          <w:p>
            <w:pPr>
              <w:spacing w:after="0" w:line="123" w:lineRule="exact"/>
              <w:rPr>
                <w:sz w:val="20"/>
                <w:szCs w:val="20"/>
                <w:color w:val="auto"/>
              </w:rPr>
            </w:pPr>
            <w:r>
              <w:rPr>
                <w:rFonts w:ascii="Arial" w:cs="Arial" w:eastAsia="Arial" w:hAnsi="Arial"/>
                <w:sz w:val="11"/>
                <w:szCs w:val="11"/>
                <w:color w:val="auto"/>
              </w:rPr>
              <w:t>Balance at January 1</w:t>
            </w:r>
          </w:p>
        </w:tc>
        <w:tc>
          <w:tcPr>
            <w:tcW w:w="1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240" w:type="dxa"/>
            <w:vAlign w:val="bottom"/>
          </w:tcPr>
          <w:p>
            <w:pPr>
              <w:spacing w:after="0" w:line="136" w:lineRule="exact"/>
              <w:rPr>
                <w:sz w:val="20"/>
                <w:szCs w:val="20"/>
                <w:color w:val="auto"/>
              </w:rPr>
            </w:pPr>
            <w:r>
              <w:rPr>
                <w:rFonts w:ascii="Arial" w:cs="Arial" w:eastAsia="Arial" w:hAnsi="Arial"/>
                <w:sz w:val="10"/>
                <w:szCs w:val="10"/>
                <w:color w:val="auto"/>
              </w:rPr>
              <w:t>Additions to right-of-use assets</w:t>
            </w:r>
            <w:r>
              <w:rPr>
                <w:rFonts w:ascii="Arial" w:cs="Arial" w:eastAsia="Arial" w:hAnsi="Arial"/>
                <w:sz w:val="15"/>
                <w:szCs w:val="15"/>
                <w:color w:val="auto"/>
                <w:vertAlign w:val="superscript"/>
              </w:rPr>
              <w:t>1</w:t>
            </w:r>
          </w:p>
        </w:tc>
        <w:tc>
          <w:tcPr>
            <w:tcW w:w="1180" w:type="dxa"/>
            <w:vAlign w:val="bottom"/>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243</w:t>
            </w: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Arial" w:cs="Arial" w:eastAsia="Arial" w:hAnsi="Arial"/>
                <w:sz w:val="11"/>
                <w:szCs w:val="11"/>
                <w:color w:val="auto"/>
              </w:rPr>
              <w:t>Depreciation charge for the year</w:t>
            </w:r>
          </w:p>
        </w:tc>
        <w:tc>
          <w:tcPr>
            <w:tcW w:w="118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(74)</w:t>
            </w:r>
          </w:p>
        </w:tc>
        <w:tc>
          <w:tcPr>
            <w:tcW w:w="118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(56)</w:t>
            </w:r>
          </w:p>
        </w:tc>
        <w:tc>
          <w:tcPr>
            <w:tcW w:w="136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397"/>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at December 31</w:t>
            </w:r>
          </w:p>
        </w:tc>
        <w:tc>
          <w:tcPr>
            <w:tcW w:w="11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523</w:t>
            </w:r>
          </w:p>
        </w:tc>
        <w:tc>
          <w:tcPr>
            <w:tcW w:w="60" w:type="dxa"/>
            <w:vAlign w:val="bottom"/>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354</w:t>
            </w:r>
          </w:p>
        </w:tc>
        <w:tc>
          <w:tcPr>
            <w:tcW w:w="6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283</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0"/>
                <w:szCs w:val="20"/>
                <w:color w:val="auto"/>
              </w:rPr>
            </w:pPr>
            <w:r>
              <w:rPr>
                <w:rFonts w:ascii="Arial" w:cs="Arial" w:eastAsia="Arial" w:hAnsi="Arial"/>
                <w:sz w:val="11"/>
                <w:szCs w:val="11"/>
                <w:b w:val="1"/>
                <w:bCs w:val="1"/>
                <w:color w:val="auto"/>
              </w:rPr>
              <w:t>Lease liabilities</w:t>
            </w:r>
          </w:p>
        </w:tc>
        <w:tc>
          <w:tcPr>
            <w:tcW w:w="1180" w:type="dxa"/>
            <w:vAlign w:val="bottom"/>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74</w:t>
            </w: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62</w:t>
            </w:r>
          </w:p>
        </w:tc>
        <w:tc>
          <w:tcPr>
            <w:tcW w:w="6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23"/>
        </w:trPr>
        <w:tc>
          <w:tcPr>
            <w:tcW w:w="4240" w:type="dxa"/>
            <w:vAlign w:val="bottom"/>
          </w:tcPr>
          <w:p>
            <w:pPr>
              <w:spacing w:after="0" w:line="123" w:lineRule="exact"/>
              <w:rPr>
                <w:sz w:val="20"/>
                <w:szCs w:val="20"/>
                <w:color w:val="auto"/>
              </w:rPr>
            </w:pPr>
            <w:r>
              <w:rPr>
                <w:rFonts w:ascii="Arial" w:cs="Arial" w:eastAsia="Arial" w:hAnsi="Arial"/>
                <w:sz w:val="11"/>
                <w:szCs w:val="11"/>
                <w:color w:val="auto"/>
              </w:rPr>
              <w:t>Current</w:t>
            </w:r>
          </w:p>
        </w:tc>
        <w:tc>
          <w:tcPr>
            <w:tcW w:w="1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Arial" w:cs="Arial" w:eastAsia="Arial" w:hAnsi="Arial"/>
                <w:sz w:val="11"/>
                <w:szCs w:val="11"/>
                <w:color w:val="auto"/>
              </w:rPr>
              <w:t>Non-current</w:t>
            </w: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w:t>
            </w:r>
          </w:p>
        </w:tc>
        <w:tc>
          <w:tcPr>
            <w:tcW w:w="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c>
          <w:tcPr>
            <w:tcW w:w="6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w:t>
            </w:r>
          </w:p>
        </w:tc>
        <w:tc>
          <w:tcPr>
            <w:tcW w:w="0" w:type="dxa"/>
            <w:vAlign w:val="bottom"/>
          </w:tcPr>
          <w:p>
            <w:pPr>
              <w:spacing w:after="0"/>
              <w:rPr>
                <w:sz w:val="1"/>
                <w:szCs w:val="1"/>
                <w:color w:val="auto"/>
              </w:rPr>
            </w:pPr>
          </w:p>
        </w:tc>
      </w:tr>
      <w:tr>
        <w:trPr>
          <w:trHeight w:val="251"/>
        </w:trPr>
        <w:tc>
          <w:tcPr>
            <w:tcW w:w="4240" w:type="dxa"/>
            <w:vAlign w:val="bottom"/>
          </w:tcPr>
          <w:p>
            <w:pPr>
              <w:spacing w:after="0"/>
              <w:rPr>
                <w:sz w:val="20"/>
                <w:szCs w:val="20"/>
                <w:color w:val="auto"/>
              </w:rPr>
            </w:pPr>
            <w:r>
              <w:rPr>
                <w:rFonts w:ascii="Arial" w:cs="Arial" w:eastAsia="Arial" w:hAnsi="Arial"/>
                <w:sz w:val="11"/>
                <w:szCs w:val="11"/>
                <w:b w:val="1"/>
                <w:bCs w:val="1"/>
                <w:color w:val="auto"/>
              </w:rPr>
              <w:t>Total lease liabilities</w:t>
            </w: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597</w:t>
            </w: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425</w:t>
            </w: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2"/>
                <w:szCs w:val="12"/>
                <w:b w:val="1"/>
                <w:bCs w:val="1"/>
                <w:color w:val="auto"/>
              </w:rPr>
              <w:t>319</w:t>
            </w:r>
          </w:p>
        </w:tc>
        <w:tc>
          <w:tcPr>
            <w:tcW w:w="0" w:type="dxa"/>
            <w:vAlign w:val="bottom"/>
          </w:tcPr>
          <w:p>
            <w:pPr>
              <w:spacing w:after="0"/>
              <w:rPr>
                <w:sz w:val="1"/>
                <w:szCs w:val="1"/>
                <w:color w:val="auto"/>
              </w:rPr>
            </w:pPr>
          </w:p>
        </w:tc>
      </w:tr>
    </w:tbl>
    <w:p>
      <w:pPr>
        <w:ind w:left="20" w:right="4879" w:firstLine="2"/>
        <w:spacing w:after="0" w:line="236" w:lineRule="auto"/>
        <w:tabs>
          <w:tab w:leader="none" w:pos="142" w:val="left"/>
        </w:tabs>
        <w:numPr>
          <w:ilvl w:val="0"/>
          <w:numId w:val="82"/>
        </w:numPr>
        <w:rPr>
          <w:rFonts w:ascii="Arial" w:cs="Arial" w:eastAsia="Arial" w:hAnsi="Arial"/>
          <w:sz w:val="8"/>
          <w:szCs w:val="8"/>
          <w:color w:val="auto"/>
        </w:rPr>
      </w:pPr>
      <w:r>
        <w:rPr>
          <w:rFonts w:ascii="Arial" w:cs="Arial" w:eastAsia="Arial" w:hAnsi="Arial"/>
          <w:sz w:val="8"/>
          <w:szCs w:val="8"/>
          <w:color w:val="auto"/>
        </w:rPr>
        <w:t>Additions to right-of-use assets also includes modifications to existing leases and adjustments to the provisions for contractual restoration obligations related to leases of Genmab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-107950</wp:posOffset>
            </wp:positionV>
            <wp:extent cx="27914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1460" cy="5715"/>
                    </a:xfrm>
                    <a:prstGeom prst="rect">
                      <a:avLst/>
                    </a:prstGeom>
                    <a:noFill/>
                  </pic:spPr>
                </pic:pic>
              </a:graphicData>
            </a:graphic>
          </wp:anchor>
        </w:drawing>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4240" w:type="dxa"/>
            <w:vAlign w:val="bottom"/>
          </w:tcPr>
          <w:p>
            <w:pPr>
              <w:spacing w:after="0"/>
              <w:rPr>
                <w:sz w:val="20"/>
                <w:szCs w:val="20"/>
                <w:color w:val="auto"/>
              </w:rPr>
            </w:pPr>
            <w:r>
              <w:rPr>
                <w:rFonts w:ascii="Arial" w:cs="Arial" w:eastAsia="Arial" w:hAnsi="Arial"/>
                <w:sz w:val="11"/>
                <w:szCs w:val="11"/>
                <w:b w:val="1"/>
                <w:bCs w:val="1"/>
                <w:color w:val="auto"/>
              </w:rPr>
              <w:t>Cash outflow for lease payments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w:t>
            </w:r>
          </w:p>
        </w:tc>
        <w:tc>
          <w:tcPr>
            <w:tcW w:w="6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70</w:t>
            </w:r>
          </w:p>
        </w:tc>
        <w:tc>
          <w:tcPr>
            <w:tcW w:w="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w:t>
            </w:r>
          </w:p>
        </w:tc>
      </w:tr>
    </w:tbl>
    <w:p>
      <w:pPr>
        <w:spacing w:after="0" w:line="3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Variable lease payments, short-term leases, lease interest expense, and sublease income are immaterial.</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Future minimum payments under leases as of December 31, 2022, December 31, 2021, and December 31, 2020,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40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5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2"/>
                <w:szCs w:val="12"/>
                <w:color w:val="auto"/>
              </w:rPr>
            </w:pPr>
          </w:p>
        </w:tc>
        <w:tc>
          <w:tcPr>
            <w:tcW w:w="15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14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r>
      <w:tr>
        <w:trPr>
          <w:trHeight w:val="248"/>
        </w:trPr>
        <w:tc>
          <w:tcPr>
            <w:tcW w:w="4400" w:type="dxa"/>
            <w:vAlign w:val="bottom"/>
          </w:tcPr>
          <w:p>
            <w:pPr>
              <w:spacing w:after="0"/>
              <w:rPr>
                <w:sz w:val="20"/>
                <w:szCs w:val="20"/>
                <w:color w:val="auto"/>
              </w:rPr>
            </w:pPr>
            <w:r>
              <w:rPr>
                <w:rFonts w:ascii="Arial" w:cs="Arial" w:eastAsia="Arial" w:hAnsi="Arial"/>
                <w:sz w:val="12"/>
                <w:szCs w:val="12"/>
                <w:b w:val="1"/>
                <w:bCs w:val="1"/>
                <w:color w:val="auto"/>
              </w:rPr>
              <w:t>Payment due</w:t>
            </w: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36"/>
        </w:trPr>
        <w:tc>
          <w:tcPr>
            <w:tcW w:w="4400" w:type="dxa"/>
            <w:vAlign w:val="bottom"/>
          </w:tcPr>
          <w:p>
            <w:pPr>
              <w:spacing w:after="0" w:line="136" w:lineRule="exact"/>
              <w:rPr>
                <w:sz w:val="20"/>
                <w:szCs w:val="20"/>
                <w:color w:val="auto"/>
              </w:rPr>
            </w:pPr>
            <w:r>
              <w:rPr>
                <w:rFonts w:ascii="Arial" w:cs="Arial" w:eastAsia="Arial" w:hAnsi="Arial"/>
                <w:sz w:val="12"/>
                <w:szCs w:val="12"/>
                <w:color w:val="auto"/>
              </w:rPr>
              <w:t>Less than 1 year</w:t>
            </w: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89</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53</w:t>
            </w:r>
          </w:p>
        </w:tc>
      </w:tr>
      <w:tr>
        <w:trPr>
          <w:trHeight w:val="136"/>
        </w:trPr>
        <w:tc>
          <w:tcPr>
            <w:tcW w:w="4400" w:type="dxa"/>
            <w:vAlign w:val="bottom"/>
          </w:tcPr>
          <w:p>
            <w:pPr>
              <w:spacing w:after="0" w:line="136" w:lineRule="exact"/>
              <w:rPr>
                <w:sz w:val="20"/>
                <w:szCs w:val="20"/>
                <w:color w:val="auto"/>
              </w:rPr>
            </w:pPr>
            <w:r>
              <w:rPr>
                <w:rFonts w:ascii="Arial" w:cs="Arial" w:eastAsia="Arial" w:hAnsi="Arial"/>
                <w:sz w:val="12"/>
                <w:szCs w:val="12"/>
                <w:color w:val="auto"/>
              </w:rPr>
              <w:t>1 to 3 years</w:t>
            </w: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167</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109</w:t>
            </w:r>
          </w:p>
        </w:tc>
        <w:tc>
          <w:tcPr>
            <w:tcW w:w="6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85</w:t>
            </w:r>
          </w:p>
        </w:tc>
      </w:tr>
      <w:tr>
        <w:trPr>
          <w:trHeight w:val="136"/>
        </w:trPr>
        <w:tc>
          <w:tcPr>
            <w:tcW w:w="4400" w:type="dxa"/>
            <w:vAlign w:val="bottom"/>
          </w:tcPr>
          <w:p>
            <w:pPr>
              <w:spacing w:after="0" w:line="136" w:lineRule="exact"/>
              <w:rPr>
                <w:sz w:val="20"/>
                <w:szCs w:val="20"/>
                <w:color w:val="auto"/>
              </w:rPr>
            </w:pPr>
            <w:r>
              <w:rPr>
                <w:rFonts w:ascii="Arial" w:cs="Arial" w:eastAsia="Arial" w:hAnsi="Arial"/>
                <w:sz w:val="12"/>
                <w:szCs w:val="12"/>
                <w:color w:val="auto"/>
              </w:rPr>
              <w:t>More than 3 years but less than 5 years</w:t>
            </w: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136</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97</w:t>
            </w:r>
          </w:p>
        </w:tc>
        <w:tc>
          <w:tcPr>
            <w:tcW w:w="6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62</w:t>
            </w:r>
          </w:p>
        </w:tc>
      </w:tr>
      <w:tr>
        <w:trPr>
          <w:trHeight w:val="149"/>
        </w:trPr>
        <w:tc>
          <w:tcPr>
            <w:tcW w:w="4400" w:type="dxa"/>
            <w:vAlign w:val="bottom"/>
          </w:tcPr>
          <w:p>
            <w:pPr>
              <w:spacing w:after="0"/>
              <w:rPr>
                <w:sz w:val="20"/>
                <w:szCs w:val="20"/>
                <w:color w:val="auto"/>
              </w:rPr>
            </w:pPr>
            <w:r>
              <w:rPr>
                <w:rFonts w:ascii="Arial" w:cs="Arial" w:eastAsia="Arial" w:hAnsi="Arial"/>
                <w:sz w:val="12"/>
                <w:szCs w:val="12"/>
                <w:color w:val="auto"/>
              </w:rPr>
              <w:t>More than 5 years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6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w:t>
            </w:r>
          </w:p>
        </w:tc>
        <w:tc>
          <w:tcPr>
            <w:tcW w:w="6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r>
      <w:tr>
        <w:trPr>
          <w:trHeight w:val="261"/>
        </w:trPr>
        <w:tc>
          <w:tcPr>
            <w:tcW w:w="4400" w:type="dxa"/>
            <w:vAlign w:val="bottom"/>
          </w:tcPr>
          <w:p>
            <w:pPr>
              <w:spacing w:after="0"/>
              <w:rPr>
                <w:sz w:val="20"/>
                <w:szCs w:val="20"/>
                <w:color w:val="auto"/>
              </w:rPr>
            </w:pPr>
            <w:r>
              <w:rPr>
                <w:rFonts w:ascii="Arial" w:cs="Arial" w:eastAsia="Arial" w:hAnsi="Arial"/>
                <w:sz w:val="12"/>
                <w:szCs w:val="12"/>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663</w:t>
            </w:r>
          </w:p>
        </w:tc>
        <w:tc>
          <w:tcPr>
            <w:tcW w:w="6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487</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394</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Future minimum payments under our leases with commencement dates after December 31, 2022 are not included in the table above.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Significant Leases Not Yet Commenced</w:t>
      </w:r>
    </w:p>
    <w:p>
      <w:pPr>
        <w:spacing w:after="0" w:line="10" w:lineRule="exact"/>
        <w:rPr>
          <w:sz w:val="20"/>
          <w:szCs w:val="20"/>
          <w:color w:val="auto"/>
        </w:rPr>
      </w:pPr>
    </w:p>
    <w:p>
      <w:pPr>
        <w:ind w:left="20" w:right="59"/>
        <w:spacing w:after="0" w:line="244" w:lineRule="auto"/>
        <w:rPr>
          <w:sz w:val="20"/>
          <w:szCs w:val="20"/>
          <w:color w:val="auto"/>
        </w:rPr>
      </w:pPr>
      <w:r>
        <w:rPr>
          <w:rFonts w:ascii="Arial" w:cs="Arial" w:eastAsia="Arial" w:hAnsi="Arial"/>
          <w:sz w:val="12"/>
          <w:szCs w:val="12"/>
          <w:color w:val="auto"/>
        </w:rPr>
        <w:t>During 2020, Genmab entered into a lease agreement with respect to the new headquarters in Denmark with a commencement date in March 2023 and is non-cancellable until March 2038. The total future minimum payments over the term of the lease are approximately DKK 339 million and estimated capital expenditures to fit out the space are approximately DKK 128 million.</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0" w:name="page101"/>
    <w:bookmarkEnd w:id="10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All leases are recognized in the balance sheet as a right-of-use (“ROU”) asset with a corresponding lease liability, except for short-term leases in which the term is 12 months or less, or low-value leases.</w:t>
      </w:r>
    </w:p>
    <w:p>
      <w:pPr>
        <w:spacing w:after="0" w:line="103" w:lineRule="exact"/>
        <w:rPr>
          <w:sz w:val="20"/>
          <w:szCs w:val="20"/>
          <w:color w:val="auto"/>
        </w:rPr>
      </w:pPr>
    </w:p>
    <w:p>
      <w:pPr>
        <w:ind w:left="20" w:right="79"/>
        <w:spacing w:after="0" w:line="248" w:lineRule="auto"/>
        <w:rPr>
          <w:sz w:val="20"/>
          <w:szCs w:val="20"/>
          <w:color w:val="auto"/>
        </w:rPr>
      </w:pPr>
      <w:r>
        <w:rPr>
          <w:rFonts w:ascii="Arial" w:cs="Arial" w:eastAsia="Arial" w:hAnsi="Arial"/>
          <w:sz w:val="12"/>
          <w:szCs w:val="12"/>
          <w:color w:val="auto"/>
        </w:rPr>
        <w:t>ROU assets represent Genmab’s right to use an underlying asset for the lease term and lease liabilities represent Genmab’s obligation to make lease payments arising from the lease. The ROU asset is depreciated over the shorter of the asset’s useful life or the lease term on a straight-line basis. In the income statement, lease costs are replaced by depreciation of the ROU asset recognized over the lease term in operating expenses, and interest expenses related to the lease liability are classified in financial items.</w:t>
      </w:r>
    </w:p>
    <w:p>
      <w:pPr>
        <w:spacing w:after="0" w:line="119" w:lineRule="exact"/>
        <w:rPr>
          <w:sz w:val="20"/>
          <w:szCs w:val="20"/>
          <w:color w:val="auto"/>
        </w:rPr>
      </w:pPr>
    </w:p>
    <w:p>
      <w:pPr>
        <w:ind w:left="20" w:right="439"/>
        <w:spacing w:after="0" w:line="273" w:lineRule="auto"/>
        <w:rPr>
          <w:sz w:val="20"/>
          <w:szCs w:val="20"/>
          <w:color w:val="auto"/>
        </w:rPr>
      </w:pPr>
      <w:r>
        <w:rPr>
          <w:rFonts w:ascii="Arial" w:cs="Arial" w:eastAsia="Arial" w:hAnsi="Arial"/>
          <w:sz w:val="12"/>
          <w:szCs w:val="12"/>
          <w:color w:val="auto"/>
        </w:rPr>
        <w:t>Genmab determines if an arrangement is a lease at inception. Genmab leases various properties and IT equipment. Rental contracts are typically made for fixed periods. Lease terms are negotiated on an individual basis and contain a wide range of terms and conditions.</w:t>
      </w:r>
    </w:p>
    <w:p>
      <w:pPr>
        <w:spacing w:after="0" w:line="103" w:lineRule="exact"/>
        <w:rPr>
          <w:sz w:val="20"/>
          <w:szCs w:val="20"/>
          <w:color w:val="auto"/>
        </w:rPr>
      </w:pPr>
    </w:p>
    <w:p>
      <w:pPr>
        <w:ind w:left="20" w:right="79"/>
        <w:spacing w:after="0" w:line="243" w:lineRule="auto"/>
        <w:rPr>
          <w:sz w:val="20"/>
          <w:szCs w:val="20"/>
          <w:color w:val="auto"/>
        </w:rPr>
      </w:pPr>
      <w:r>
        <w:rPr>
          <w:rFonts w:ascii="Arial" w:cs="Arial" w:eastAsia="Arial" w:hAnsi="Arial"/>
          <w:sz w:val="12"/>
          <w:szCs w:val="12"/>
          <w:color w:val="auto"/>
        </w:rPr>
        <w:t>Assets and liabilities arising from a lease are initially measured on a present value basis. Lease liabilities include the net present value of fixed payments, less any lease incentives. As Genmab’s leases generally do not provide an implicit interest rate, Genmab uses an incremental borrowing rate based on the information available at the commencement date of the lease in determining the present value of lease payments. Lease terms utilized by Genmab may include options to extend or terminate the lease when it is reasonably certain that Genmab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w:t>
      </w:r>
    </w:p>
    <w:p>
      <w:pPr>
        <w:spacing w:after="0" w:line="12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ROU assets are measured at cost and include the amount of the initial measurement of the lease liability, any lease payments made at or before the commencement date less any lease incentives received, any initial direct costs, and restoration costs.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Payments associated with short-term leases and leases of low-value assets are recognized on a straight-line basis as an expense in the income statement.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3.4 - Other Investments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460" w:type="dxa"/>
            <w:vAlign w:val="bottom"/>
          </w:tcPr>
          <w:p>
            <w:pPr>
              <w:spacing w:after="0"/>
              <w:rPr>
                <w:sz w:val="12"/>
                <w:szCs w:val="12"/>
                <w:color w:val="auto"/>
              </w:rPr>
            </w:pPr>
          </w:p>
        </w:tc>
        <w:tc>
          <w:tcPr>
            <w:tcW w:w="1220" w:type="dxa"/>
            <w:vAlign w:val="bottom"/>
          </w:tcPr>
          <w:p>
            <w:pPr>
              <w:jc w:val="center"/>
              <w:ind w:left="240"/>
              <w:spacing w:after="0"/>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right"/>
              <w:ind w:right="460"/>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546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2021</w:t>
            </w:r>
          </w:p>
        </w:tc>
      </w:tr>
      <w:tr>
        <w:trPr>
          <w:trHeight w:val="384"/>
        </w:trPr>
        <w:tc>
          <w:tcPr>
            <w:tcW w:w="5460" w:type="dxa"/>
            <w:vAlign w:val="bottom"/>
          </w:tcPr>
          <w:p>
            <w:pPr>
              <w:spacing w:after="0"/>
              <w:rPr>
                <w:sz w:val="20"/>
                <w:szCs w:val="20"/>
                <w:color w:val="auto"/>
              </w:rPr>
            </w:pPr>
            <w:r>
              <w:rPr>
                <w:rFonts w:ascii="Arial" w:cs="Arial" w:eastAsia="Arial" w:hAnsi="Arial"/>
                <w:sz w:val="12"/>
                <w:szCs w:val="12"/>
                <w:color w:val="auto"/>
              </w:rPr>
              <w:t>Publicly traded equity securities</w:t>
            </w:r>
          </w:p>
        </w:tc>
        <w:tc>
          <w:tcPr>
            <w:tcW w:w="1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67</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344</w:t>
            </w:r>
          </w:p>
        </w:tc>
      </w:tr>
      <w:tr>
        <w:trPr>
          <w:trHeight w:val="149"/>
        </w:trPr>
        <w:tc>
          <w:tcPr>
            <w:tcW w:w="5460" w:type="dxa"/>
            <w:vAlign w:val="bottom"/>
          </w:tcPr>
          <w:p>
            <w:pPr>
              <w:spacing w:after="0"/>
              <w:rPr>
                <w:sz w:val="20"/>
                <w:szCs w:val="20"/>
                <w:color w:val="auto"/>
              </w:rPr>
            </w:pPr>
            <w:r>
              <w:rPr>
                <w:rFonts w:ascii="Arial" w:cs="Arial" w:eastAsia="Arial" w:hAnsi="Arial"/>
                <w:sz w:val="12"/>
                <w:szCs w:val="12"/>
                <w:color w:val="auto"/>
              </w:rPr>
              <w:t>Fund investments</w:t>
            </w:r>
          </w:p>
        </w:tc>
        <w:tc>
          <w:tcPr>
            <w:tcW w:w="1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140" w:type="dxa"/>
            <w:vAlign w:val="bottom"/>
          </w:tcPr>
          <w:p>
            <w:pPr>
              <w:spacing w:after="0"/>
              <w:rPr>
                <w:sz w:val="12"/>
                <w:szCs w:val="1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261"/>
        </w:trPr>
        <w:tc>
          <w:tcPr>
            <w:tcW w:w="5460" w:type="dxa"/>
            <w:vAlign w:val="bottom"/>
          </w:tcPr>
          <w:p>
            <w:pPr>
              <w:spacing w:after="0"/>
              <w:rPr>
                <w:sz w:val="20"/>
                <w:szCs w:val="20"/>
                <w:color w:val="auto"/>
              </w:rPr>
            </w:pPr>
            <w:r>
              <w:rPr>
                <w:rFonts w:ascii="Arial" w:cs="Arial" w:eastAsia="Arial" w:hAnsi="Arial"/>
                <w:sz w:val="12"/>
                <w:szCs w:val="12"/>
                <w:b w:val="1"/>
                <w:bCs w:val="1"/>
                <w:color w:val="auto"/>
              </w:rPr>
              <w:t>Total other investments</w:t>
            </w:r>
          </w:p>
        </w:tc>
        <w:tc>
          <w:tcPr>
            <w:tcW w:w="1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133</w:t>
            </w:r>
          </w:p>
        </w:tc>
        <w:tc>
          <w:tcPr>
            <w:tcW w:w="140" w:type="dxa"/>
            <w:vAlign w:val="bottom"/>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371</w:t>
            </w:r>
          </w:p>
        </w:tc>
      </w:tr>
    </w:tbl>
    <w:p>
      <w:pPr>
        <w:spacing w:after="0" w:line="123"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Other investments include investments in publicly traded common stock of companies, including common stock of companies with whom Genmab has entered into collaboration arrangements, as well as investments in certain strategic investment funds. The decrease in other investments was primarily driven by the decrease in fair value of Genmab’s investment in common shares of CureVac N.V (“CureVac”).</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1" w:name="page102"/>
    <w:bookmarkEnd w:id="10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right="119"/>
        <w:spacing w:after="0" w:line="273" w:lineRule="auto"/>
        <w:rPr>
          <w:sz w:val="20"/>
          <w:szCs w:val="20"/>
          <w:color w:val="auto"/>
        </w:rPr>
      </w:pPr>
      <w:r>
        <w:rPr>
          <w:rFonts w:ascii="Arial" w:cs="Arial" w:eastAsia="Arial" w:hAnsi="Arial"/>
          <w:sz w:val="12"/>
          <w:szCs w:val="12"/>
          <w:color w:val="auto"/>
        </w:rPr>
        <w:t>Other investments are measured on initial recognition at fair value, and subsequently at fair value. Changes in fair value are recognized in the income statement within financial income or expense.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3.5 – Receivables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6160" w:type="dxa"/>
            <w:vAlign w:val="bottom"/>
            <w:gridSpan w:val="2"/>
          </w:tcPr>
          <w:p>
            <w:pPr>
              <w:ind w:left="5760"/>
              <w:spacing w:after="0"/>
              <w:rPr>
                <w:sz w:val="20"/>
                <w:szCs w:val="20"/>
                <w:color w:val="auto"/>
              </w:rPr>
            </w:pPr>
            <w:r>
              <w:rPr>
                <w:rFonts w:ascii="Arial" w:cs="Arial" w:eastAsia="Arial" w:hAnsi="Arial"/>
                <w:sz w:val="12"/>
                <w:szCs w:val="12"/>
                <w:color w:val="auto"/>
              </w:rPr>
              <w:t>2022</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520"/>
              <w:spacing w:after="0"/>
              <w:rPr>
                <w:sz w:val="20"/>
                <w:szCs w:val="20"/>
                <w:color w:val="auto"/>
              </w:rPr>
            </w:pPr>
            <w:r>
              <w:rPr>
                <w:rFonts w:ascii="Arial" w:cs="Arial" w:eastAsia="Arial" w:hAnsi="Arial"/>
                <w:sz w:val="12"/>
                <w:szCs w:val="12"/>
                <w:color w:val="auto"/>
              </w:rPr>
              <w:t>2021</w:t>
            </w:r>
          </w:p>
        </w:tc>
      </w:tr>
      <w:tr>
        <w:trPr>
          <w:trHeight w:val="123"/>
        </w:trPr>
        <w:tc>
          <w:tcPr>
            <w:tcW w:w="5180" w:type="dxa"/>
            <w:vAlign w:val="bottom"/>
          </w:tcPr>
          <w:p>
            <w:pPr>
              <w:spacing w:after="0" w:line="124" w:lineRule="exact"/>
              <w:rPr>
                <w:sz w:val="20"/>
                <w:szCs w:val="20"/>
                <w:color w:val="auto"/>
              </w:rPr>
            </w:pPr>
            <w:r>
              <w:rPr>
                <w:rFonts w:ascii="Arial" w:cs="Arial" w:eastAsia="Arial" w:hAnsi="Arial"/>
                <w:sz w:val="12"/>
                <w:szCs w:val="12"/>
                <w:color w:val="auto"/>
              </w:rPr>
              <w:t>(DKK million)</w:t>
            </w:r>
          </w:p>
        </w:tc>
        <w:tc>
          <w:tcPr>
            <w:tcW w:w="9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r>
      <w:tr>
        <w:trPr>
          <w:trHeight w:val="136"/>
        </w:trPr>
        <w:tc>
          <w:tcPr>
            <w:tcW w:w="6160" w:type="dxa"/>
            <w:vAlign w:val="bottom"/>
            <w:gridSpan w:val="2"/>
          </w:tcPr>
          <w:p>
            <w:pPr>
              <w:spacing w:after="0" w:line="136" w:lineRule="exact"/>
              <w:rPr>
                <w:sz w:val="20"/>
                <w:szCs w:val="20"/>
                <w:color w:val="auto"/>
              </w:rPr>
            </w:pPr>
            <w:r>
              <w:rPr>
                <w:rFonts w:ascii="Arial" w:cs="Arial" w:eastAsia="Arial" w:hAnsi="Arial"/>
                <w:sz w:val="12"/>
                <w:szCs w:val="12"/>
                <w:color w:val="auto"/>
              </w:rPr>
              <w:t>Receivables related to collaboration agreements</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5,266</w:t>
            </w:r>
          </w:p>
        </w:tc>
        <w:tc>
          <w:tcPr>
            <w:tcW w:w="160" w:type="dxa"/>
            <w:vAlign w:val="bottom"/>
          </w:tcPr>
          <w:p>
            <w:pPr>
              <w:spacing w:after="0"/>
              <w:rPr>
                <w:sz w:val="11"/>
                <w:szCs w:val="11"/>
                <w:color w:val="auto"/>
              </w:rPr>
            </w:pPr>
          </w:p>
        </w:tc>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2,979</w:t>
            </w:r>
          </w:p>
        </w:tc>
      </w:tr>
      <w:tr>
        <w:trPr>
          <w:trHeight w:val="136"/>
        </w:trPr>
        <w:tc>
          <w:tcPr>
            <w:tcW w:w="6160" w:type="dxa"/>
            <w:vAlign w:val="bottom"/>
            <w:gridSpan w:val="2"/>
          </w:tcPr>
          <w:p>
            <w:pPr>
              <w:spacing w:after="0" w:line="136" w:lineRule="exact"/>
              <w:rPr>
                <w:sz w:val="20"/>
                <w:szCs w:val="20"/>
                <w:color w:val="auto"/>
              </w:rPr>
            </w:pPr>
            <w:r>
              <w:rPr>
                <w:rFonts w:ascii="Arial" w:cs="Arial" w:eastAsia="Arial" w:hAnsi="Arial"/>
                <w:sz w:val="12"/>
                <w:szCs w:val="12"/>
                <w:color w:val="auto"/>
              </w:rPr>
              <w:t>Interest receivables</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82</w:t>
            </w:r>
          </w:p>
        </w:tc>
        <w:tc>
          <w:tcPr>
            <w:tcW w:w="160" w:type="dxa"/>
            <w:vAlign w:val="bottom"/>
          </w:tcPr>
          <w:p>
            <w:pPr>
              <w:spacing w:after="0"/>
              <w:rPr>
                <w:sz w:val="11"/>
                <w:szCs w:val="11"/>
                <w:color w:val="auto"/>
              </w:rPr>
            </w:pPr>
          </w:p>
        </w:tc>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37</w:t>
            </w:r>
          </w:p>
        </w:tc>
      </w:tr>
      <w:tr>
        <w:trPr>
          <w:trHeight w:val="136"/>
        </w:trPr>
        <w:tc>
          <w:tcPr>
            <w:tcW w:w="6160" w:type="dxa"/>
            <w:vAlign w:val="bottom"/>
            <w:gridSpan w:val="2"/>
          </w:tcPr>
          <w:p>
            <w:pPr>
              <w:spacing w:after="0" w:line="136" w:lineRule="exact"/>
              <w:rPr>
                <w:sz w:val="20"/>
                <w:szCs w:val="20"/>
                <w:color w:val="auto"/>
              </w:rPr>
            </w:pPr>
            <w:r>
              <w:rPr>
                <w:rFonts w:ascii="Arial" w:cs="Arial" w:eastAsia="Arial" w:hAnsi="Arial"/>
                <w:sz w:val="12"/>
                <w:szCs w:val="12"/>
                <w:color w:val="auto"/>
              </w:rPr>
              <w:t>Other receivables</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176</w:t>
            </w:r>
          </w:p>
        </w:tc>
        <w:tc>
          <w:tcPr>
            <w:tcW w:w="160" w:type="dxa"/>
            <w:vAlign w:val="bottom"/>
          </w:tcPr>
          <w:p>
            <w:pPr>
              <w:spacing w:after="0"/>
              <w:rPr>
                <w:sz w:val="11"/>
                <w:szCs w:val="11"/>
                <w:color w:val="auto"/>
              </w:rPr>
            </w:pPr>
          </w:p>
        </w:tc>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160</w:t>
            </w:r>
          </w:p>
        </w:tc>
      </w:tr>
      <w:tr>
        <w:trPr>
          <w:trHeight w:val="136"/>
        </w:trPr>
        <w:tc>
          <w:tcPr>
            <w:tcW w:w="6160" w:type="dxa"/>
            <w:vAlign w:val="bottom"/>
            <w:gridSpan w:val="2"/>
          </w:tcPr>
          <w:p>
            <w:pPr>
              <w:spacing w:after="0" w:line="136" w:lineRule="exact"/>
              <w:rPr>
                <w:sz w:val="20"/>
                <w:szCs w:val="20"/>
                <w:color w:val="auto"/>
              </w:rPr>
            </w:pPr>
            <w:r>
              <w:rPr>
                <w:rFonts w:ascii="Arial" w:cs="Arial" w:eastAsia="Arial" w:hAnsi="Arial"/>
                <w:sz w:val="12"/>
                <w:szCs w:val="12"/>
                <w:color w:val="auto"/>
              </w:rPr>
              <w:t>Receivables for securities matured</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290</w:t>
            </w:r>
          </w:p>
        </w:tc>
        <w:tc>
          <w:tcPr>
            <w:tcW w:w="160" w:type="dxa"/>
            <w:vAlign w:val="bottom"/>
          </w:tcPr>
          <w:p>
            <w:pPr>
              <w:spacing w:after="0"/>
              <w:rPr>
                <w:sz w:val="11"/>
                <w:szCs w:val="11"/>
                <w:color w:val="auto"/>
              </w:rPr>
            </w:pPr>
          </w:p>
        </w:tc>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49"/>
        </w:trPr>
        <w:tc>
          <w:tcPr>
            <w:tcW w:w="6160" w:type="dxa"/>
            <w:vAlign w:val="bottom"/>
            <w:gridSpan w:val="2"/>
          </w:tcPr>
          <w:p>
            <w:pPr>
              <w:spacing w:after="0"/>
              <w:rPr>
                <w:sz w:val="20"/>
                <w:szCs w:val="20"/>
                <w:color w:val="auto"/>
              </w:rPr>
            </w:pPr>
            <w:r>
              <w:rPr>
                <w:rFonts w:ascii="Arial" w:cs="Arial" w:eastAsia="Arial" w:hAnsi="Arial"/>
                <w:sz w:val="12"/>
                <w:szCs w:val="12"/>
                <w:color w:val="auto"/>
              </w:rPr>
              <w:t>Prepayments</w:t>
            </w:r>
          </w:p>
        </w:tc>
        <w:tc>
          <w:tcPr>
            <w:tcW w:w="460" w:type="dxa"/>
            <w:vAlign w:val="bottom"/>
          </w:tcPr>
          <w:p>
            <w:pPr>
              <w:jc w:val="right"/>
              <w:spacing w:after="0"/>
              <w:rPr>
                <w:sz w:val="20"/>
                <w:szCs w:val="20"/>
                <w:color w:val="auto"/>
              </w:rPr>
            </w:pPr>
            <w:r>
              <w:rPr>
                <w:rFonts w:ascii="Arial" w:cs="Arial" w:eastAsia="Arial" w:hAnsi="Arial"/>
                <w:sz w:val="12"/>
                <w:szCs w:val="12"/>
                <w:color w:val="auto"/>
              </w:rPr>
              <w:t>144</w:t>
            </w: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218</w:t>
            </w:r>
          </w:p>
        </w:tc>
      </w:tr>
      <w:tr>
        <w:trPr>
          <w:trHeight w:val="125"/>
        </w:trPr>
        <w:tc>
          <w:tcPr>
            <w:tcW w:w="5180" w:type="dxa"/>
            <w:vAlign w:val="bottom"/>
          </w:tcPr>
          <w:p>
            <w:pPr>
              <w:spacing w:after="0" w:line="125" w:lineRule="exact"/>
              <w:rPr>
                <w:sz w:val="20"/>
                <w:szCs w:val="20"/>
                <w:color w:val="auto"/>
              </w:rPr>
            </w:pPr>
            <w:r>
              <w:rPr>
                <w:rFonts w:ascii="Arial" w:cs="Arial" w:eastAsia="Arial" w:hAnsi="Arial"/>
                <w:sz w:val="12"/>
                <w:szCs w:val="12"/>
                <w:b w:val="1"/>
                <w:bCs w:val="1"/>
                <w:color w:val="auto"/>
              </w:rPr>
              <w:t>Total at December 31</w:t>
            </w:r>
          </w:p>
        </w:tc>
        <w:tc>
          <w:tcPr>
            <w:tcW w:w="9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5,958</w:t>
            </w:r>
          </w:p>
        </w:tc>
        <w:tc>
          <w:tcPr>
            <w:tcW w:w="160" w:type="dxa"/>
            <w:vAlign w:val="bottom"/>
          </w:tcPr>
          <w:p>
            <w:pPr>
              <w:spacing w:after="0"/>
              <w:rPr>
                <w:sz w:val="10"/>
                <w:szCs w:val="10"/>
                <w:color w:val="auto"/>
              </w:rPr>
            </w:pPr>
          </w:p>
        </w:tc>
        <w:tc>
          <w:tcPr>
            <w:tcW w:w="14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3,394</w:t>
            </w:r>
          </w:p>
        </w:tc>
      </w:tr>
      <w:tr>
        <w:trPr>
          <w:trHeight w:val="248"/>
        </w:trPr>
        <w:tc>
          <w:tcPr>
            <w:tcW w:w="6160" w:type="dxa"/>
            <w:vAlign w:val="bottom"/>
            <w:gridSpan w:val="2"/>
          </w:tcPr>
          <w:p>
            <w:pPr>
              <w:spacing w:after="0"/>
              <w:rPr>
                <w:sz w:val="20"/>
                <w:szCs w:val="20"/>
                <w:color w:val="auto"/>
              </w:rPr>
            </w:pPr>
            <w:r>
              <w:rPr>
                <w:rFonts w:ascii="Arial" w:cs="Arial" w:eastAsia="Arial" w:hAnsi="Arial"/>
                <w:sz w:val="12"/>
                <w:szCs w:val="12"/>
                <w:color w:val="auto"/>
              </w:rPr>
              <w:t>Non-current receivables</w:t>
            </w:r>
          </w:p>
        </w:tc>
        <w:tc>
          <w:tcPr>
            <w:tcW w:w="460" w:type="dxa"/>
            <w:vAlign w:val="bottom"/>
          </w:tcPr>
          <w:p>
            <w:pPr>
              <w:jc w:val="right"/>
              <w:spacing w:after="0"/>
              <w:rPr>
                <w:sz w:val="20"/>
                <w:szCs w:val="20"/>
                <w:color w:val="auto"/>
              </w:rPr>
            </w:pPr>
            <w:r>
              <w:rPr>
                <w:rFonts w:ascii="Arial" w:cs="Arial" w:eastAsia="Arial" w:hAnsi="Arial"/>
                <w:sz w:val="12"/>
                <w:szCs w:val="12"/>
                <w:color w:val="auto"/>
              </w:rPr>
              <w:t>48</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9"/>
        </w:trPr>
        <w:tc>
          <w:tcPr>
            <w:tcW w:w="5180" w:type="dxa"/>
            <w:vAlign w:val="bottom"/>
          </w:tcPr>
          <w:p>
            <w:pPr>
              <w:spacing w:after="0"/>
              <w:rPr>
                <w:sz w:val="20"/>
                <w:szCs w:val="20"/>
                <w:color w:val="auto"/>
              </w:rPr>
            </w:pPr>
            <w:r>
              <w:rPr>
                <w:rFonts w:ascii="Arial" w:cs="Arial" w:eastAsia="Arial" w:hAnsi="Arial"/>
                <w:sz w:val="12"/>
                <w:szCs w:val="12"/>
                <w:color w:val="auto"/>
              </w:rPr>
              <w:t>Current receivables</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5,910</w:t>
            </w:r>
          </w:p>
        </w:tc>
        <w:tc>
          <w:tcPr>
            <w:tcW w:w="16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3,367</w:t>
            </w:r>
          </w:p>
        </w:tc>
      </w:tr>
      <w:tr>
        <w:trPr>
          <w:trHeight w:val="261"/>
        </w:trPr>
        <w:tc>
          <w:tcPr>
            <w:tcW w:w="518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5,958</w:t>
            </w:r>
          </w:p>
        </w:tc>
        <w:tc>
          <w:tcPr>
            <w:tcW w:w="16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3,394</w:t>
            </w:r>
          </w:p>
        </w:tc>
      </w:tr>
    </w:tbl>
    <w:p>
      <w:pPr>
        <w:spacing w:after="0" w:line="268"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During 2022 and 2021, there were no losses related to receivables and the credit risk on receivables is considered to be limited. The provision for expected credit losses was not significant given that there have been no credit losses over the last three years and the high-quality nature (top tier life science companies) of Genmab’s customers are not likely to result in future default risk.</w:t>
      </w:r>
    </w:p>
    <w:p>
      <w:pPr>
        <w:spacing w:after="0" w:line="113"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The receivables are mainly comprised of royalties, milestones and amounts due under collaboration agreements and are non-interest bearing receivables which are due less than one year from the balance sheet date.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4.2 for additional information about interest receivables and related credit risk.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0" w:lineRule="exact"/>
        <w:rPr>
          <w:sz w:val="20"/>
          <w:szCs w:val="20"/>
          <w:color w:val="auto"/>
        </w:rPr>
      </w:pPr>
    </w:p>
    <w:p>
      <w:pPr>
        <w:ind w:left="20" w:right="159"/>
        <w:spacing w:after="0" w:line="252" w:lineRule="auto"/>
        <w:rPr>
          <w:sz w:val="20"/>
          <w:szCs w:val="20"/>
          <w:color w:val="auto"/>
        </w:rPr>
      </w:pPr>
      <w:r>
        <w:rPr>
          <w:rFonts w:ascii="Arial" w:cs="Arial" w:eastAsia="Arial" w:hAnsi="Arial"/>
          <w:sz w:val="12"/>
          <w:szCs w:val="12"/>
          <w:color w:val="auto"/>
        </w:rPr>
        <w:t>Receivables are designated as financial assets measured at amortized cost and are initially measured at fair value or transaction price and subsequently measured in the balance sheet at amortized cost, which generally corresponds to nominal value less expected credit losses.</w:t>
      </w:r>
    </w:p>
    <w:p>
      <w:pPr>
        <w:spacing w:after="0" w:line="115"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Genmab utilizes a simplified approach to measuring expected credit losses and uses a lifetime expected loss allowance for all receivables. To measure the expected credit losses, receivables have been grouped based on credit risk characteristics and the days past due.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Prepayments include expenditures related to a future financial period. Prepayments are measured at nominal value.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3.6 – Deferred Revenue</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has recognized the following liabilities related to the AbbVie collaboration agreement.</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99/158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2" w:name="page103"/>
    <w:bookmarkEnd w:id="10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10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6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2022</w:t>
            </w:r>
          </w:p>
        </w:tc>
        <w:tc>
          <w:tcPr>
            <w:tcW w:w="320" w:type="dxa"/>
            <w:vAlign w:val="bottom"/>
          </w:tcPr>
          <w:p>
            <w:pPr>
              <w:spacing w:after="0"/>
              <w:rPr>
                <w:sz w:val="12"/>
                <w:szCs w:val="12"/>
                <w:color w:val="auto"/>
              </w:rPr>
            </w:pPr>
          </w:p>
        </w:tc>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2021</w:t>
            </w:r>
          </w:p>
        </w:tc>
      </w:tr>
      <w:tr>
        <w:trPr>
          <w:trHeight w:val="248"/>
        </w:trPr>
        <w:tc>
          <w:tcPr>
            <w:tcW w:w="5100" w:type="dxa"/>
            <w:vAlign w:val="bottom"/>
          </w:tcPr>
          <w:p>
            <w:pPr>
              <w:spacing w:after="0"/>
              <w:rPr>
                <w:sz w:val="20"/>
                <w:szCs w:val="20"/>
                <w:color w:val="auto"/>
              </w:rPr>
            </w:pPr>
            <w:r>
              <w:rPr>
                <w:rFonts w:ascii="Arial" w:cs="Arial" w:eastAsia="Arial" w:hAnsi="Arial"/>
                <w:sz w:val="12"/>
                <w:szCs w:val="12"/>
                <w:color w:val="auto"/>
              </w:rPr>
              <w:t>Deferred revenue at January 1</w:t>
            </w:r>
          </w:p>
        </w:tc>
        <w:tc>
          <w:tcPr>
            <w:tcW w:w="1600" w:type="dxa"/>
            <w:vAlign w:val="bottom"/>
          </w:tcPr>
          <w:p>
            <w:pPr>
              <w:jc w:val="right"/>
              <w:spacing w:after="0"/>
              <w:rPr>
                <w:sz w:val="20"/>
                <w:szCs w:val="20"/>
                <w:color w:val="auto"/>
              </w:rPr>
            </w:pPr>
            <w:r>
              <w:rPr>
                <w:rFonts w:ascii="Arial" w:cs="Arial" w:eastAsia="Arial" w:hAnsi="Arial"/>
                <w:sz w:val="12"/>
                <w:szCs w:val="12"/>
                <w:color w:val="auto"/>
              </w:rPr>
              <w:t>513</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513</w:t>
            </w:r>
          </w:p>
        </w:tc>
      </w:tr>
      <w:tr>
        <w:trPr>
          <w:trHeight w:val="136"/>
        </w:trPr>
        <w:tc>
          <w:tcPr>
            <w:tcW w:w="5100" w:type="dxa"/>
            <w:vAlign w:val="bottom"/>
          </w:tcPr>
          <w:p>
            <w:pPr>
              <w:spacing w:after="0" w:line="136" w:lineRule="exact"/>
              <w:rPr>
                <w:sz w:val="20"/>
                <w:szCs w:val="20"/>
                <w:color w:val="auto"/>
              </w:rPr>
            </w:pPr>
            <w:r>
              <w:rPr>
                <w:rFonts w:ascii="Arial" w:cs="Arial" w:eastAsia="Arial" w:hAnsi="Arial"/>
                <w:sz w:val="12"/>
                <w:szCs w:val="12"/>
                <w:color w:val="auto"/>
              </w:rPr>
              <w:t>Payment received</w:t>
            </w:r>
          </w:p>
        </w:tc>
        <w:tc>
          <w:tcPr>
            <w:tcW w:w="1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1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49"/>
        </w:trPr>
        <w:tc>
          <w:tcPr>
            <w:tcW w:w="5100" w:type="dxa"/>
            <w:vAlign w:val="bottom"/>
          </w:tcPr>
          <w:p>
            <w:pPr>
              <w:spacing w:after="0"/>
              <w:rPr>
                <w:sz w:val="20"/>
                <w:szCs w:val="20"/>
                <w:color w:val="auto"/>
              </w:rPr>
            </w:pPr>
            <w:r>
              <w:rPr>
                <w:rFonts w:ascii="Arial" w:cs="Arial" w:eastAsia="Arial" w:hAnsi="Arial"/>
                <w:sz w:val="12"/>
                <w:szCs w:val="12"/>
                <w:color w:val="auto"/>
              </w:rPr>
              <w:t>Revenue recognized during the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510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32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r>
      <w:tr>
        <w:trPr>
          <w:trHeight w:val="248"/>
        </w:trPr>
        <w:tc>
          <w:tcPr>
            <w:tcW w:w="5100" w:type="dxa"/>
            <w:vAlign w:val="bottom"/>
          </w:tcPr>
          <w:p>
            <w:pPr>
              <w:spacing w:after="0"/>
              <w:rPr>
                <w:sz w:val="20"/>
                <w:szCs w:val="20"/>
                <w:color w:val="auto"/>
              </w:rPr>
            </w:pPr>
            <w:r>
              <w:rPr>
                <w:rFonts w:ascii="Arial" w:cs="Arial" w:eastAsia="Arial" w:hAnsi="Arial"/>
                <w:sz w:val="12"/>
                <w:szCs w:val="12"/>
                <w:color w:val="auto"/>
              </w:rPr>
              <w:t>Non-current deferred revenue</w:t>
            </w:r>
          </w:p>
        </w:tc>
        <w:tc>
          <w:tcPr>
            <w:tcW w:w="1600" w:type="dxa"/>
            <w:vAlign w:val="bottom"/>
          </w:tcPr>
          <w:p>
            <w:pPr>
              <w:jc w:val="right"/>
              <w:spacing w:after="0"/>
              <w:rPr>
                <w:sz w:val="20"/>
                <w:szCs w:val="20"/>
                <w:color w:val="auto"/>
              </w:rPr>
            </w:pPr>
            <w:r>
              <w:rPr>
                <w:rFonts w:ascii="Arial" w:cs="Arial" w:eastAsia="Arial" w:hAnsi="Arial"/>
                <w:sz w:val="12"/>
                <w:szCs w:val="12"/>
                <w:color w:val="auto"/>
              </w:rPr>
              <w:t>480</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487</w:t>
            </w:r>
          </w:p>
        </w:tc>
      </w:tr>
      <w:tr>
        <w:trPr>
          <w:trHeight w:val="149"/>
        </w:trPr>
        <w:tc>
          <w:tcPr>
            <w:tcW w:w="5100" w:type="dxa"/>
            <w:vAlign w:val="bottom"/>
          </w:tcPr>
          <w:p>
            <w:pPr>
              <w:spacing w:after="0"/>
              <w:rPr>
                <w:sz w:val="20"/>
                <w:szCs w:val="20"/>
                <w:color w:val="auto"/>
              </w:rPr>
            </w:pPr>
            <w:r>
              <w:rPr>
                <w:rFonts w:ascii="Arial" w:cs="Arial" w:eastAsia="Arial" w:hAnsi="Arial"/>
                <w:sz w:val="12"/>
                <w:szCs w:val="12"/>
                <w:color w:val="auto"/>
              </w:rPr>
              <w:t>Current deferred revenue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32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261"/>
        </w:trPr>
        <w:tc>
          <w:tcPr>
            <w:tcW w:w="510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32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r>
    </w:tbl>
    <w:p>
      <w:pPr>
        <w:spacing w:after="0" w:line="268" w:lineRule="exact"/>
        <w:rPr>
          <w:sz w:val="20"/>
          <w:szCs w:val="20"/>
          <w:color w:val="auto"/>
        </w:rPr>
      </w:pPr>
    </w:p>
    <w:p>
      <w:pPr>
        <w:ind w:left="20" w:right="159"/>
        <w:spacing w:after="0" w:line="273" w:lineRule="auto"/>
        <w:rPr>
          <w:sz w:val="20"/>
          <w:szCs w:val="20"/>
          <w:color w:val="auto"/>
        </w:rPr>
      </w:pPr>
      <w:r>
        <w:rPr>
          <w:rFonts w:ascii="Arial" w:cs="Arial" w:eastAsia="Arial" w:hAnsi="Arial"/>
          <w:sz w:val="12"/>
          <w:szCs w:val="12"/>
          <w:color w:val="auto"/>
        </w:rPr>
        <w:t>Deferred revenue was recognized in connection with the AbbVie collaboration agreement. An upfront payment of USD 750 million (DKK 4,911 million) was received in July 2020 of which DKK 4,398 million was recognized as license revenue during 2020.</w:t>
      </w:r>
    </w:p>
    <w:p>
      <w:pPr>
        <w:spacing w:after="0" w:line="103" w:lineRule="exact"/>
        <w:rPr>
          <w:sz w:val="20"/>
          <w:szCs w:val="20"/>
          <w:color w:val="auto"/>
        </w:rPr>
      </w:pPr>
    </w:p>
    <w:p>
      <w:pPr>
        <w:ind w:left="20" w:right="399"/>
        <w:spacing w:after="0" w:line="255" w:lineRule="auto"/>
        <w:rPr>
          <w:sz w:val="20"/>
          <w:szCs w:val="20"/>
          <w:color w:val="auto"/>
        </w:rPr>
      </w:pPr>
      <w:r>
        <w:rPr>
          <w:rFonts w:ascii="Arial" w:cs="Arial" w:eastAsia="Arial" w:hAnsi="Arial"/>
          <w:sz w:val="12"/>
          <w:szCs w:val="12"/>
          <w:color w:val="auto"/>
        </w:rPr>
        <w:t>The revenue deferred at the initiation of the AbbVie agreement in June 2020 related to four product concepts to be identified and controlled under a research agreement to be negotiated between Genmab and AbbVie. One of the product concepts will comprise of or contain Genmab antibodies conjugated with AbbVie’s payload linker technology and the other three product concepts will comprise of or contain CD3 DuoBody bispecific antibodies and AbbVie proprietary antibodies.</w:t>
      </w:r>
    </w:p>
    <w:p>
      <w:pPr>
        <w:spacing w:after="0" w:line="104" w:lineRule="exact"/>
        <w:rPr>
          <w:sz w:val="20"/>
          <w:szCs w:val="20"/>
          <w:color w:val="auto"/>
        </w:rPr>
      </w:pPr>
    </w:p>
    <w:p>
      <w:pPr>
        <w:ind w:left="20" w:right="319"/>
        <w:spacing w:after="0" w:line="273" w:lineRule="auto"/>
        <w:rPr>
          <w:sz w:val="20"/>
          <w:szCs w:val="20"/>
          <w:color w:val="auto"/>
        </w:rPr>
      </w:pPr>
      <w:r>
        <w:rPr>
          <w:rFonts w:ascii="Arial" w:cs="Arial" w:eastAsia="Arial" w:hAnsi="Arial"/>
          <w:sz w:val="12"/>
          <w:szCs w:val="12"/>
          <w:color w:val="auto"/>
        </w:rPr>
        <w:t>During the first quarter of 2022, Genmab and AbbVie entered into the aforementioned research agreement that governs the research and development activities in regard to the product concepts.</w:t>
      </w:r>
    </w:p>
    <w:p>
      <w:pPr>
        <w:spacing w:after="0" w:line="94"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As of December 31, 2022, two of the four product concepts have been selected for research and development. As part of the continued evaluation of deferred revenue related to the AbbVie collaboration agreement, Genmab’s classification of deferred revenue reflects the current estimate of co-development activities related to these product concepts as of December 31, 2022. None of the deferred revenue was recognized as reimbursement revenue in 2022, 2021 or 2020.</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2.1 for additional information related to the AbbVie collaboration.</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3" w:name="page104"/>
    <w:bookmarkEnd w:id="10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3.7 – Other Payables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32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2"/>
                <w:szCs w:val="12"/>
                <w:color w:val="auto"/>
              </w:rPr>
            </w:pPr>
          </w:p>
        </w:tc>
        <w:tc>
          <w:tcPr>
            <w:tcW w:w="16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2021</w:t>
            </w:r>
          </w:p>
        </w:tc>
      </w:tr>
      <w:tr>
        <w:trPr>
          <w:trHeight w:val="384"/>
        </w:trPr>
        <w:tc>
          <w:tcPr>
            <w:tcW w:w="5320" w:type="dxa"/>
            <w:vAlign w:val="bottom"/>
          </w:tcPr>
          <w:p>
            <w:pPr>
              <w:spacing w:after="0"/>
              <w:rPr>
                <w:sz w:val="20"/>
                <w:szCs w:val="20"/>
                <w:color w:val="auto"/>
              </w:rPr>
            </w:pPr>
            <w:r>
              <w:rPr>
                <w:rFonts w:ascii="Arial" w:cs="Arial" w:eastAsia="Arial" w:hAnsi="Arial"/>
                <w:sz w:val="12"/>
                <w:szCs w:val="12"/>
                <w:color w:val="auto"/>
              </w:rPr>
              <w:t>Liabilities related to collaboration agreements</w:t>
            </w:r>
          </w:p>
        </w:tc>
        <w:tc>
          <w:tcPr>
            <w:tcW w:w="1620" w:type="dxa"/>
            <w:vAlign w:val="bottom"/>
          </w:tcPr>
          <w:p>
            <w:pPr>
              <w:jc w:val="right"/>
              <w:spacing w:after="0"/>
              <w:rPr>
                <w:sz w:val="20"/>
                <w:szCs w:val="20"/>
                <w:color w:val="auto"/>
              </w:rPr>
            </w:pPr>
            <w:r>
              <w:rPr>
                <w:rFonts w:ascii="Arial" w:cs="Arial" w:eastAsia="Arial" w:hAnsi="Arial"/>
                <w:sz w:val="12"/>
                <w:szCs w:val="12"/>
                <w:color w:val="auto"/>
              </w:rPr>
              <w:t>70</w:t>
            </w:r>
          </w:p>
        </w:tc>
        <w:tc>
          <w:tcPr>
            <w:tcW w:w="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36"/>
        </w:trPr>
        <w:tc>
          <w:tcPr>
            <w:tcW w:w="5320" w:type="dxa"/>
            <w:vAlign w:val="bottom"/>
          </w:tcPr>
          <w:p>
            <w:pPr>
              <w:spacing w:after="0" w:line="136" w:lineRule="exact"/>
              <w:rPr>
                <w:sz w:val="20"/>
                <w:szCs w:val="20"/>
                <w:color w:val="auto"/>
              </w:rPr>
            </w:pPr>
            <w:r>
              <w:rPr>
                <w:rFonts w:ascii="Arial" w:cs="Arial" w:eastAsia="Arial" w:hAnsi="Arial"/>
                <w:sz w:val="12"/>
                <w:szCs w:val="12"/>
                <w:color w:val="auto"/>
              </w:rPr>
              <w:t>Staff cost liabilities</w:t>
            </w:r>
          </w:p>
        </w:tc>
        <w:tc>
          <w:tcPr>
            <w:tcW w:w="1620" w:type="dxa"/>
            <w:vAlign w:val="bottom"/>
          </w:tcPr>
          <w:p>
            <w:pPr>
              <w:jc w:val="right"/>
              <w:spacing w:after="0" w:line="136" w:lineRule="exact"/>
              <w:rPr>
                <w:sz w:val="20"/>
                <w:szCs w:val="20"/>
                <w:color w:val="auto"/>
              </w:rPr>
            </w:pPr>
            <w:r>
              <w:rPr>
                <w:rFonts w:ascii="Arial" w:cs="Arial" w:eastAsia="Arial" w:hAnsi="Arial"/>
                <w:sz w:val="12"/>
                <w:szCs w:val="12"/>
                <w:color w:val="auto"/>
              </w:rPr>
              <w:t>481</w:t>
            </w:r>
          </w:p>
        </w:tc>
        <w:tc>
          <w:tcPr>
            <w:tcW w:w="60" w:type="dxa"/>
            <w:vAlign w:val="bottom"/>
          </w:tcPr>
          <w:p>
            <w:pPr>
              <w:spacing w:after="0"/>
              <w:rPr>
                <w:sz w:val="11"/>
                <w:szCs w:val="11"/>
                <w:color w:val="auto"/>
              </w:rPr>
            </w:pPr>
          </w:p>
        </w:tc>
        <w:tc>
          <w:tcPr>
            <w:tcW w:w="1640" w:type="dxa"/>
            <w:vAlign w:val="bottom"/>
          </w:tcPr>
          <w:p>
            <w:pPr>
              <w:jc w:val="right"/>
              <w:spacing w:after="0" w:line="136" w:lineRule="exact"/>
              <w:rPr>
                <w:sz w:val="20"/>
                <w:szCs w:val="20"/>
                <w:color w:val="auto"/>
              </w:rPr>
            </w:pPr>
            <w:r>
              <w:rPr>
                <w:rFonts w:ascii="Arial" w:cs="Arial" w:eastAsia="Arial" w:hAnsi="Arial"/>
                <w:sz w:val="12"/>
                <w:szCs w:val="12"/>
                <w:color w:val="auto"/>
              </w:rPr>
              <w:t>296</w:t>
            </w:r>
          </w:p>
        </w:tc>
      </w:tr>
      <w:tr>
        <w:trPr>
          <w:trHeight w:val="136"/>
        </w:trPr>
        <w:tc>
          <w:tcPr>
            <w:tcW w:w="5320" w:type="dxa"/>
            <w:vAlign w:val="bottom"/>
          </w:tcPr>
          <w:p>
            <w:pPr>
              <w:spacing w:after="0" w:line="136" w:lineRule="exact"/>
              <w:rPr>
                <w:sz w:val="20"/>
                <w:szCs w:val="20"/>
                <w:color w:val="auto"/>
              </w:rPr>
            </w:pPr>
            <w:r>
              <w:rPr>
                <w:rFonts w:ascii="Arial" w:cs="Arial" w:eastAsia="Arial" w:hAnsi="Arial"/>
                <w:sz w:val="12"/>
                <w:szCs w:val="12"/>
                <w:color w:val="auto"/>
              </w:rPr>
              <w:t>Other liabilities</w:t>
            </w:r>
          </w:p>
        </w:tc>
        <w:tc>
          <w:tcPr>
            <w:tcW w:w="1620" w:type="dxa"/>
            <w:vAlign w:val="bottom"/>
          </w:tcPr>
          <w:p>
            <w:pPr>
              <w:jc w:val="right"/>
              <w:spacing w:after="0" w:line="136" w:lineRule="exact"/>
              <w:rPr>
                <w:sz w:val="20"/>
                <w:szCs w:val="20"/>
                <w:color w:val="auto"/>
              </w:rPr>
            </w:pPr>
            <w:r>
              <w:rPr>
                <w:rFonts w:ascii="Arial" w:cs="Arial" w:eastAsia="Arial" w:hAnsi="Arial"/>
                <w:sz w:val="12"/>
                <w:szCs w:val="12"/>
                <w:color w:val="auto"/>
              </w:rPr>
              <w:t>919</w:t>
            </w:r>
          </w:p>
        </w:tc>
        <w:tc>
          <w:tcPr>
            <w:tcW w:w="60" w:type="dxa"/>
            <w:vAlign w:val="bottom"/>
          </w:tcPr>
          <w:p>
            <w:pPr>
              <w:spacing w:after="0"/>
              <w:rPr>
                <w:sz w:val="11"/>
                <w:szCs w:val="11"/>
                <w:color w:val="auto"/>
              </w:rPr>
            </w:pPr>
          </w:p>
        </w:tc>
        <w:tc>
          <w:tcPr>
            <w:tcW w:w="1640" w:type="dxa"/>
            <w:vAlign w:val="bottom"/>
          </w:tcPr>
          <w:p>
            <w:pPr>
              <w:jc w:val="right"/>
              <w:spacing w:after="0" w:line="136" w:lineRule="exact"/>
              <w:rPr>
                <w:sz w:val="20"/>
                <w:szCs w:val="20"/>
                <w:color w:val="auto"/>
              </w:rPr>
            </w:pPr>
            <w:r>
              <w:rPr>
                <w:rFonts w:ascii="Arial" w:cs="Arial" w:eastAsia="Arial" w:hAnsi="Arial"/>
                <w:sz w:val="12"/>
                <w:szCs w:val="12"/>
                <w:color w:val="auto"/>
              </w:rPr>
              <w:t>781</w:t>
            </w:r>
          </w:p>
        </w:tc>
      </w:tr>
      <w:tr>
        <w:trPr>
          <w:trHeight w:val="136"/>
        </w:trPr>
        <w:tc>
          <w:tcPr>
            <w:tcW w:w="5320" w:type="dxa"/>
            <w:vAlign w:val="bottom"/>
          </w:tcPr>
          <w:p>
            <w:pPr>
              <w:spacing w:after="0" w:line="136" w:lineRule="exact"/>
              <w:rPr>
                <w:sz w:val="20"/>
                <w:szCs w:val="20"/>
                <w:color w:val="auto"/>
              </w:rPr>
            </w:pPr>
            <w:r>
              <w:rPr>
                <w:rFonts w:ascii="Arial" w:cs="Arial" w:eastAsia="Arial" w:hAnsi="Arial"/>
                <w:sz w:val="12"/>
                <w:szCs w:val="12"/>
                <w:color w:val="auto"/>
              </w:rPr>
              <w:t>Provisions</w:t>
            </w:r>
          </w:p>
        </w:tc>
        <w:tc>
          <w:tcPr>
            <w:tcW w:w="162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c>
          <w:tcPr>
            <w:tcW w:w="60" w:type="dxa"/>
            <w:vAlign w:val="bottom"/>
          </w:tcPr>
          <w:p>
            <w:pPr>
              <w:spacing w:after="0"/>
              <w:rPr>
                <w:sz w:val="11"/>
                <w:szCs w:val="11"/>
                <w:color w:val="auto"/>
              </w:rPr>
            </w:pPr>
          </w:p>
        </w:tc>
        <w:tc>
          <w:tcPr>
            <w:tcW w:w="164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r>
      <w:tr>
        <w:trPr>
          <w:trHeight w:val="149"/>
        </w:trPr>
        <w:tc>
          <w:tcPr>
            <w:tcW w:w="5320" w:type="dxa"/>
            <w:vAlign w:val="bottom"/>
          </w:tcPr>
          <w:p>
            <w:pPr>
              <w:spacing w:after="0"/>
              <w:rPr>
                <w:sz w:val="20"/>
                <w:szCs w:val="20"/>
                <w:color w:val="auto"/>
              </w:rPr>
            </w:pPr>
            <w:r>
              <w:rPr>
                <w:rFonts w:ascii="Arial" w:cs="Arial" w:eastAsia="Arial" w:hAnsi="Arial"/>
                <w:sz w:val="12"/>
                <w:szCs w:val="12"/>
                <w:color w:val="auto"/>
              </w:rPr>
              <w:t>Accounts payable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w:t>
            </w:r>
          </w:p>
        </w:tc>
        <w:tc>
          <w:tcPr>
            <w:tcW w:w="60" w:type="dxa"/>
            <w:vAlign w:val="bottom"/>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w:t>
            </w:r>
          </w:p>
        </w:tc>
      </w:tr>
      <w:tr>
        <w:trPr>
          <w:trHeight w:val="261"/>
        </w:trPr>
        <w:tc>
          <w:tcPr>
            <w:tcW w:w="532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1,727</w:t>
            </w:r>
          </w:p>
        </w:tc>
        <w:tc>
          <w:tcPr>
            <w:tcW w:w="60" w:type="dxa"/>
            <w:vAlign w:val="bottom"/>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1,493</w:t>
            </w:r>
          </w:p>
        </w:tc>
      </w:tr>
      <w:tr>
        <w:trPr>
          <w:trHeight w:val="248"/>
        </w:trPr>
        <w:tc>
          <w:tcPr>
            <w:tcW w:w="5320" w:type="dxa"/>
            <w:vAlign w:val="bottom"/>
          </w:tcPr>
          <w:p>
            <w:pPr>
              <w:spacing w:after="0"/>
              <w:rPr>
                <w:sz w:val="20"/>
                <w:szCs w:val="20"/>
                <w:color w:val="auto"/>
              </w:rPr>
            </w:pPr>
            <w:r>
              <w:rPr>
                <w:rFonts w:ascii="Arial" w:cs="Arial" w:eastAsia="Arial" w:hAnsi="Arial"/>
                <w:sz w:val="12"/>
                <w:szCs w:val="12"/>
                <w:color w:val="auto"/>
              </w:rPr>
              <w:t>Non-current other payables</w:t>
            </w:r>
          </w:p>
        </w:tc>
        <w:tc>
          <w:tcPr>
            <w:tcW w:w="162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9"/>
        </w:trPr>
        <w:tc>
          <w:tcPr>
            <w:tcW w:w="5320" w:type="dxa"/>
            <w:vAlign w:val="bottom"/>
          </w:tcPr>
          <w:p>
            <w:pPr>
              <w:spacing w:after="0"/>
              <w:rPr>
                <w:sz w:val="20"/>
                <w:szCs w:val="20"/>
                <w:color w:val="auto"/>
              </w:rPr>
            </w:pPr>
            <w:r>
              <w:rPr>
                <w:rFonts w:ascii="Arial" w:cs="Arial" w:eastAsia="Arial" w:hAnsi="Arial"/>
                <w:sz w:val="12"/>
                <w:szCs w:val="12"/>
                <w:color w:val="auto"/>
              </w:rPr>
              <w:t>Current other payables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1,716</w:t>
            </w:r>
          </w:p>
        </w:tc>
        <w:tc>
          <w:tcPr>
            <w:tcW w:w="60" w:type="dxa"/>
            <w:vAlign w:val="bottom"/>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r>
      <w:tr>
        <w:trPr>
          <w:trHeight w:val="261"/>
        </w:trPr>
        <w:tc>
          <w:tcPr>
            <w:tcW w:w="532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1,727</w:t>
            </w:r>
          </w:p>
        </w:tc>
        <w:tc>
          <w:tcPr>
            <w:tcW w:w="60" w:type="dxa"/>
            <w:vAlign w:val="bottom"/>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1,493</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payables, excluding provisions, are initially measured at fair value and subsequently measured in the balance sheet at amortized cost.</w:t>
      </w:r>
    </w:p>
    <w:p>
      <w:pPr>
        <w:spacing w:after="0" w:line="143" w:lineRule="exact"/>
        <w:rPr>
          <w:sz w:val="20"/>
          <w:szCs w:val="20"/>
          <w:color w:val="auto"/>
        </w:rPr>
      </w:pPr>
    </w:p>
    <w:p>
      <w:pPr>
        <w:ind w:left="20" w:right="199"/>
        <w:spacing w:after="0" w:line="273" w:lineRule="auto"/>
        <w:rPr>
          <w:sz w:val="20"/>
          <w:szCs w:val="20"/>
          <w:color w:val="auto"/>
        </w:rPr>
      </w:pPr>
      <w:r>
        <w:rPr>
          <w:rFonts w:ascii="Arial" w:cs="Arial" w:eastAsia="Arial" w:hAnsi="Arial"/>
          <w:sz w:val="12"/>
          <w:szCs w:val="12"/>
          <w:color w:val="auto"/>
        </w:rPr>
        <w:t>The current other payables are comprised of liabilities that are due less than one year from the balance sheet date and are in general not interest bearing and settled on an ongoing basis during the next financial year.</w:t>
      </w:r>
    </w:p>
    <w:p>
      <w:pPr>
        <w:spacing w:after="0" w:line="103" w:lineRule="exact"/>
        <w:rPr>
          <w:sz w:val="20"/>
          <w:szCs w:val="20"/>
          <w:color w:val="auto"/>
        </w:rPr>
      </w:pPr>
    </w:p>
    <w:p>
      <w:pPr>
        <w:ind w:left="20" w:right="179"/>
        <w:spacing w:after="0" w:line="255" w:lineRule="auto"/>
        <w:rPr>
          <w:sz w:val="20"/>
          <w:szCs w:val="20"/>
          <w:color w:val="auto"/>
        </w:rPr>
      </w:pPr>
      <w:r>
        <w:rPr>
          <w:rFonts w:ascii="Arial" w:cs="Arial" w:eastAsia="Arial" w:hAnsi="Arial"/>
          <w:sz w:val="12"/>
          <w:szCs w:val="12"/>
          <w:color w:val="auto"/>
        </w:rPr>
        <w:t>Non-current payables are measured at the present value of the expenditures expected to be required to settle the obligation using a pre-tax discount rate that reflects current market assessments of the time value of money and the risks specific to the obligation. The increase in the liability due to passage of time is recognized as interest expense.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ACCOUNTS PAYABLE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Accounts payable are measured in the balance sheet at amortized cost.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OTHER LIABILITIES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liabilities primarily include accrued expenses related to our research and development project costs.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2.3 for accounting policies related to staff costs.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Section 4 – Capital Structure, Financial Risk and Related Items</w:t>
      </w:r>
    </w:p>
    <w:p>
      <w:pPr>
        <w:spacing w:after="0" w:line="151" w:lineRule="exact"/>
        <w:rPr>
          <w:sz w:val="20"/>
          <w:szCs w:val="20"/>
          <w:color w:val="auto"/>
        </w:rPr>
      </w:pPr>
    </w:p>
    <w:p>
      <w:pPr>
        <w:ind w:left="20" w:right="319"/>
        <w:spacing w:after="0" w:line="284" w:lineRule="auto"/>
        <w:rPr>
          <w:sz w:val="20"/>
          <w:szCs w:val="20"/>
          <w:color w:val="auto"/>
        </w:rPr>
      </w:pPr>
      <w:r>
        <w:rPr>
          <w:rFonts w:ascii="Arial" w:cs="Arial" w:eastAsia="Arial" w:hAnsi="Arial"/>
          <w:sz w:val="12"/>
          <w:szCs w:val="12"/>
          <w:b w:val="1"/>
          <w:bCs w:val="1"/>
          <w:color w:val="029C93"/>
        </w:rPr>
        <w:t>This section includes disclosures related to how Genmab manages its capital structure, cash position and related risks and items. Genmab is primarily financed through partnership collaborations.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4.1 – Capital Management</w:t>
      </w:r>
    </w:p>
    <w:p>
      <w:pPr>
        <w:spacing w:after="0" w:line="141"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Genmab’s goal is to maintain a strong capital base so as to maintain investor, creditor and market confidence, and a continuous advancement of Genmab’s product pipeline and business in general.</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4" w:name="page105"/>
    <w:bookmarkEnd w:id="10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Genmab is primarily financed through revenues under various collaboration agreements and had, as of December 31, 2022, cash and cash equivalents of DKK 9,893 million and marketable securities of DKK 12,431 million compared to DKK 8,957 million and DKK 10,381 million, respectively, as of December 31, 2021. Genmab’s cash and cash equivalents and marketable securities support the advancement of our product pipeline and operations.</w:t>
      </w:r>
    </w:p>
    <w:p>
      <w:pPr>
        <w:spacing w:after="0" w:line="113"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The adequacy of our available funds will depend on many factors, including the level of DARZALEX and other royalty streams,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Genmab may require additional funds and may attempt to raise additional funds through equity or debt financings, collaborative agreements with partners, or from other sources.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Board of Directors monitors the share and capital structure to ensure that Genmab’s capital resources support its strategic goals.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Neither Genmab A/S nor any of its subsidiaries are subject to externally imposed capital requirements.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4.2 – Financial Risk</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financial risks of the Genmab Group are managed centrally.</w:t>
      </w:r>
    </w:p>
    <w:p>
      <w:pPr>
        <w:spacing w:after="0" w:line="143" w:lineRule="exact"/>
        <w:rPr>
          <w:sz w:val="20"/>
          <w:szCs w:val="20"/>
          <w:color w:val="auto"/>
        </w:rPr>
      </w:pPr>
    </w:p>
    <w:p>
      <w:pPr>
        <w:ind w:left="20" w:right="139"/>
        <w:spacing w:after="0" w:line="248" w:lineRule="auto"/>
        <w:rPr>
          <w:sz w:val="20"/>
          <w:szCs w:val="20"/>
          <w:color w:val="auto"/>
        </w:rPr>
      </w:pPr>
      <w:r>
        <w:rPr>
          <w:rFonts w:ascii="Arial" w:cs="Arial" w:eastAsia="Arial" w:hAnsi="Arial"/>
          <w:sz w:val="12"/>
          <w:szCs w:val="12"/>
          <w:color w:val="auto"/>
        </w:rPr>
        <w:t>The overall risk management guidelines have been approved by the Board of Directors and include the Group’s investment policy related to our marketable securities. The Group’s risk management guidelines are established to identify and analyze the risks faced by the Genmab Group, to set the appropriate risk limits and controls and to monitor the risks and adherence to limits. It is Genmab’s policy not to actively speculate in financial risks. The Group’s financial risk management is directed solely towards monitoring and reducing financial risks which are directly related to Genmab’s operations.</w:t>
      </w:r>
    </w:p>
    <w:p>
      <w:pPr>
        <w:spacing w:after="0" w:line="119" w:lineRule="exact"/>
        <w:rPr>
          <w:sz w:val="20"/>
          <w:szCs w:val="20"/>
          <w:color w:val="auto"/>
        </w:rPr>
      </w:pPr>
    </w:p>
    <w:p>
      <w:pPr>
        <w:ind w:left="20" w:right="39"/>
        <w:spacing w:after="0" w:line="245" w:lineRule="auto"/>
        <w:rPr>
          <w:sz w:val="20"/>
          <w:szCs w:val="20"/>
          <w:color w:val="auto"/>
        </w:rPr>
      </w:pPr>
      <w:r>
        <w:rPr>
          <w:rFonts w:ascii="Arial" w:cs="Arial" w:eastAsia="Arial" w:hAnsi="Arial"/>
          <w:sz w:val="12"/>
          <w:szCs w:val="12"/>
          <w:color w:val="auto"/>
        </w:rPr>
        <w:t>The primary objective of Genmab’s investment activities is to preserve capital and ensure liquidity with a secondary objective of maximizing the return derived from security investments without significantly increasing risk. Therefore, our investment policy includes among other items, guidelines and ranges for which investments (which are primarily shorter-term in nature) are considered to be eligible investments for Genmab and which investment parameters are to be applied, including maturity limitations and credit ratings. In addition, the policy includes specific diversification criteria and investment limits to minimize the risk of loss resulting from over concentration of assets in a specific class, issuer, currency, country, or economic sector.</w:t>
      </w:r>
    </w:p>
    <w:p>
      <w:pPr>
        <w:spacing w:after="0" w:line="121"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Genmab’s marketable securities are administrated by external investment managers. The investment guidelines and managers are reviewed regularly to reflect changes in market conditions, Genmab’s activities and financial position. At the beginning of 2021, Genmab’s investment policy was amended to allow investments in debt rated BBB- or greater by S&amp;P or Fitch and in debt rated Baa3 or greater by Moody’s. The amended policy also includes additional allowable investment types such as corporate debt, commercial paper, certificates of deposit, and certain types of AAA rated asset-backed securities.</w:t>
      </w:r>
    </w:p>
    <w:p>
      <w:pPr>
        <w:spacing w:after="0" w:line="119"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 xml:space="preserve">In addition to the capital management and financing risk mentioned in </w:t>
      </w:r>
      <w:r>
        <w:rPr>
          <w:rFonts w:ascii="Arial" w:cs="Arial" w:eastAsia="Arial" w:hAnsi="Arial"/>
          <w:sz w:val="12"/>
          <w:szCs w:val="12"/>
          <w:color w:val="029C93"/>
        </w:rPr>
        <w:t>Note 4.1</w:t>
      </w:r>
      <w:r>
        <w:rPr>
          <w:rFonts w:ascii="Arial" w:cs="Arial" w:eastAsia="Arial" w:hAnsi="Arial"/>
          <w:sz w:val="12"/>
          <w:szCs w:val="12"/>
          <w:color w:val="auto"/>
        </w:rPr>
        <w:t>, Genmab has identified the following key financial risk areas, which are mainly related to our marketable securities portfolio:</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5" w:name="page106"/>
    <w:bookmarkEnd w:id="10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-97155</wp:posOffset>
            </wp:positionV>
            <wp:extent cx="5088255" cy="777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88255" cy="777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60" w:hanging="228"/>
        <w:spacing w:after="0"/>
        <w:tabs>
          <w:tab w:leader="none" w:pos="1260" w:val="left"/>
        </w:tabs>
        <w:numPr>
          <w:ilvl w:val="0"/>
          <w:numId w:val="83"/>
        </w:numPr>
        <w:rPr>
          <w:rFonts w:ascii="Times New Roman" w:cs="Times New Roman" w:eastAsia="Times New Roman" w:hAnsi="Times New Roman"/>
          <w:sz w:val="12"/>
          <w:szCs w:val="12"/>
          <w:color w:val="auto"/>
        </w:rPr>
      </w:pPr>
      <w:r>
        <w:rPr>
          <w:rFonts w:ascii="Arial" w:cs="Arial" w:eastAsia="Arial" w:hAnsi="Arial"/>
          <w:sz w:val="12"/>
          <w:szCs w:val="12"/>
          <w:color w:val="auto"/>
        </w:rPr>
        <w:t>credit risk;</w:t>
      </w:r>
    </w:p>
    <w:p>
      <w:pPr>
        <w:spacing w:after="0" w:line="51" w:lineRule="exact"/>
        <w:rPr>
          <w:rFonts w:ascii="Times New Roman" w:cs="Times New Roman" w:eastAsia="Times New Roman" w:hAnsi="Times New Roman"/>
          <w:sz w:val="12"/>
          <w:szCs w:val="12"/>
          <w:color w:val="auto"/>
        </w:rPr>
      </w:pPr>
    </w:p>
    <w:p>
      <w:pPr>
        <w:ind w:left="1260" w:hanging="228"/>
        <w:spacing w:after="0"/>
        <w:tabs>
          <w:tab w:leader="none" w:pos="1260" w:val="left"/>
        </w:tabs>
        <w:numPr>
          <w:ilvl w:val="0"/>
          <w:numId w:val="83"/>
        </w:numPr>
        <w:rPr>
          <w:rFonts w:ascii="Times New Roman" w:cs="Times New Roman" w:eastAsia="Times New Roman" w:hAnsi="Times New Roman"/>
          <w:sz w:val="12"/>
          <w:szCs w:val="12"/>
          <w:color w:val="auto"/>
        </w:rPr>
      </w:pPr>
      <w:r>
        <w:rPr>
          <w:rFonts w:ascii="Arial" w:cs="Arial" w:eastAsia="Arial" w:hAnsi="Arial"/>
          <w:sz w:val="12"/>
          <w:szCs w:val="12"/>
          <w:color w:val="auto"/>
        </w:rPr>
        <w:t>foreign currency risk; and</w:t>
      </w:r>
    </w:p>
    <w:p>
      <w:pPr>
        <w:spacing w:after="0" w:line="51" w:lineRule="exact"/>
        <w:rPr>
          <w:rFonts w:ascii="Times New Roman" w:cs="Times New Roman" w:eastAsia="Times New Roman" w:hAnsi="Times New Roman"/>
          <w:sz w:val="12"/>
          <w:szCs w:val="12"/>
          <w:color w:val="auto"/>
        </w:rPr>
      </w:pPr>
    </w:p>
    <w:p>
      <w:pPr>
        <w:ind w:left="1260" w:hanging="228"/>
        <w:spacing w:after="0"/>
        <w:tabs>
          <w:tab w:leader="none" w:pos="1260" w:val="left"/>
        </w:tabs>
        <w:numPr>
          <w:ilvl w:val="0"/>
          <w:numId w:val="83"/>
        </w:numPr>
        <w:rPr>
          <w:rFonts w:ascii="Times New Roman" w:cs="Times New Roman" w:eastAsia="Times New Roman" w:hAnsi="Times New Roman"/>
          <w:sz w:val="12"/>
          <w:szCs w:val="12"/>
          <w:color w:val="auto"/>
        </w:rPr>
      </w:pPr>
      <w:r>
        <w:rPr>
          <w:rFonts w:ascii="Arial" w:cs="Arial" w:eastAsia="Arial" w:hAnsi="Arial"/>
          <w:sz w:val="12"/>
          <w:szCs w:val="12"/>
          <w:color w:val="auto"/>
        </w:rPr>
        <w:t>interest rate risk</w:t>
      </w:r>
    </w:p>
    <w:p>
      <w:pPr>
        <w:spacing w:after="0" w:line="179" w:lineRule="exact"/>
        <w:rPr>
          <w:sz w:val="20"/>
          <w:szCs w:val="20"/>
          <w:color w:val="auto"/>
        </w:rPr>
      </w:pPr>
    </w:p>
    <w:p>
      <w:pPr>
        <w:ind w:left="20" w:right="319"/>
        <w:spacing w:after="0" w:line="255" w:lineRule="auto"/>
        <w:rPr>
          <w:sz w:val="20"/>
          <w:szCs w:val="20"/>
          <w:color w:val="auto"/>
        </w:rPr>
      </w:pPr>
      <w:r>
        <w:rPr>
          <w:rFonts w:ascii="Arial" w:cs="Arial" w:eastAsia="Arial" w:hAnsi="Arial"/>
          <w:sz w:val="12"/>
          <w:szCs w:val="12"/>
          <w:color w:val="auto"/>
        </w:rPr>
        <w:t xml:space="preserve">All of Genmab’s marketable securities are traded in established markets. Given the current market conditions, all future cash inflows including re-investments of proceeds from the disposal of marketable securities are invested in highly liquid, investment grade securities. </w:t>
      </w:r>
      <w:r>
        <w:rPr>
          <w:rFonts w:ascii="Arial" w:cs="Arial" w:eastAsia="Arial" w:hAnsi="Arial"/>
          <w:sz w:val="12"/>
          <w:szCs w:val="12"/>
          <w:color w:val="029C93"/>
        </w:rPr>
        <w:t>Refer to Note 4.4 for additional information regarding</w:t>
      </w:r>
      <w:r>
        <w:rPr>
          <w:rFonts w:ascii="Arial" w:cs="Arial" w:eastAsia="Arial" w:hAnsi="Arial"/>
          <w:sz w:val="12"/>
          <w:szCs w:val="12"/>
          <w:color w:val="auto"/>
        </w:rPr>
        <w:t xml:space="preserve"> </w:t>
      </w:r>
      <w:r>
        <w:rPr>
          <w:rFonts w:ascii="Arial" w:cs="Arial" w:eastAsia="Arial" w:hAnsi="Arial"/>
          <w:sz w:val="12"/>
          <w:szCs w:val="12"/>
          <w:color w:val="029C93"/>
        </w:rPr>
        <w:t>marketable securities.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CREDIT RISK</w:t>
      </w:r>
    </w:p>
    <w:p>
      <w:pPr>
        <w:spacing w:after="0" w:line="10" w:lineRule="exact"/>
        <w:rPr>
          <w:sz w:val="20"/>
          <w:szCs w:val="20"/>
          <w:color w:val="auto"/>
        </w:rPr>
      </w:pPr>
    </w:p>
    <w:p>
      <w:pPr>
        <w:ind w:left="20" w:right="279"/>
        <w:spacing w:after="0" w:line="244" w:lineRule="auto"/>
        <w:rPr>
          <w:sz w:val="20"/>
          <w:szCs w:val="20"/>
          <w:color w:val="auto"/>
        </w:rPr>
      </w:pPr>
      <w:r>
        <w:rPr>
          <w:rFonts w:ascii="Arial" w:cs="Arial" w:eastAsia="Arial" w:hAnsi="Arial"/>
          <w:sz w:val="12"/>
          <w:szCs w:val="12"/>
          <w:color w:val="auto"/>
        </w:rPr>
        <w:t>Genmab is exposed to credit risk and losses on marketable securities and bank deposits. The maximum credit exposure related to Genmab’s cash and cash equivalents and marketable securities was DKK 22,324 million as of December 31, 2022 compared to DKK 19,338 million as of December 31, 2021. The maximum credit exposure to Genmab’s receivables was DKK 5,958 million as of December 31, 2022 compared to DKK 3,394 million as of December 31, 2021.</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Marketable Securities</w:t>
      </w:r>
    </w:p>
    <w:p>
      <w:pPr>
        <w:spacing w:after="0" w:line="10" w:lineRule="exact"/>
        <w:rPr>
          <w:sz w:val="20"/>
          <w:szCs w:val="20"/>
          <w:color w:val="auto"/>
        </w:rPr>
      </w:pPr>
    </w:p>
    <w:p>
      <w:pPr>
        <w:ind w:left="20" w:right="59"/>
        <w:spacing w:after="0" w:line="241" w:lineRule="auto"/>
        <w:rPr>
          <w:sz w:val="20"/>
          <w:szCs w:val="20"/>
          <w:color w:val="auto"/>
        </w:rPr>
      </w:pPr>
      <w:r>
        <w:rPr>
          <w:rFonts w:ascii="Arial" w:cs="Arial" w:eastAsia="Arial" w:hAnsi="Arial"/>
          <w:sz w:val="12"/>
          <w:szCs w:val="12"/>
          <w:color w:val="auto"/>
        </w:rPr>
        <w:t>To manage and reduce credit risks on our securities, Genmab’s policy is to ensure only securities from investment grade issuers are eligible for our portfolios. No issuer of marketable securities can be accepted if the issuer, at the time of purchase, does not have the credit quality equal to or better than the rating shown in the table below from at least one of the rating agencies. If an issuer is rated by more than one of the rating agencies listed below, the credit assessment is made against the lowest rating available for the issuer.</w:t>
      </w:r>
    </w:p>
    <w:p>
      <w:pPr>
        <w:spacing w:after="0" w:line="135" w:lineRule="exact"/>
        <w:rPr>
          <w:sz w:val="20"/>
          <w:szCs w:val="20"/>
          <w:color w:val="auto"/>
        </w:rPr>
      </w:pPr>
    </w:p>
    <w:tbl>
      <w:tblPr>
        <w:tblLayout w:type="fixed"/>
        <w:tblInd w:w="930" w:type="dxa"/>
        <w:tblCellMar>
          <w:top w:w="0" w:type="dxa"/>
          <w:left w:w="0" w:type="dxa"/>
          <w:bottom w:w="0" w:type="dxa"/>
          <w:right w:w="0" w:type="dxa"/>
        </w:tblCellMar>
      </w:tblPr>
      <w:tr>
        <w:trPr>
          <w:trHeight w:val="199"/>
        </w:trPr>
        <w:tc>
          <w:tcPr>
            <w:tcW w:w="2300" w:type="dxa"/>
            <w:vAlign w:val="bottom"/>
            <w:tcBorders>
              <w:left w:val="single" w:sz="8" w:color="029C93"/>
              <w:right w:val="single" w:sz="8" w:color="029C93"/>
            </w:tcBorders>
            <w:shd w:val="clear" w:color="auto" w:fill="029C93"/>
          </w:tcPr>
          <w:p>
            <w:pPr>
              <w:ind w:left="100"/>
              <w:spacing w:after="0"/>
              <w:rPr>
                <w:sz w:val="20"/>
                <w:szCs w:val="20"/>
                <w:color w:val="auto"/>
              </w:rPr>
            </w:pPr>
            <w:r>
              <w:rPr>
                <w:rFonts w:ascii="Arial" w:cs="Arial" w:eastAsia="Arial" w:hAnsi="Arial"/>
                <w:sz w:val="12"/>
                <w:szCs w:val="12"/>
                <w:b w:val="1"/>
                <w:bCs w:val="1"/>
                <w:color w:val="FFFFFF"/>
              </w:rPr>
              <w:t>Category</w:t>
            </w:r>
          </w:p>
        </w:tc>
        <w:tc>
          <w:tcPr>
            <w:tcW w:w="1620" w:type="dxa"/>
            <w:vAlign w:val="bottom"/>
            <w:tcBorders>
              <w:right w:val="single" w:sz="8" w:color="029C93"/>
            </w:tcBorders>
            <w:shd w:val="clear" w:color="auto" w:fill="029C93"/>
          </w:tcPr>
          <w:p>
            <w:pPr>
              <w:jc w:val="center"/>
              <w:spacing w:after="0"/>
              <w:rPr>
                <w:sz w:val="20"/>
                <w:szCs w:val="20"/>
                <w:color w:val="auto"/>
              </w:rPr>
            </w:pPr>
            <w:r>
              <w:rPr>
                <w:rFonts w:ascii="Arial" w:cs="Arial" w:eastAsia="Arial" w:hAnsi="Arial"/>
                <w:sz w:val="12"/>
                <w:szCs w:val="12"/>
                <w:b w:val="1"/>
                <w:bCs w:val="1"/>
                <w:color w:val="FFFFFF"/>
                <w:w w:val="97"/>
              </w:rPr>
              <w:t>S&amp;P</w:t>
            </w:r>
          </w:p>
        </w:tc>
        <w:tc>
          <w:tcPr>
            <w:tcW w:w="1620" w:type="dxa"/>
            <w:vAlign w:val="bottom"/>
            <w:tcBorders>
              <w:right w:val="single" w:sz="8" w:color="029C93"/>
            </w:tcBorders>
            <w:shd w:val="clear" w:color="auto" w:fill="029C93"/>
          </w:tcPr>
          <w:p>
            <w:pPr>
              <w:jc w:val="center"/>
              <w:spacing w:after="0"/>
              <w:rPr>
                <w:sz w:val="20"/>
                <w:szCs w:val="20"/>
                <w:color w:val="auto"/>
              </w:rPr>
            </w:pPr>
            <w:r>
              <w:rPr>
                <w:rFonts w:ascii="Arial" w:cs="Arial" w:eastAsia="Arial" w:hAnsi="Arial"/>
                <w:sz w:val="12"/>
                <w:szCs w:val="12"/>
                <w:b w:val="1"/>
                <w:bCs w:val="1"/>
                <w:color w:val="FFFFFF"/>
                <w:w w:val="98"/>
              </w:rPr>
              <w:t>Moody’s</w:t>
            </w:r>
          </w:p>
        </w:tc>
        <w:tc>
          <w:tcPr>
            <w:tcW w:w="1640" w:type="dxa"/>
            <w:vAlign w:val="bottom"/>
            <w:tcBorders>
              <w:right w:val="single" w:sz="8" w:color="029C93"/>
            </w:tcBorders>
            <w:shd w:val="clear" w:color="auto" w:fill="029C93"/>
          </w:tcPr>
          <w:p>
            <w:pPr>
              <w:jc w:val="center"/>
              <w:spacing w:after="0"/>
              <w:rPr>
                <w:sz w:val="20"/>
                <w:szCs w:val="20"/>
                <w:color w:val="auto"/>
              </w:rPr>
            </w:pPr>
            <w:r>
              <w:rPr>
                <w:rFonts w:ascii="Arial" w:cs="Arial" w:eastAsia="Arial" w:hAnsi="Arial"/>
                <w:sz w:val="12"/>
                <w:szCs w:val="12"/>
                <w:b w:val="1"/>
                <w:bCs w:val="1"/>
                <w:color w:val="FFFFFF"/>
                <w:w w:val="97"/>
              </w:rPr>
              <w:t>Fitch</w:t>
            </w:r>
          </w:p>
        </w:tc>
      </w:tr>
      <w:tr>
        <w:trPr>
          <w:trHeight w:val="178"/>
        </w:trPr>
        <w:tc>
          <w:tcPr>
            <w:tcW w:w="2300" w:type="dxa"/>
            <w:vAlign w:val="bottom"/>
            <w:tcBorders>
              <w:left w:val="single" w:sz="8" w:color="029C93"/>
              <w:right w:val="single" w:sz="8" w:color="029C93"/>
            </w:tcBorders>
          </w:tcPr>
          <w:p>
            <w:pPr>
              <w:ind w:left="100"/>
              <w:spacing w:after="0"/>
              <w:rPr>
                <w:sz w:val="20"/>
                <w:szCs w:val="20"/>
                <w:color w:val="auto"/>
              </w:rPr>
            </w:pPr>
            <w:r>
              <w:rPr>
                <w:rFonts w:ascii="Arial" w:cs="Arial" w:eastAsia="Arial" w:hAnsi="Arial"/>
                <w:sz w:val="12"/>
                <w:szCs w:val="12"/>
                <w:color w:val="auto"/>
              </w:rPr>
              <w:t>Short-term</w:t>
            </w:r>
          </w:p>
        </w:tc>
        <w:tc>
          <w:tcPr>
            <w:tcW w:w="1620" w:type="dxa"/>
            <w:vAlign w:val="bottom"/>
            <w:tcBorders>
              <w:right w:val="single" w:sz="8" w:color="029C93"/>
            </w:tcBorders>
          </w:tcPr>
          <w:p>
            <w:pPr>
              <w:jc w:val="center"/>
              <w:spacing w:after="0"/>
              <w:rPr>
                <w:sz w:val="20"/>
                <w:szCs w:val="20"/>
                <w:color w:val="auto"/>
              </w:rPr>
            </w:pPr>
            <w:r>
              <w:rPr>
                <w:rFonts w:ascii="Arial" w:cs="Arial" w:eastAsia="Arial" w:hAnsi="Arial"/>
                <w:sz w:val="12"/>
                <w:szCs w:val="12"/>
                <w:color w:val="auto"/>
                <w:w w:val="96"/>
              </w:rPr>
              <w:t>A-2</w:t>
            </w:r>
          </w:p>
        </w:tc>
        <w:tc>
          <w:tcPr>
            <w:tcW w:w="1620" w:type="dxa"/>
            <w:vAlign w:val="bottom"/>
            <w:tcBorders>
              <w:right w:val="single" w:sz="8" w:color="029C93"/>
            </w:tcBorders>
          </w:tcPr>
          <w:p>
            <w:pPr>
              <w:jc w:val="center"/>
              <w:spacing w:after="0"/>
              <w:rPr>
                <w:sz w:val="20"/>
                <w:szCs w:val="20"/>
                <w:color w:val="auto"/>
              </w:rPr>
            </w:pPr>
            <w:r>
              <w:rPr>
                <w:rFonts w:ascii="Arial" w:cs="Arial" w:eastAsia="Arial" w:hAnsi="Arial"/>
                <w:sz w:val="12"/>
                <w:szCs w:val="12"/>
                <w:color w:val="auto"/>
              </w:rPr>
              <w:t>P-2</w:t>
            </w:r>
          </w:p>
        </w:tc>
        <w:tc>
          <w:tcPr>
            <w:tcW w:w="1640" w:type="dxa"/>
            <w:vAlign w:val="bottom"/>
            <w:tcBorders>
              <w:right w:val="single" w:sz="8" w:color="029C93"/>
            </w:tcBorders>
          </w:tcPr>
          <w:p>
            <w:pPr>
              <w:jc w:val="center"/>
              <w:spacing w:after="0"/>
              <w:rPr>
                <w:sz w:val="20"/>
                <w:szCs w:val="20"/>
                <w:color w:val="auto"/>
              </w:rPr>
            </w:pPr>
            <w:r>
              <w:rPr>
                <w:rFonts w:ascii="Arial" w:cs="Arial" w:eastAsia="Arial" w:hAnsi="Arial"/>
                <w:sz w:val="12"/>
                <w:szCs w:val="12"/>
                <w:color w:val="auto"/>
                <w:w w:val="99"/>
              </w:rPr>
              <w:t>F-2</w:t>
            </w:r>
          </w:p>
        </w:tc>
      </w:tr>
      <w:tr>
        <w:trPr>
          <w:trHeight w:val="183"/>
        </w:trPr>
        <w:tc>
          <w:tcPr>
            <w:tcW w:w="2300" w:type="dxa"/>
            <w:vAlign w:val="bottom"/>
            <w:tcBorders>
              <w:left w:val="single" w:sz="8" w:color="029C93"/>
              <w:bottom w:val="single" w:sz="8" w:color="029C93"/>
              <w:right w:val="single" w:sz="8" w:color="029C93"/>
            </w:tcBorders>
            <w:shd w:val="clear" w:color="auto" w:fill="E6E6E6"/>
          </w:tcPr>
          <w:p>
            <w:pPr>
              <w:ind w:left="100"/>
              <w:spacing w:after="0"/>
              <w:rPr>
                <w:sz w:val="20"/>
                <w:szCs w:val="20"/>
                <w:color w:val="auto"/>
              </w:rPr>
            </w:pPr>
            <w:r>
              <w:rPr>
                <w:rFonts w:ascii="Arial" w:cs="Arial" w:eastAsia="Arial" w:hAnsi="Arial"/>
                <w:sz w:val="12"/>
                <w:szCs w:val="12"/>
                <w:color w:val="auto"/>
              </w:rPr>
              <w:t>Long-term</w:t>
            </w:r>
          </w:p>
        </w:tc>
        <w:tc>
          <w:tcPr>
            <w:tcW w:w="1620" w:type="dxa"/>
            <w:vAlign w:val="bottom"/>
            <w:tcBorders>
              <w:bottom w:val="single" w:sz="8" w:color="029C93"/>
              <w:right w:val="single" w:sz="8" w:color="029C93"/>
            </w:tcBorders>
            <w:shd w:val="clear" w:color="auto" w:fill="E6E6E6"/>
          </w:tcPr>
          <w:p>
            <w:pPr>
              <w:jc w:val="center"/>
              <w:spacing w:after="0"/>
              <w:rPr>
                <w:sz w:val="20"/>
                <w:szCs w:val="20"/>
                <w:color w:val="auto"/>
              </w:rPr>
            </w:pPr>
            <w:r>
              <w:rPr>
                <w:rFonts w:ascii="Arial" w:cs="Arial" w:eastAsia="Arial" w:hAnsi="Arial"/>
                <w:sz w:val="12"/>
                <w:szCs w:val="12"/>
                <w:color w:val="auto"/>
                <w:w w:val="99"/>
              </w:rPr>
              <w:t>BBB-</w:t>
            </w:r>
          </w:p>
        </w:tc>
        <w:tc>
          <w:tcPr>
            <w:tcW w:w="1620" w:type="dxa"/>
            <w:vAlign w:val="bottom"/>
            <w:tcBorders>
              <w:bottom w:val="single" w:sz="8" w:color="029C93"/>
              <w:right w:val="single" w:sz="8" w:color="029C93"/>
            </w:tcBorders>
            <w:shd w:val="clear" w:color="auto" w:fill="E6E6E6"/>
          </w:tcPr>
          <w:p>
            <w:pPr>
              <w:jc w:val="center"/>
              <w:spacing w:after="0"/>
              <w:rPr>
                <w:sz w:val="20"/>
                <w:szCs w:val="20"/>
                <w:color w:val="auto"/>
              </w:rPr>
            </w:pPr>
            <w:r>
              <w:rPr>
                <w:rFonts w:ascii="Arial" w:cs="Arial" w:eastAsia="Arial" w:hAnsi="Arial"/>
                <w:sz w:val="12"/>
                <w:szCs w:val="12"/>
                <w:color w:val="auto"/>
                <w:w w:val="99"/>
              </w:rPr>
              <w:t>Baa3</w:t>
            </w:r>
          </w:p>
        </w:tc>
        <w:tc>
          <w:tcPr>
            <w:tcW w:w="1640" w:type="dxa"/>
            <w:vAlign w:val="bottom"/>
            <w:tcBorders>
              <w:bottom w:val="single" w:sz="8" w:color="029C93"/>
              <w:right w:val="single" w:sz="8" w:color="029C93"/>
            </w:tcBorders>
            <w:shd w:val="clear" w:color="auto" w:fill="E6E6E6"/>
          </w:tcPr>
          <w:p>
            <w:pPr>
              <w:jc w:val="center"/>
              <w:spacing w:after="0"/>
              <w:rPr>
                <w:sz w:val="20"/>
                <w:szCs w:val="20"/>
                <w:color w:val="auto"/>
              </w:rPr>
            </w:pPr>
            <w:r>
              <w:rPr>
                <w:rFonts w:ascii="Arial" w:cs="Arial" w:eastAsia="Arial" w:hAnsi="Arial"/>
                <w:sz w:val="12"/>
                <w:szCs w:val="12"/>
                <w:color w:val="auto"/>
                <w:w w:val="99"/>
              </w:rPr>
              <w:t>BBB-</w:t>
            </w:r>
          </w:p>
        </w:tc>
      </w:tr>
    </w:tbl>
    <w:p>
      <w:pPr>
        <w:spacing w:after="0" w:line="123"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Genmab’s current portfolio is spread over a number of different securities with a focus on liquidity and security. As of December 31, 2022, 75% of Genmab’s marketable securities were long-term A rated or higher, or short-term A-1 / P-1 rated by S&amp;P, Moody’s or Fitch compared to 68% as of December 31, 2021. The total value of marketable securities amounted to DKK 12,431 million at the end of 2022 compared to DKK 10,381 million at the end of 2021.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and Cash Equivalents</w:t>
      </w:r>
    </w:p>
    <w:p>
      <w:pPr>
        <w:spacing w:after="0" w:line="10" w:lineRule="exact"/>
        <w:rPr>
          <w:sz w:val="20"/>
          <w:szCs w:val="20"/>
          <w:color w:val="auto"/>
        </w:rPr>
      </w:pPr>
    </w:p>
    <w:p>
      <w:pPr>
        <w:ind w:left="20" w:right="99"/>
        <w:spacing w:after="0"/>
        <w:rPr>
          <w:sz w:val="20"/>
          <w:szCs w:val="20"/>
          <w:color w:val="auto"/>
        </w:rPr>
      </w:pPr>
      <w:r>
        <w:rPr>
          <w:rFonts w:ascii="Arial" w:cs="Arial" w:eastAsia="Arial" w:hAnsi="Arial"/>
          <w:sz w:val="12"/>
          <w:szCs w:val="12"/>
          <w:color w:val="auto"/>
        </w:rPr>
        <w:t>To reduce the credit risk on our bank deposits, Genmab’s policy is only to invest its cash deposits with highly rated financial institutions. Currently, these financial institutions have a short-term Fitch and S&amp;P rating of at least F-1 and A-1, respectively. In addition, Genmab maintains bank deposits at a level necessary to support the short-term funding requirements of Genmab. The total value of bank deposits including AAA rated money market funds and short-term marketable securities classified as cash equivalents amounted to DKK 9,893 million as of December 31, 2022 compared to DKK 8,957 million at the end of 2021. The increase was primarily driven by Genmab’s increased profitability and foreign exchange movements which positively impacted our USD denominated cash and cash equivalents.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Receivables</w:t>
      </w:r>
    </w:p>
    <w:p>
      <w:pPr>
        <w:spacing w:after="0" w:line="10" w:lineRule="exact"/>
        <w:rPr>
          <w:sz w:val="20"/>
          <w:szCs w:val="20"/>
          <w:color w:val="auto"/>
        </w:rPr>
      </w:pPr>
    </w:p>
    <w:p>
      <w:pPr>
        <w:ind w:left="20" w:right="379"/>
        <w:spacing w:after="0" w:line="252" w:lineRule="auto"/>
        <w:rPr>
          <w:sz w:val="20"/>
          <w:szCs w:val="20"/>
          <w:color w:val="auto"/>
        </w:rPr>
      </w:pPr>
      <w:r>
        <w:rPr>
          <w:rFonts w:ascii="Arial" w:cs="Arial" w:eastAsia="Arial" w:hAnsi="Arial"/>
          <w:sz w:val="12"/>
          <w:szCs w:val="12"/>
          <w:color w:val="auto"/>
        </w:rPr>
        <w:t xml:space="preserve">The credit risk related to our receivables is not significant based on the high-quality nature of Genmab’s collaboration partners. As disclosed in </w:t>
      </w:r>
      <w:r>
        <w:rPr>
          <w:rFonts w:ascii="Arial" w:cs="Arial" w:eastAsia="Arial" w:hAnsi="Arial"/>
          <w:sz w:val="12"/>
          <w:szCs w:val="12"/>
          <w:color w:val="029C93"/>
        </w:rPr>
        <w:t>Note 2.1</w:t>
      </w:r>
      <w:r>
        <w:rPr>
          <w:rFonts w:ascii="Arial" w:cs="Arial" w:eastAsia="Arial" w:hAnsi="Arial"/>
          <w:sz w:val="12"/>
          <w:szCs w:val="12"/>
          <w:color w:val="auto"/>
        </w:rPr>
        <w:t>, Janssen, Roche, AbbVie and BioNTech are Genmab’s primary partners in which receivables are established for royalties, milestone revenue and reimbursement revenue.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6" w:name="page107"/>
    <w:bookmarkEnd w:id="10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FOREIGN CURRENCY RISK</w:t>
      </w:r>
    </w:p>
    <w:p>
      <w:pPr>
        <w:spacing w:after="0" w:line="10" w:lineRule="exact"/>
        <w:rPr>
          <w:sz w:val="20"/>
          <w:szCs w:val="20"/>
          <w:color w:val="auto"/>
        </w:rPr>
      </w:pPr>
    </w:p>
    <w:p>
      <w:pPr>
        <w:ind w:left="20" w:right="159"/>
        <w:spacing w:after="0" w:line="252" w:lineRule="auto"/>
        <w:rPr>
          <w:sz w:val="20"/>
          <w:szCs w:val="20"/>
          <w:color w:val="auto"/>
        </w:rPr>
      </w:pPr>
      <w:r>
        <w:rPr>
          <w:rFonts w:ascii="Arial" w:cs="Arial" w:eastAsia="Arial" w:hAnsi="Arial"/>
          <w:sz w:val="12"/>
          <w:szCs w:val="12"/>
          <w:color w:val="auto"/>
        </w:rPr>
        <w:t>Genmab’s presentation currency is the DKK; however, Genmab’s revenues and expenses are in a number of different currencies. Consequently, there is a substantial risk of exchange rate fluctuations having an impact on Genmab’s cash flows, profit (loss) and/or financial position in DKK.</w:t>
      </w:r>
    </w:p>
    <w:p>
      <w:pPr>
        <w:spacing w:after="0" w:line="115"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The majority of Genmab’s revenue is generated in USD. Exchange rate changes to the USD will result in changes to the translated value of future net profit before tax and cash flows. Genmab’s revenue in USD was 89% of total revenue in 2022 as compared to 92% in 2021 and 95% in 2020.</w:t>
      </w:r>
    </w:p>
    <w:p>
      <w:pPr>
        <w:spacing w:after="0" w:line="103"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Under our license agreement with Janssen for DARZALEX, for purposes of calculating royalties due to Genmab, DARZALEX net sales for non-U.S. dollar denominated currencies are translated to U.S. dollars at a specified annual Currency Hedge Rate. Movements in foreign exchanges against the annual Currency Hedge Rate will result in changes to royalties due to Genmab impacting net profit before tax and cash flows.</w:t>
      </w:r>
    </w:p>
    <w:p>
      <w:pPr>
        <w:spacing w:after="0" w:line="113"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There is also exposure that exchange rate fluctuations may impact equity as part of the currency translation adjustments required to convert the investments in foreign subsidiaries from their respective functional currencies to the presentation currency during consolidation, however any such fluctuations would be immaterial. The foreign subsidiaries are not significantly affected by currency risks as both revenues and expenses are primarily settled in the foreign subsidiaries’ functional currencies.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Assets and Liabilities in Foreign Currency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Genmab’s marketable securities denominated in USD, DKK, EUR and GBP as a percentage of total marketable securities were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600" w:type="dxa"/>
            <w:vAlign w:val="bottom"/>
          </w:tcPr>
          <w:p>
            <w:pPr>
              <w:spacing w:after="0"/>
              <w:rPr>
                <w:sz w:val="13"/>
                <w:szCs w:val="13"/>
                <w:color w:val="auto"/>
              </w:rPr>
            </w:pP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8"/>
              </w:rPr>
              <w:t>December 31,</w:t>
            </w: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2"/>
                <w:szCs w:val="12"/>
                <w:color w:val="auto"/>
              </w:rPr>
              <w:t>December 31,</w:t>
            </w:r>
          </w:p>
        </w:tc>
      </w:tr>
      <w:tr>
        <w:trPr>
          <w:trHeight w:val="152"/>
        </w:trPr>
        <w:tc>
          <w:tcPr>
            <w:tcW w:w="2600" w:type="dxa"/>
            <w:vAlign w:val="bottom"/>
          </w:tcPr>
          <w:p>
            <w:pPr>
              <w:spacing w:after="0"/>
              <w:rPr>
                <w:sz w:val="13"/>
                <w:szCs w:val="13"/>
                <w:color w:val="auto"/>
              </w:rPr>
            </w:pP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2022</w:t>
            </w:r>
          </w:p>
        </w:tc>
        <w:tc>
          <w:tcPr>
            <w:tcW w:w="42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84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2021</w:t>
            </w:r>
          </w:p>
        </w:tc>
        <w:tc>
          <w:tcPr>
            <w:tcW w:w="120" w:type="dxa"/>
            <w:vAlign w:val="bottom"/>
          </w:tcPr>
          <w:p>
            <w:pPr>
              <w:spacing w:after="0"/>
              <w:rPr>
                <w:sz w:val="13"/>
                <w:szCs w:val="13"/>
                <w:color w:val="auto"/>
              </w:rPr>
            </w:pPr>
          </w:p>
        </w:tc>
      </w:tr>
      <w:tr>
        <w:trPr>
          <w:trHeight w:val="154"/>
        </w:trPr>
        <w:tc>
          <w:tcPr>
            <w:tcW w:w="4080" w:type="dxa"/>
            <w:vAlign w:val="bottom"/>
            <w:gridSpan w:val="2"/>
          </w:tcPr>
          <w:p>
            <w:pPr>
              <w:spacing w:after="0"/>
              <w:rPr>
                <w:sz w:val="20"/>
                <w:szCs w:val="20"/>
                <w:color w:val="auto"/>
              </w:rPr>
            </w:pPr>
            <w:r>
              <w:rPr>
                <w:rFonts w:ascii="Arial" w:cs="Arial" w:eastAsia="Arial" w:hAnsi="Arial"/>
                <w:sz w:val="12"/>
                <w:szCs w:val="12"/>
                <w:color w:val="auto"/>
              </w:rPr>
              <w:t>Percent</w:t>
            </w: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6"/>
        </w:trPr>
        <w:tc>
          <w:tcPr>
            <w:tcW w:w="4080" w:type="dxa"/>
            <w:vAlign w:val="bottom"/>
            <w:gridSpan w:val="2"/>
          </w:tcPr>
          <w:p>
            <w:pPr>
              <w:spacing w:after="0"/>
              <w:rPr>
                <w:sz w:val="20"/>
                <w:szCs w:val="20"/>
                <w:color w:val="auto"/>
              </w:rPr>
            </w:pPr>
            <w:r>
              <w:rPr>
                <w:rFonts w:ascii="Arial" w:cs="Arial" w:eastAsia="Arial" w:hAnsi="Arial"/>
                <w:sz w:val="12"/>
                <w:szCs w:val="12"/>
                <w:color w:val="auto"/>
              </w:rPr>
              <w:t>USD</w:t>
            </w:r>
          </w:p>
        </w:tc>
        <w:tc>
          <w:tcPr>
            <w:tcW w:w="1720" w:type="dxa"/>
            <w:vAlign w:val="bottom"/>
            <w:gridSpan w:val="2"/>
          </w:tcPr>
          <w:p>
            <w:pPr>
              <w:jc w:val="right"/>
              <w:ind w:right="1140"/>
              <w:spacing w:after="0"/>
              <w:rPr>
                <w:sz w:val="20"/>
                <w:szCs w:val="20"/>
                <w:color w:val="auto"/>
              </w:rPr>
            </w:pPr>
            <w:r>
              <w:rPr>
                <w:rFonts w:ascii="Arial" w:cs="Arial" w:eastAsia="Arial" w:hAnsi="Arial"/>
                <w:sz w:val="12"/>
                <w:szCs w:val="12"/>
                <w:color w:val="auto"/>
              </w:rPr>
              <w:t>80 %</w:t>
            </w:r>
          </w:p>
        </w:tc>
        <w:tc>
          <w:tcPr>
            <w:tcW w:w="1960" w:type="dxa"/>
            <w:vAlign w:val="bottom"/>
            <w:gridSpan w:val="2"/>
          </w:tcPr>
          <w:p>
            <w:pPr>
              <w:jc w:val="right"/>
              <w:spacing w:after="0"/>
              <w:rPr>
                <w:sz w:val="20"/>
                <w:szCs w:val="20"/>
                <w:color w:val="auto"/>
              </w:rPr>
            </w:pPr>
            <w:r>
              <w:rPr>
                <w:rFonts w:ascii="Arial" w:cs="Arial" w:eastAsia="Arial" w:hAnsi="Arial"/>
                <w:sz w:val="12"/>
                <w:szCs w:val="12"/>
                <w:color w:val="auto"/>
              </w:rPr>
              <w:t>75 %</w:t>
            </w:r>
          </w:p>
        </w:tc>
      </w:tr>
      <w:tr>
        <w:trPr>
          <w:trHeight w:val="136"/>
        </w:trPr>
        <w:tc>
          <w:tcPr>
            <w:tcW w:w="4080" w:type="dxa"/>
            <w:vAlign w:val="bottom"/>
            <w:gridSpan w:val="2"/>
          </w:tcPr>
          <w:p>
            <w:pPr>
              <w:spacing w:after="0" w:line="136" w:lineRule="exact"/>
              <w:rPr>
                <w:sz w:val="20"/>
                <w:szCs w:val="20"/>
                <w:color w:val="auto"/>
              </w:rPr>
            </w:pPr>
            <w:r>
              <w:rPr>
                <w:rFonts w:ascii="Arial" w:cs="Arial" w:eastAsia="Arial" w:hAnsi="Arial"/>
                <w:sz w:val="12"/>
                <w:szCs w:val="12"/>
                <w:color w:val="auto"/>
              </w:rPr>
              <w:t>DKK</w:t>
            </w:r>
          </w:p>
        </w:tc>
        <w:tc>
          <w:tcPr>
            <w:tcW w:w="1720" w:type="dxa"/>
            <w:vAlign w:val="bottom"/>
            <w:gridSpan w:val="2"/>
          </w:tcPr>
          <w:p>
            <w:pPr>
              <w:jc w:val="right"/>
              <w:ind w:right="1140"/>
              <w:spacing w:after="0" w:line="136" w:lineRule="exact"/>
              <w:rPr>
                <w:sz w:val="20"/>
                <w:szCs w:val="20"/>
                <w:color w:val="auto"/>
              </w:rPr>
            </w:pPr>
            <w:r>
              <w:rPr>
                <w:rFonts w:ascii="Arial" w:cs="Arial" w:eastAsia="Arial" w:hAnsi="Arial"/>
                <w:sz w:val="12"/>
                <w:szCs w:val="12"/>
                <w:color w:val="auto"/>
              </w:rPr>
              <w:t>12 %</w:t>
            </w:r>
          </w:p>
        </w:tc>
        <w:tc>
          <w:tcPr>
            <w:tcW w:w="19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16 %</w:t>
            </w:r>
          </w:p>
        </w:tc>
      </w:tr>
      <w:tr>
        <w:trPr>
          <w:trHeight w:val="136"/>
        </w:trPr>
        <w:tc>
          <w:tcPr>
            <w:tcW w:w="4080" w:type="dxa"/>
            <w:vAlign w:val="bottom"/>
            <w:gridSpan w:val="2"/>
          </w:tcPr>
          <w:p>
            <w:pPr>
              <w:spacing w:after="0" w:line="136" w:lineRule="exact"/>
              <w:rPr>
                <w:sz w:val="20"/>
                <w:szCs w:val="20"/>
                <w:color w:val="auto"/>
              </w:rPr>
            </w:pPr>
            <w:r>
              <w:rPr>
                <w:rFonts w:ascii="Arial" w:cs="Arial" w:eastAsia="Arial" w:hAnsi="Arial"/>
                <w:sz w:val="12"/>
                <w:szCs w:val="12"/>
                <w:color w:val="auto"/>
              </w:rPr>
              <w:t>EUR</w:t>
            </w:r>
          </w:p>
        </w:tc>
        <w:tc>
          <w:tcPr>
            <w:tcW w:w="1720" w:type="dxa"/>
            <w:vAlign w:val="bottom"/>
            <w:gridSpan w:val="2"/>
          </w:tcPr>
          <w:p>
            <w:pPr>
              <w:jc w:val="right"/>
              <w:ind w:right="1140"/>
              <w:spacing w:after="0" w:line="136" w:lineRule="exact"/>
              <w:rPr>
                <w:sz w:val="20"/>
                <w:szCs w:val="20"/>
                <w:color w:val="auto"/>
              </w:rPr>
            </w:pPr>
            <w:r>
              <w:rPr>
                <w:rFonts w:ascii="Arial" w:cs="Arial" w:eastAsia="Arial" w:hAnsi="Arial"/>
                <w:sz w:val="12"/>
                <w:szCs w:val="12"/>
                <w:color w:val="auto"/>
              </w:rPr>
              <w:t>7 %</w:t>
            </w:r>
          </w:p>
        </w:tc>
        <w:tc>
          <w:tcPr>
            <w:tcW w:w="19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8 %</w:t>
            </w:r>
          </w:p>
        </w:tc>
      </w:tr>
      <w:tr>
        <w:trPr>
          <w:trHeight w:val="149"/>
        </w:trPr>
        <w:tc>
          <w:tcPr>
            <w:tcW w:w="4080" w:type="dxa"/>
            <w:vAlign w:val="bottom"/>
            <w:gridSpan w:val="2"/>
          </w:tcPr>
          <w:p>
            <w:pPr>
              <w:spacing w:after="0"/>
              <w:rPr>
                <w:sz w:val="20"/>
                <w:szCs w:val="20"/>
                <w:color w:val="auto"/>
              </w:rPr>
            </w:pPr>
            <w:r>
              <w:rPr>
                <w:rFonts w:ascii="Arial" w:cs="Arial" w:eastAsia="Arial" w:hAnsi="Arial"/>
                <w:sz w:val="12"/>
                <w:szCs w:val="12"/>
                <w:color w:val="auto"/>
              </w:rPr>
              <w:t>GBP</w:t>
            </w:r>
          </w:p>
        </w:tc>
        <w:tc>
          <w:tcPr>
            <w:tcW w:w="1720" w:type="dxa"/>
            <w:vAlign w:val="bottom"/>
            <w:gridSpan w:val="2"/>
          </w:tcPr>
          <w:p>
            <w:pPr>
              <w:jc w:val="right"/>
              <w:ind w:right="1140"/>
              <w:spacing w:after="0"/>
              <w:rPr>
                <w:sz w:val="20"/>
                <w:szCs w:val="20"/>
                <w:color w:val="auto"/>
              </w:rPr>
            </w:pPr>
            <w:r>
              <w:rPr>
                <w:rFonts w:ascii="Arial" w:cs="Arial" w:eastAsia="Arial" w:hAnsi="Arial"/>
                <w:sz w:val="12"/>
                <w:szCs w:val="12"/>
                <w:color w:val="auto"/>
              </w:rPr>
              <w:t>1 %</w:t>
            </w:r>
          </w:p>
        </w:tc>
        <w:tc>
          <w:tcPr>
            <w:tcW w:w="1960" w:type="dxa"/>
            <w:vAlign w:val="bottom"/>
            <w:gridSpan w:val="2"/>
          </w:tcPr>
          <w:p>
            <w:pPr>
              <w:jc w:val="right"/>
              <w:spacing w:after="0"/>
              <w:rPr>
                <w:sz w:val="20"/>
                <w:szCs w:val="20"/>
                <w:color w:val="auto"/>
              </w:rPr>
            </w:pPr>
            <w:r>
              <w:rPr>
                <w:rFonts w:ascii="Arial" w:cs="Arial" w:eastAsia="Arial" w:hAnsi="Arial"/>
                <w:sz w:val="12"/>
                <w:szCs w:val="12"/>
                <w:color w:val="auto"/>
              </w:rPr>
              <w:t>1 %</w:t>
            </w:r>
          </w:p>
        </w:tc>
      </w:tr>
      <w:tr>
        <w:trPr>
          <w:trHeight w:val="125"/>
        </w:trPr>
        <w:tc>
          <w:tcPr>
            <w:tcW w:w="2600" w:type="dxa"/>
            <w:vAlign w:val="bottom"/>
          </w:tcPr>
          <w:p>
            <w:pPr>
              <w:spacing w:after="0" w:line="125" w:lineRule="exact"/>
              <w:rPr>
                <w:sz w:val="20"/>
                <w:szCs w:val="20"/>
                <w:color w:val="auto"/>
              </w:rPr>
            </w:pPr>
            <w:r>
              <w:rPr>
                <w:rFonts w:ascii="Arial" w:cs="Arial" w:eastAsia="Arial" w:hAnsi="Arial"/>
                <w:sz w:val="12"/>
                <w:szCs w:val="12"/>
                <w:b w:val="1"/>
                <w:bCs w:val="1"/>
                <w:color w:val="auto"/>
              </w:rPr>
              <w:t>Total</w:t>
            </w:r>
          </w:p>
        </w:tc>
        <w:tc>
          <w:tcPr>
            <w:tcW w:w="14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100</w:t>
            </w:r>
          </w:p>
        </w:tc>
        <w:tc>
          <w:tcPr>
            <w:tcW w:w="1300" w:type="dxa"/>
            <w:vAlign w:val="bottom"/>
          </w:tcPr>
          <w:p>
            <w:pPr>
              <w:jc w:val="right"/>
              <w:ind w:right="1140"/>
              <w:spacing w:after="0" w:line="125" w:lineRule="exact"/>
              <w:rPr>
                <w:sz w:val="20"/>
                <w:szCs w:val="20"/>
                <w:color w:val="auto"/>
              </w:rPr>
            </w:pPr>
            <w:r>
              <w:rPr>
                <w:rFonts w:ascii="Arial" w:cs="Arial" w:eastAsia="Arial" w:hAnsi="Arial"/>
                <w:sz w:val="12"/>
                <w:szCs w:val="12"/>
                <w:color w:val="auto"/>
                <w:w w:val="74"/>
              </w:rPr>
              <w:t>%</w:t>
            </w:r>
          </w:p>
        </w:tc>
        <w:tc>
          <w:tcPr>
            <w:tcW w:w="18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100</w:t>
            </w:r>
          </w:p>
        </w:tc>
        <w:tc>
          <w:tcPr>
            <w:tcW w:w="120" w:type="dxa"/>
            <w:vAlign w:val="bottom"/>
          </w:tcPr>
          <w:p>
            <w:pPr>
              <w:jc w:val="right"/>
              <w:spacing w:after="0" w:line="125" w:lineRule="exact"/>
              <w:rPr>
                <w:sz w:val="20"/>
                <w:szCs w:val="20"/>
                <w:color w:val="auto"/>
              </w:rPr>
            </w:pPr>
            <w:r>
              <w:rPr>
                <w:rFonts w:ascii="Arial" w:cs="Arial" w:eastAsia="Arial" w:hAnsi="Arial"/>
                <w:sz w:val="12"/>
                <w:szCs w:val="12"/>
                <w:color w:val="auto"/>
                <w:w w:val="93"/>
              </w:rPr>
              <w:t>%</w:t>
            </w:r>
          </w:p>
        </w:tc>
      </w:tr>
    </w:tbl>
    <w:p>
      <w:pPr>
        <w:spacing w:after="0" w:line="123" w:lineRule="exact"/>
        <w:rPr>
          <w:sz w:val="20"/>
          <w:szCs w:val="20"/>
          <w:color w:val="auto"/>
        </w:rPr>
      </w:pPr>
    </w:p>
    <w:p>
      <w:pPr>
        <w:ind w:left="20" w:right="59"/>
        <w:spacing w:after="0" w:line="242" w:lineRule="auto"/>
        <w:rPr>
          <w:sz w:val="20"/>
          <w:szCs w:val="20"/>
          <w:color w:val="auto"/>
        </w:rPr>
      </w:pPr>
      <w:r>
        <w:rPr>
          <w:rFonts w:ascii="Arial" w:cs="Arial" w:eastAsia="Arial" w:hAnsi="Arial"/>
          <w:sz w:val="12"/>
          <w:szCs w:val="12"/>
          <w:color w:val="auto"/>
        </w:rPr>
        <w:t>Genmab’s USD currency exposure is mainly related to cash and cash equivalents, marketable securities, and receivables related to our collaborations with Janssen, AbbVie, Roche and Seagen. Significant changes in the exchange rate of USD to DKK could cause net profit before tax to change materially as gains and losses are recognized in the income statement. Based on the amount of assets and liabilities denominated in USD as of December 31, 2022 and 2021, a 10% increase/ decrease in the USD to DKK exchange rate is estimated to impact Genmab’s net profit before tax by approximately DKK 2.2 billion and DKK 1.5 billion, respectively. The analysis assumes that all other variables, in particular interest rates, remain constant. The movements in the income statement and equity arise from monetary items (cash and cash equivalents, marketable securities, receivables and liabilities) where the functional currency of the entity differs from the currency that the monetary items are denominated in.</w:t>
      </w:r>
    </w:p>
    <w:p>
      <w:pPr>
        <w:spacing w:after="0" w:line="123"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Genmab’s EUR exposure is mainly related to our marketable securities, receivables under our collaboration with BioNTech, and other costs denominated in EUR. Since the introduction of the EUR in 1999, Denmark has committed to maintaining a central rate of 7.46 DKK to the EUR. This rate may fluctuate within a +/- 2.25% band. Should Denmark’s policy toward the EUR change, the DKK values of our EUR denominated assets and costs could be materially different compared to what is calculated and reported under the existing</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7" w:name="page108"/>
    <w:bookmarkEnd w:id="10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Danish policy toward the DKK/EUR. As of December 31, 2022 and 2021, Genmab’s EUR exposure is not material.</w:t>
      </w:r>
    </w:p>
    <w:p>
      <w:pPr>
        <w:spacing w:after="0" w:line="143"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Genmab’s GBP currency exposure is mainly related to contracts and marketable securities denominated in GBP. As of December 31, 2022 and 2021, Genmab’s GBP exposure is not material.</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INTEREST RATE RISK</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Genmab’s exposure to interest rate risk is primarily related to marketable securities, as Genmab currently does not have significant interest-bearing debts.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Marketable Securities</w:t>
      </w:r>
    </w:p>
    <w:p>
      <w:pPr>
        <w:spacing w:after="0" w:line="10" w:lineRule="exact"/>
        <w:rPr>
          <w:sz w:val="20"/>
          <w:szCs w:val="20"/>
          <w:color w:val="auto"/>
        </w:rPr>
      </w:pPr>
    </w:p>
    <w:p>
      <w:pPr>
        <w:ind w:left="20" w:right="439"/>
        <w:spacing w:after="0" w:line="252" w:lineRule="auto"/>
        <w:rPr>
          <w:sz w:val="20"/>
          <w:szCs w:val="20"/>
          <w:color w:val="auto"/>
        </w:rPr>
      </w:pPr>
      <w:r>
        <w:rPr>
          <w:rFonts w:ascii="Arial" w:cs="Arial" w:eastAsia="Arial" w:hAnsi="Arial"/>
          <w:sz w:val="12"/>
          <w:szCs w:val="12"/>
          <w:color w:val="auto"/>
        </w:rPr>
        <w:t>The securities in which the Group has invested bear interest rate risk, as a change in market-derived interest rates may cause fluctuations in the fair value of the investments. In accordance with the objective of the investment activities, the portfolio of securities is monitored on a total return basis.</w:t>
      </w:r>
    </w:p>
    <w:p>
      <w:pPr>
        <w:spacing w:after="0" w:line="115" w:lineRule="exact"/>
        <w:rPr>
          <w:sz w:val="20"/>
          <w:szCs w:val="20"/>
          <w:color w:val="auto"/>
        </w:rPr>
      </w:pPr>
    </w:p>
    <w:p>
      <w:pPr>
        <w:ind w:left="20" w:right="79"/>
        <w:spacing w:after="0" w:line="273" w:lineRule="auto"/>
        <w:rPr>
          <w:sz w:val="20"/>
          <w:szCs w:val="20"/>
          <w:color w:val="auto"/>
        </w:rPr>
      </w:pPr>
      <w:r>
        <w:rPr>
          <w:rFonts w:ascii="Arial" w:cs="Arial" w:eastAsia="Arial" w:hAnsi="Arial"/>
          <w:sz w:val="12"/>
          <w:szCs w:val="12"/>
          <w:color w:val="auto"/>
        </w:rPr>
        <w:t>To control and minimize the interest rate risk, Genmab maintains an investment portfolio in a variety of securities with a relatively short effective duration with both fixed and variable interest rates.</w:t>
      </w:r>
    </w:p>
    <w:p>
      <w:pPr>
        <w:spacing w:after="0" w:line="103"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A sensitivity analysis was performed on Genmab’s marketable securities, and based on exposures in 2021 and 2022, a hypothetical +/- 1% interest rate change would not have resulted in a material change in the fair values of these financial instruments. Due to the short-term nature of the current investments and to the extent that Genmab is able to hold the investments to maturity, the current exposure to changes in fair value due to interest rate changes is considered to be insignificant compared to the fair value of the portfolio.</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3080" w:type="dxa"/>
            <w:vAlign w:val="bottom"/>
          </w:tcPr>
          <w:p>
            <w:pPr>
              <w:jc w:val="right"/>
              <w:ind w:right="247"/>
              <w:spacing w:after="0"/>
              <w:rPr>
                <w:sz w:val="20"/>
                <w:szCs w:val="20"/>
                <w:color w:val="auto"/>
              </w:rPr>
            </w:pPr>
            <w:r>
              <w:rPr>
                <w:rFonts w:ascii="Arial" w:cs="Arial" w:eastAsia="Arial" w:hAnsi="Arial"/>
                <w:sz w:val="11"/>
                <w:szCs w:val="11"/>
                <w:b w:val="1"/>
                <w:bCs w:val="1"/>
                <w:color w:val="auto"/>
              </w:rPr>
              <w:t>(DKK million)</w:t>
            </w:r>
          </w:p>
        </w:tc>
        <w:tc>
          <w:tcPr>
            <w:tcW w:w="280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1"/>
                <w:szCs w:val="11"/>
                <w:b w:val="1"/>
                <w:bCs w:val="1"/>
                <w:color w:val="auto"/>
              </w:rPr>
              <w:t>2022</w:t>
            </w:r>
          </w:p>
        </w:tc>
        <w:tc>
          <w:tcPr>
            <w:tcW w:w="300" w:type="dxa"/>
            <w:vAlign w:val="bottom"/>
          </w:tcPr>
          <w:p>
            <w:pPr>
              <w:spacing w:after="0"/>
              <w:rPr>
                <w:sz w:val="11"/>
                <w:szCs w:val="11"/>
                <w:color w:val="auto"/>
              </w:rPr>
            </w:pPr>
          </w:p>
        </w:tc>
        <w:tc>
          <w:tcPr>
            <w:tcW w:w="2780" w:type="dxa"/>
            <w:vAlign w:val="bottom"/>
            <w:tcBorders>
              <w:bottom w:val="single" w:sz="8" w:color="auto"/>
            </w:tcBorders>
          </w:tcPr>
          <w:p>
            <w:pPr>
              <w:jc w:val="right"/>
              <w:ind w:right="1207"/>
              <w:spacing w:after="0"/>
              <w:rPr>
                <w:sz w:val="20"/>
                <w:szCs w:val="20"/>
                <w:color w:val="auto"/>
              </w:rPr>
            </w:pPr>
            <w:r>
              <w:rPr>
                <w:rFonts w:ascii="Arial" w:cs="Arial" w:eastAsia="Arial" w:hAnsi="Arial"/>
                <w:sz w:val="11"/>
                <w:szCs w:val="11"/>
                <w:b w:val="1"/>
                <w:bCs w:val="1"/>
                <w:color w:val="auto"/>
              </w:rPr>
              <w:t>2021</w:t>
            </w:r>
          </w:p>
        </w:tc>
      </w:tr>
      <w:tr>
        <w:trPr>
          <w:trHeight w:val="234"/>
        </w:trPr>
        <w:tc>
          <w:tcPr>
            <w:tcW w:w="3080" w:type="dxa"/>
            <w:vAlign w:val="bottom"/>
          </w:tcPr>
          <w:p>
            <w:pPr>
              <w:jc w:val="right"/>
              <w:ind w:right="247"/>
              <w:spacing w:after="0"/>
              <w:rPr>
                <w:sz w:val="20"/>
                <w:szCs w:val="20"/>
                <w:color w:val="auto"/>
              </w:rPr>
            </w:pPr>
            <w:r>
              <w:rPr>
                <w:rFonts w:ascii="Arial" w:cs="Arial" w:eastAsia="Arial" w:hAnsi="Arial"/>
                <w:sz w:val="11"/>
                <w:szCs w:val="11"/>
                <w:b w:val="1"/>
                <w:bCs w:val="1"/>
                <w:color w:val="auto"/>
              </w:rPr>
              <w:t>Year of Maturity</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27"/>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2022</w:t>
            </w:r>
          </w:p>
        </w:tc>
        <w:tc>
          <w:tcPr>
            <w:tcW w:w="28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Arial" w:cs="Arial" w:eastAsia="Arial" w:hAnsi="Arial"/>
                <w:sz w:val="11"/>
                <w:szCs w:val="11"/>
                <w:color w:val="auto"/>
              </w:rPr>
              <w:t>3,372</w:t>
            </w:r>
          </w:p>
        </w:tc>
      </w:tr>
      <w:tr>
        <w:trPr>
          <w:trHeight w:val="127"/>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2023</w:t>
            </w:r>
          </w:p>
        </w:tc>
        <w:tc>
          <w:tcPr>
            <w:tcW w:w="2800" w:type="dxa"/>
            <w:vAlign w:val="bottom"/>
            <w:gridSpan w:val="3"/>
          </w:tcPr>
          <w:p>
            <w:pPr>
              <w:jc w:val="right"/>
              <w:ind w:right="40"/>
              <w:spacing w:after="0"/>
              <w:rPr>
                <w:sz w:val="20"/>
                <w:szCs w:val="20"/>
                <w:color w:val="auto"/>
              </w:rPr>
            </w:pPr>
            <w:r>
              <w:rPr>
                <w:rFonts w:ascii="Arial" w:cs="Arial" w:eastAsia="Arial" w:hAnsi="Arial"/>
                <w:sz w:val="11"/>
                <w:szCs w:val="11"/>
                <w:color w:val="auto"/>
              </w:rPr>
              <w:t>6,254</w:t>
            </w:r>
          </w:p>
        </w:tc>
        <w:tc>
          <w:tcPr>
            <w:tcW w:w="30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Arial" w:cs="Arial" w:eastAsia="Arial" w:hAnsi="Arial"/>
                <w:sz w:val="11"/>
                <w:szCs w:val="11"/>
                <w:color w:val="auto"/>
              </w:rPr>
              <w:t>3,041</w:t>
            </w:r>
          </w:p>
        </w:tc>
      </w:tr>
      <w:tr>
        <w:trPr>
          <w:trHeight w:val="127"/>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2024</w:t>
            </w:r>
          </w:p>
        </w:tc>
        <w:tc>
          <w:tcPr>
            <w:tcW w:w="2800" w:type="dxa"/>
            <w:vAlign w:val="bottom"/>
            <w:gridSpan w:val="3"/>
          </w:tcPr>
          <w:p>
            <w:pPr>
              <w:jc w:val="right"/>
              <w:ind w:right="40"/>
              <w:spacing w:after="0"/>
              <w:rPr>
                <w:sz w:val="20"/>
                <w:szCs w:val="20"/>
                <w:color w:val="auto"/>
              </w:rPr>
            </w:pPr>
            <w:r>
              <w:rPr>
                <w:rFonts w:ascii="Arial" w:cs="Arial" w:eastAsia="Arial" w:hAnsi="Arial"/>
                <w:sz w:val="11"/>
                <w:szCs w:val="11"/>
                <w:color w:val="auto"/>
              </w:rPr>
              <w:t>3,660</w:t>
            </w:r>
          </w:p>
        </w:tc>
        <w:tc>
          <w:tcPr>
            <w:tcW w:w="30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Arial" w:cs="Arial" w:eastAsia="Arial" w:hAnsi="Arial"/>
                <w:sz w:val="11"/>
                <w:szCs w:val="11"/>
                <w:color w:val="auto"/>
              </w:rPr>
              <w:t>2,654</w:t>
            </w:r>
          </w:p>
        </w:tc>
      </w:tr>
      <w:tr>
        <w:trPr>
          <w:trHeight w:val="127"/>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2025</w:t>
            </w:r>
          </w:p>
        </w:tc>
        <w:tc>
          <w:tcPr>
            <w:tcW w:w="2800" w:type="dxa"/>
            <w:vAlign w:val="bottom"/>
            <w:gridSpan w:val="3"/>
          </w:tcPr>
          <w:p>
            <w:pPr>
              <w:jc w:val="right"/>
              <w:ind w:right="40"/>
              <w:spacing w:after="0"/>
              <w:rPr>
                <w:sz w:val="20"/>
                <w:szCs w:val="20"/>
                <w:color w:val="auto"/>
              </w:rPr>
            </w:pPr>
            <w:r>
              <w:rPr>
                <w:rFonts w:ascii="Arial" w:cs="Arial" w:eastAsia="Arial" w:hAnsi="Arial"/>
                <w:sz w:val="11"/>
                <w:szCs w:val="11"/>
                <w:color w:val="auto"/>
              </w:rPr>
              <w:t>1,801</w:t>
            </w:r>
          </w:p>
        </w:tc>
        <w:tc>
          <w:tcPr>
            <w:tcW w:w="30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Arial" w:cs="Arial" w:eastAsia="Arial" w:hAnsi="Arial"/>
                <w:sz w:val="11"/>
                <w:szCs w:val="11"/>
                <w:color w:val="auto"/>
              </w:rPr>
              <w:t>448</w:t>
            </w:r>
          </w:p>
        </w:tc>
      </w:tr>
      <w:tr>
        <w:trPr>
          <w:trHeight w:val="127"/>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2026</w:t>
            </w:r>
          </w:p>
        </w:tc>
        <w:tc>
          <w:tcPr>
            <w:tcW w:w="2800" w:type="dxa"/>
            <w:vAlign w:val="bottom"/>
            <w:gridSpan w:val="3"/>
          </w:tcPr>
          <w:p>
            <w:pPr>
              <w:jc w:val="right"/>
              <w:ind w:right="40"/>
              <w:spacing w:after="0"/>
              <w:rPr>
                <w:sz w:val="20"/>
                <w:szCs w:val="20"/>
                <w:color w:val="auto"/>
              </w:rPr>
            </w:pPr>
            <w:r>
              <w:rPr>
                <w:rFonts w:ascii="Arial" w:cs="Arial" w:eastAsia="Arial" w:hAnsi="Arial"/>
                <w:sz w:val="11"/>
                <w:szCs w:val="11"/>
                <w:color w:val="auto"/>
              </w:rPr>
              <w:t>219</w:t>
            </w:r>
          </w:p>
        </w:tc>
        <w:tc>
          <w:tcPr>
            <w:tcW w:w="30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Arial" w:cs="Arial" w:eastAsia="Arial" w:hAnsi="Arial"/>
                <w:sz w:val="11"/>
                <w:szCs w:val="11"/>
                <w:color w:val="auto"/>
              </w:rPr>
              <w:t>152</w:t>
            </w:r>
          </w:p>
        </w:tc>
      </w:tr>
      <w:tr>
        <w:trPr>
          <w:trHeight w:val="136"/>
        </w:trPr>
        <w:tc>
          <w:tcPr>
            <w:tcW w:w="3080" w:type="dxa"/>
            <w:vAlign w:val="bottom"/>
          </w:tcPr>
          <w:p>
            <w:pPr>
              <w:jc w:val="right"/>
              <w:ind w:right="247"/>
              <w:spacing w:after="0"/>
              <w:rPr>
                <w:sz w:val="20"/>
                <w:szCs w:val="20"/>
                <w:color w:val="auto"/>
              </w:rPr>
            </w:pPr>
            <w:r>
              <w:rPr>
                <w:rFonts w:ascii="Arial" w:cs="Arial" w:eastAsia="Arial" w:hAnsi="Arial"/>
                <w:sz w:val="11"/>
                <w:szCs w:val="11"/>
                <w:color w:val="auto"/>
              </w:rPr>
              <w:t>2027+</w:t>
            </w:r>
          </w:p>
        </w:tc>
        <w:tc>
          <w:tcPr>
            <w:tcW w:w="2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497</w:t>
            </w:r>
          </w:p>
        </w:tc>
        <w:tc>
          <w:tcPr>
            <w:tcW w:w="300" w:type="dxa"/>
            <w:vAlign w:val="bottom"/>
          </w:tcPr>
          <w:p>
            <w:pPr>
              <w:spacing w:after="0"/>
              <w:rPr>
                <w:sz w:val="11"/>
                <w:szCs w:val="11"/>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w:t>
            </w:r>
          </w:p>
        </w:tc>
      </w:tr>
      <w:tr>
        <w:trPr>
          <w:trHeight w:val="116"/>
        </w:trPr>
        <w:tc>
          <w:tcPr>
            <w:tcW w:w="3080" w:type="dxa"/>
            <w:vAlign w:val="bottom"/>
          </w:tcPr>
          <w:p>
            <w:pPr>
              <w:jc w:val="right"/>
              <w:ind w:right="247"/>
              <w:spacing w:after="0" w:line="116" w:lineRule="exact"/>
              <w:rPr>
                <w:sz w:val="20"/>
                <w:szCs w:val="20"/>
                <w:color w:val="auto"/>
              </w:rPr>
            </w:pPr>
            <w:r>
              <w:rPr>
                <w:rFonts w:ascii="Arial" w:cs="Arial" w:eastAsia="Arial" w:hAnsi="Arial"/>
                <w:sz w:val="11"/>
                <w:szCs w:val="11"/>
                <w:b w:val="1"/>
                <w:bCs w:val="1"/>
                <w:color w:val="auto"/>
              </w:rPr>
              <w:t>Total</w:t>
            </w:r>
          </w:p>
        </w:tc>
        <w:tc>
          <w:tcPr>
            <w:tcW w:w="2800" w:type="dxa"/>
            <w:vAlign w:val="bottom"/>
            <w:tcBorders>
              <w:bottom w:val="single" w:sz="8" w:color="auto"/>
            </w:tcBorders>
            <w:gridSpan w:val="3"/>
          </w:tcPr>
          <w:p>
            <w:pPr>
              <w:jc w:val="right"/>
              <w:ind w:right="40"/>
              <w:spacing w:after="0" w:line="116" w:lineRule="exact"/>
              <w:rPr>
                <w:sz w:val="20"/>
                <w:szCs w:val="20"/>
                <w:color w:val="auto"/>
              </w:rPr>
            </w:pPr>
            <w:r>
              <w:rPr>
                <w:rFonts w:ascii="Arial" w:cs="Arial" w:eastAsia="Arial" w:hAnsi="Arial"/>
                <w:sz w:val="11"/>
                <w:szCs w:val="11"/>
                <w:b w:val="1"/>
                <w:bCs w:val="1"/>
                <w:color w:val="auto"/>
              </w:rPr>
              <w:t>12,431</w:t>
            </w:r>
          </w:p>
        </w:tc>
        <w:tc>
          <w:tcPr>
            <w:tcW w:w="300" w:type="dxa"/>
            <w:vAlign w:val="bottom"/>
          </w:tcPr>
          <w:p>
            <w:pPr>
              <w:spacing w:after="0"/>
              <w:rPr>
                <w:sz w:val="10"/>
                <w:szCs w:val="10"/>
                <w:color w:val="auto"/>
              </w:rPr>
            </w:pPr>
          </w:p>
        </w:tc>
        <w:tc>
          <w:tcPr>
            <w:tcW w:w="27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10,381</w:t>
            </w:r>
          </w:p>
        </w:tc>
      </w:tr>
      <w:tr>
        <w:trPr>
          <w:trHeight w:val="664"/>
        </w:trPr>
        <w:tc>
          <w:tcPr>
            <w:tcW w:w="3080" w:type="dxa"/>
            <w:vAlign w:val="bottom"/>
          </w:tcPr>
          <w:p>
            <w:pPr>
              <w:spacing w:after="0"/>
              <w:rPr>
                <w:sz w:val="20"/>
                <w:szCs w:val="20"/>
                <w:color w:val="auto"/>
              </w:rPr>
            </w:pPr>
            <w:r>
              <w:rPr>
                <w:rFonts w:ascii="Arial" w:cs="Arial" w:eastAsia="Arial" w:hAnsi="Arial"/>
                <w:sz w:val="10"/>
                <w:szCs w:val="10"/>
                <w:color w:val="auto"/>
              </w:rPr>
              <w:t>Genmab A/S</w:t>
            </w:r>
          </w:p>
        </w:tc>
        <w:tc>
          <w:tcPr>
            <w:tcW w:w="3100" w:type="dxa"/>
            <w:vAlign w:val="bottom"/>
            <w:gridSpan w:val="4"/>
          </w:tcPr>
          <w:p>
            <w:pPr>
              <w:ind w:left="60"/>
              <w:spacing w:after="0"/>
              <w:rPr>
                <w:sz w:val="20"/>
                <w:szCs w:val="20"/>
                <w:color w:val="auto"/>
              </w:rPr>
            </w:pPr>
            <w:r>
              <w:rPr>
                <w:rFonts w:ascii="Arial" w:cs="Arial" w:eastAsia="Arial" w:hAnsi="Arial"/>
                <w:sz w:val="10"/>
                <w:szCs w:val="10"/>
                <w:color w:val="auto"/>
              </w:rPr>
              <w:t>Tel: +45 7020 2728</w:t>
            </w:r>
          </w:p>
        </w:tc>
        <w:tc>
          <w:tcPr>
            <w:tcW w:w="278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30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jc w:val="right"/>
              <w:spacing w:after="0" w:line="109" w:lineRule="exact"/>
              <w:rPr>
                <w:sz w:val="20"/>
                <w:szCs w:val="20"/>
                <w:color w:val="auto"/>
              </w:rPr>
            </w:pPr>
            <w:r>
              <w:rPr>
                <w:rFonts w:ascii="Arial" w:cs="Arial" w:eastAsia="Arial" w:hAnsi="Arial"/>
                <w:sz w:val="10"/>
                <w:szCs w:val="10"/>
                <w:color w:val="auto"/>
              </w:rPr>
              <w:t>Page 105/158</w:t>
            </w:r>
          </w:p>
        </w:tc>
      </w:tr>
      <w:tr>
        <w:trPr>
          <w:trHeight w:val="105"/>
        </w:trPr>
        <w:tc>
          <w:tcPr>
            <w:tcW w:w="308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100" w:type="dxa"/>
            <w:vAlign w:val="bottom"/>
            <w:gridSpan w:val="4"/>
          </w:tcPr>
          <w:p>
            <w:pPr>
              <w:ind w:left="60"/>
              <w:spacing w:after="0" w:line="105" w:lineRule="exact"/>
              <w:rPr>
                <w:sz w:val="20"/>
                <w:szCs w:val="20"/>
                <w:color w:val="auto"/>
              </w:rPr>
            </w:pPr>
            <w:r>
              <w:rPr>
                <w:rFonts w:ascii="Arial" w:cs="Arial" w:eastAsia="Arial" w:hAnsi="Arial"/>
                <w:sz w:val="10"/>
                <w:szCs w:val="10"/>
                <w:color w:val="0000FF"/>
              </w:rPr>
              <w:t>www.genmab.com</w:t>
            </w:r>
          </w:p>
        </w:tc>
        <w:tc>
          <w:tcPr>
            <w:tcW w:w="278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8" w:name="page109"/>
    <w:bookmarkEnd w:id="10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4.3 —Financial Assets and Liabilities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CATEGORIES OF FINANCIAL ASSETS AND LIABILITIES</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2940" w:type="dxa"/>
            <w:vAlign w:val="bottom"/>
            <w:tcBorders>
              <w:top w:val="single" w:sz="8" w:color="auto"/>
              <w:left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right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right w:val="single" w:sz="8" w:color="auto"/>
            </w:tcBorders>
          </w:tcPr>
          <w:p>
            <w:pPr>
              <w:spacing w:after="0"/>
              <w:rPr>
                <w:sz w:val="12"/>
                <w:szCs w:val="12"/>
                <w:color w:val="auto"/>
              </w:rPr>
            </w:pPr>
          </w:p>
        </w:tc>
        <w:tc>
          <w:tcPr>
            <w:tcW w:w="1720" w:type="dxa"/>
            <w:vAlign w:val="bottom"/>
            <w:tcBorders>
              <w:top w:val="single" w:sz="8" w:color="auto"/>
              <w:bottom w:val="single" w:sz="8" w:color="auto"/>
              <w:right w:val="single" w:sz="8" w:color="auto"/>
            </w:tcBorders>
          </w:tcPr>
          <w:p>
            <w:pPr>
              <w:spacing w:after="0"/>
              <w:rPr>
                <w:sz w:val="12"/>
                <w:szCs w:val="12"/>
                <w:color w:val="auto"/>
              </w:rPr>
            </w:pPr>
          </w:p>
        </w:tc>
        <w:tc>
          <w:tcPr>
            <w:tcW w:w="2080" w:type="dxa"/>
            <w:vAlign w:val="bottom"/>
            <w:tcBorders>
              <w:top w:val="single" w:sz="8" w:color="auto"/>
              <w:bottom w:val="single" w:sz="8" w:color="auto"/>
              <w:right w:val="single" w:sz="8" w:color="auto"/>
            </w:tcBorders>
          </w:tcPr>
          <w:p>
            <w:pPr>
              <w:spacing w:after="0"/>
              <w:rPr>
                <w:sz w:val="12"/>
                <w:szCs w:val="12"/>
                <w:color w:val="auto"/>
              </w:rPr>
            </w:pP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(DKK million)</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b w:val="1"/>
                <w:bCs w:val="1"/>
                <w:color w:val="auto"/>
                <w:w w:val="97"/>
              </w:rPr>
              <w:t>Note</w:t>
            </w:r>
          </w:p>
        </w:tc>
        <w:tc>
          <w:tcPr>
            <w:tcW w:w="1720" w:type="dxa"/>
            <w:vAlign w:val="bottom"/>
            <w:tcBorders>
              <w:bottom w:val="single" w:sz="8" w:color="auto"/>
              <w:right w:val="single" w:sz="8" w:color="auto"/>
            </w:tcBorders>
          </w:tcPr>
          <w:p>
            <w:pPr>
              <w:jc w:val="right"/>
              <w:ind w:right="680"/>
              <w:spacing w:after="0" w:line="125" w:lineRule="exact"/>
              <w:rPr>
                <w:sz w:val="20"/>
                <w:szCs w:val="20"/>
                <w:color w:val="auto"/>
              </w:rPr>
            </w:pPr>
            <w:r>
              <w:rPr>
                <w:rFonts w:ascii="Arial" w:cs="Arial" w:eastAsia="Arial" w:hAnsi="Arial"/>
                <w:sz w:val="12"/>
                <w:szCs w:val="12"/>
                <w:b w:val="1"/>
                <w:bCs w:val="1"/>
                <w:color w:val="auto"/>
              </w:rPr>
              <w:t>2022</w:t>
            </w:r>
          </w:p>
        </w:tc>
        <w:tc>
          <w:tcPr>
            <w:tcW w:w="2080" w:type="dxa"/>
            <w:vAlign w:val="bottom"/>
            <w:tcBorders>
              <w:bottom w:val="single" w:sz="8" w:color="auto"/>
              <w:right w:val="single" w:sz="8" w:color="auto"/>
            </w:tcBorders>
          </w:tcPr>
          <w:p>
            <w:pPr>
              <w:jc w:val="right"/>
              <w:ind w:right="863"/>
              <w:spacing w:after="0" w:line="125" w:lineRule="exact"/>
              <w:rPr>
                <w:sz w:val="20"/>
                <w:szCs w:val="20"/>
                <w:color w:val="auto"/>
              </w:rPr>
            </w:pPr>
            <w:r>
              <w:rPr>
                <w:rFonts w:ascii="Arial" w:cs="Arial" w:eastAsia="Arial" w:hAnsi="Arial"/>
                <w:sz w:val="12"/>
                <w:szCs w:val="12"/>
                <w:b w:val="1"/>
                <w:bCs w:val="1"/>
                <w:color w:val="auto"/>
              </w:rPr>
              <w:t>2021</w:t>
            </w:r>
          </w:p>
        </w:tc>
      </w:tr>
      <w:tr>
        <w:trPr>
          <w:trHeight w:val="125"/>
        </w:trPr>
        <w:tc>
          <w:tcPr>
            <w:tcW w:w="3740" w:type="dxa"/>
            <w:vAlign w:val="bottom"/>
            <w:tcBorders>
              <w:left w:val="single" w:sz="8" w:color="auto"/>
              <w:bottom w:val="single" w:sz="8" w:color="auto"/>
              <w:right w:val="single" w:sz="8" w:color="auto"/>
            </w:tcBorders>
            <w:gridSpan w:val="3"/>
          </w:tcPr>
          <w:p>
            <w:pPr>
              <w:ind w:left="20"/>
              <w:spacing w:after="0" w:line="125" w:lineRule="exact"/>
              <w:rPr>
                <w:sz w:val="20"/>
                <w:szCs w:val="20"/>
                <w:color w:val="auto"/>
              </w:rPr>
            </w:pPr>
            <w:r>
              <w:rPr>
                <w:rFonts w:ascii="Arial" w:cs="Arial" w:eastAsia="Arial" w:hAnsi="Arial"/>
                <w:sz w:val="12"/>
                <w:szCs w:val="12"/>
                <w:b w:val="1"/>
                <w:bCs w:val="1"/>
                <w:color w:val="auto"/>
              </w:rPr>
              <w:t>Financial assets measured at fair value through profit or loss</w:t>
            </w:r>
          </w:p>
        </w:tc>
        <w:tc>
          <w:tcPr>
            <w:tcW w:w="40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Marketable securities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4.4</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12,431</w:t>
            </w:r>
          </w:p>
        </w:tc>
        <w:tc>
          <w:tcPr>
            <w:tcW w:w="2080" w:type="dxa"/>
            <w:vAlign w:val="bottom"/>
            <w:tcBorders>
              <w:bottom w:val="single" w:sz="8" w:color="auto"/>
              <w:right w:val="single" w:sz="8" w:color="auto"/>
            </w:tcBorders>
          </w:tcPr>
          <w:p>
            <w:pPr>
              <w:jc w:val="right"/>
              <w:ind w:right="3"/>
              <w:spacing w:after="0" w:line="125" w:lineRule="exact"/>
              <w:rPr>
                <w:sz w:val="20"/>
                <w:szCs w:val="20"/>
                <w:color w:val="auto"/>
              </w:rPr>
            </w:pPr>
            <w:r>
              <w:rPr>
                <w:rFonts w:ascii="Arial" w:cs="Arial" w:eastAsia="Arial" w:hAnsi="Arial"/>
                <w:sz w:val="12"/>
                <w:szCs w:val="12"/>
                <w:color w:val="auto"/>
              </w:rPr>
              <w:t>10,381</w:t>
            </w: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Other investments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3.4</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133</w:t>
            </w:r>
          </w:p>
        </w:tc>
        <w:tc>
          <w:tcPr>
            <w:tcW w:w="2080" w:type="dxa"/>
            <w:vAlign w:val="bottom"/>
            <w:tcBorders>
              <w:bottom w:val="single" w:sz="8" w:color="auto"/>
              <w:right w:val="single" w:sz="8" w:color="auto"/>
            </w:tcBorders>
          </w:tcPr>
          <w:p>
            <w:pPr>
              <w:jc w:val="right"/>
              <w:ind w:right="3"/>
              <w:spacing w:after="0" w:line="125" w:lineRule="exact"/>
              <w:rPr>
                <w:sz w:val="20"/>
                <w:szCs w:val="20"/>
                <w:color w:val="auto"/>
              </w:rPr>
            </w:pPr>
            <w:r>
              <w:rPr>
                <w:rFonts w:ascii="Arial" w:cs="Arial" w:eastAsia="Arial" w:hAnsi="Arial"/>
                <w:sz w:val="12"/>
                <w:szCs w:val="12"/>
                <w:color w:val="auto"/>
              </w:rPr>
              <w:t>371</w:t>
            </w: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Financial assets measured at amortized cost</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Receivables excluding prepayments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3.5</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5,814</w:t>
            </w:r>
          </w:p>
        </w:tc>
        <w:tc>
          <w:tcPr>
            <w:tcW w:w="2080" w:type="dxa"/>
            <w:vAlign w:val="bottom"/>
            <w:tcBorders>
              <w:bottom w:val="single" w:sz="8" w:color="auto"/>
              <w:right w:val="single" w:sz="8" w:color="auto"/>
            </w:tcBorders>
          </w:tcPr>
          <w:p>
            <w:pPr>
              <w:jc w:val="right"/>
              <w:ind w:right="3"/>
              <w:spacing w:after="0" w:line="125" w:lineRule="exact"/>
              <w:rPr>
                <w:sz w:val="20"/>
                <w:szCs w:val="20"/>
                <w:color w:val="auto"/>
              </w:rPr>
            </w:pPr>
            <w:r>
              <w:rPr>
                <w:rFonts w:ascii="Arial" w:cs="Arial" w:eastAsia="Arial" w:hAnsi="Arial"/>
                <w:sz w:val="12"/>
                <w:szCs w:val="12"/>
                <w:color w:val="auto"/>
              </w:rPr>
              <w:t>3,176</w:t>
            </w: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Cash and cash equivalents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9,893</w:t>
            </w:r>
          </w:p>
        </w:tc>
        <w:tc>
          <w:tcPr>
            <w:tcW w:w="2080" w:type="dxa"/>
            <w:vAlign w:val="bottom"/>
            <w:tcBorders>
              <w:bottom w:val="single" w:sz="8" w:color="auto"/>
              <w:right w:val="single" w:sz="8" w:color="auto"/>
            </w:tcBorders>
          </w:tcPr>
          <w:p>
            <w:pPr>
              <w:jc w:val="right"/>
              <w:ind w:right="3"/>
              <w:spacing w:after="0" w:line="125" w:lineRule="exact"/>
              <w:rPr>
                <w:sz w:val="20"/>
                <w:szCs w:val="20"/>
                <w:color w:val="auto"/>
              </w:rPr>
            </w:pPr>
            <w:r>
              <w:rPr>
                <w:rFonts w:ascii="Arial" w:cs="Arial" w:eastAsia="Arial" w:hAnsi="Arial"/>
                <w:sz w:val="12"/>
                <w:szCs w:val="12"/>
                <w:color w:val="auto"/>
              </w:rPr>
              <w:t>8,957</w:t>
            </w: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Financial liabilities measured at amortized cost:</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Other payables excluding provisions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3.7</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(1,715)</w:t>
            </w:r>
          </w:p>
        </w:tc>
        <w:tc>
          <w:tcPr>
            <w:tcW w:w="20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(1,480)</w:t>
            </w:r>
          </w:p>
        </w:tc>
      </w:tr>
      <w:tr>
        <w:trPr>
          <w:trHeight w:val="125"/>
        </w:trPr>
        <w:tc>
          <w:tcPr>
            <w:tcW w:w="2940" w:type="dxa"/>
            <w:vAlign w:val="bottom"/>
            <w:tcBorders>
              <w:left w:val="single" w:sz="8" w:color="auto"/>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Lease liabilities</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3.3</w:t>
            </w:r>
          </w:p>
        </w:tc>
        <w:tc>
          <w:tcPr>
            <w:tcW w:w="172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(597)</w:t>
            </w:r>
          </w:p>
        </w:tc>
        <w:tc>
          <w:tcPr>
            <w:tcW w:w="208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2"/>
                <w:szCs w:val="12"/>
                <w:color w:val="auto"/>
              </w:rPr>
              <w:t>(425)</w:t>
            </w:r>
          </w:p>
        </w:tc>
      </w:tr>
      <w:tr>
        <w:trPr>
          <w:trHeight w:val="637"/>
        </w:trPr>
        <w:tc>
          <w:tcPr>
            <w:tcW w:w="2940" w:type="dxa"/>
            <w:vAlign w:val="bottom"/>
          </w:tcPr>
          <w:p>
            <w:pPr>
              <w:spacing w:after="0"/>
              <w:rPr>
                <w:sz w:val="20"/>
                <w:szCs w:val="20"/>
                <w:color w:val="auto"/>
              </w:rPr>
            </w:pPr>
            <w:r>
              <w:rPr>
                <w:rFonts w:ascii="Arial" w:cs="Arial" w:eastAsia="Arial" w:hAnsi="Arial"/>
                <w:sz w:val="10"/>
                <w:szCs w:val="10"/>
                <w:color w:val="auto"/>
              </w:rPr>
              <w:t>Genmab A/S</w:t>
            </w:r>
          </w:p>
        </w:tc>
        <w:tc>
          <w:tcPr>
            <w:tcW w:w="1200" w:type="dxa"/>
            <w:vAlign w:val="bottom"/>
            <w:gridSpan w:val="4"/>
          </w:tcPr>
          <w:p>
            <w:pPr>
              <w:ind w:left="200"/>
              <w:spacing w:after="0"/>
              <w:rPr>
                <w:sz w:val="20"/>
                <w:szCs w:val="20"/>
                <w:color w:val="auto"/>
              </w:rPr>
            </w:pPr>
            <w:r>
              <w:rPr>
                <w:rFonts w:ascii="Arial" w:cs="Arial" w:eastAsia="Arial" w:hAnsi="Arial"/>
                <w:sz w:val="10"/>
                <w:szCs w:val="10"/>
                <w:color w:val="auto"/>
              </w:rPr>
              <w:t>Tel: +45 7020 2728</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9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80" w:type="dxa"/>
            <w:vAlign w:val="bottom"/>
          </w:tcPr>
          <w:p>
            <w:pPr>
              <w:jc w:val="right"/>
              <w:spacing w:after="0" w:line="109" w:lineRule="exact"/>
              <w:rPr>
                <w:sz w:val="20"/>
                <w:szCs w:val="20"/>
                <w:color w:val="auto"/>
              </w:rPr>
            </w:pPr>
            <w:r>
              <w:rPr>
                <w:rFonts w:ascii="Arial" w:cs="Arial" w:eastAsia="Arial" w:hAnsi="Arial"/>
                <w:sz w:val="10"/>
                <w:szCs w:val="10"/>
                <w:color w:val="auto"/>
              </w:rPr>
              <w:t>Page 106/158</w:t>
            </w:r>
          </w:p>
        </w:tc>
      </w:tr>
      <w:tr>
        <w:trPr>
          <w:trHeight w:val="105"/>
        </w:trPr>
        <w:tc>
          <w:tcPr>
            <w:tcW w:w="29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200" w:type="dxa"/>
            <w:vAlign w:val="bottom"/>
            <w:gridSpan w:val="4"/>
          </w:tcPr>
          <w:p>
            <w:pPr>
              <w:ind w:left="200"/>
              <w:spacing w:after="0" w:line="105" w:lineRule="exact"/>
              <w:rPr>
                <w:sz w:val="20"/>
                <w:szCs w:val="20"/>
                <w:color w:val="auto"/>
              </w:rPr>
            </w:pPr>
            <w:r>
              <w:rPr>
                <w:rFonts w:ascii="Arial" w:cs="Arial" w:eastAsia="Arial" w:hAnsi="Arial"/>
                <w:sz w:val="10"/>
                <w:szCs w:val="10"/>
                <w:color w:val="0000FF"/>
              </w:rPr>
              <w:t>www.genmab.com</w:t>
            </w:r>
          </w:p>
        </w:tc>
        <w:tc>
          <w:tcPr>
            <w:tcW w:w="1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8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top w:val="single" w:sz="8" w:color="0000FF"/>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09" w:name="page110"/>
    <w:bookmarkEnd w:id="10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FAIR VALUE MEASUREMENT</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36"/>
        </w:trPr>
        <w:tc>
          <w:tcPr>
            <w:tcW w:w="2420" w:type="dxa"/>
            <w:vAlign w:val="bottom"/>
            <w:tcBorders>
              <w:top w:val="single" w:sz="8" w:color="auto"/>
              <w:left w:val="single" w:sz="8" w:color="auto"/>
              <w:bottom w:val="single" w:sz="8" w:color="auto"/>
              <w:right w:val="single" w:sz="8" w:color="auto"/>
            </w:tcBorders>
          </w:tcPr>
          <w:p>
            <w:pPr>
              <w:spacing w:after="0"/>
              <w:rPr>
                <w:sz w:val="11"/>
                <w:szCs w:val="11"/>
                <w:color w:val="auto"/>
              </w:rPr>
            </w:pPr>
          </w:p>
        </w:tc>
        <w:tc>
          <w:tcPr>
            <w:tcW w:w="1540" w:type="dxa"/>
            <w:vAlign w:val="bottom"/>
            <w:tcBorders>
              <w:top w:val="single" w:sz="8" w:color="auto"/>
              <w:bottom w:val="single" w:sz="8" w:color="auto"/>
              <w:right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466"/>
              <w:spacing w:after="0"/>
              <w:rPr>
                <w:sz w:val="20"/>
                <w:szCs w:val="20"/>
                <w:color w:val="auto"/>
              </w:rPr>
            </w:pPr>
            <w:r>
              <w:rPr>
                <w:rFonts w:ascii="Arial" w:cs="Arial" w:eastAsia="Arial" w:hAnsi="Arial"/>
                <w:sz w:val="11"/>
                <w:szCs w:val="11"/>
                <w:color w:val="auto"/>
                <w:w w:val="97"/>
              </w:rPr>
              <w:t>2022</w:t>
            </w:r>
          </w:p>
        </w:tc>
        <w:tc>
          <w:tcPr>
            <w:tcW w:w="620" w:type="dxa"/>
            <w:vAlign w:val="bottom"/>
            <w:tcBorders>
              <w:top w:val="single" w:sz="8" w:color="auto"/>
              <w:bottom w:val="single" w:sz="8" w:color="auto"/>
              <w:right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486"/>
              <w:spacing w:after="0"/>
              <w:rPr>
                <w:sz w:val="20"/>
                <w:szCs w:val="20"/>
                <w:color w:val="auto"/>
              </w:rPr>
            </w:pPr>
            <w:r>
              <w:rPr>
                <w:rFonts w:ascii="Arial" w:cs="Arial" w:eastAsia="Arial" w:hAnsi="Arial"/>
                <w:sz w:val="11"/>
                <w:szCs w:val="11"/>
                <w:color w:val="auto"/>
                <w:w w:val="89"/>
              </w:rPr>
              <w:t>2021</w:t>
            </w:r>
          </w:p>
        </w:tc>
        <w:tc>
          <w:tcPr>
            <w:tcW w:w="620" w:type="dxa"/>
            <w:vAlign w:val="bottom"/>
            <w:tcBorders>
              <w:top w:val="single" w:sz="8" w:color="auto"/>
              <w:bottom w:val="single" w:sz="8" w:color="auto"/>
              <w:right w:val="single" w:sz="8" w:color="auto"/>
            </w:tcBorders>
          </w:tcPr>
          <w:p>
            <w:pPr>
              <w:spacing w:after="0"/>
              <w:rPr>
                <w:sz w:val="11"/>
                <w:szCs w:val="11"/>
                <w:color w:val="auto"/>
              </w:rPr>
            </w:pPr>
          </w:p>
        </w:tc>
      </w:tr>
      <w:tr>
        <w:trPr>
          <w:trHeight w:val="116"/>
        </w:trPr>
        <w:tc>
          <w:tcPr>
            <w:tcW w:w="242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(DKK million)</w:t>
            </w:r>
          </w:p>
        </w:tc>
        <w:tc>
          <w:tcPr>
            <w:tcW w:w="154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rPr>
              <w:t>Note</w:t>
            </w:r>
          </w:p>
        </w:tc>
        <w:tc>
          <w:tcPr>
            <w:tcW w:w="620" w:type="dxa"/>
            <w:vAlign w:val="bottom"/>
            <w:tcBorders>
              <w:bottom w:val="single" w:sz="8" w:color="auto"/>
              <w:right w:val="single" w:sz="8" w:color="auto"/>
            </w:tcBorders>
          </w:tcPr>
          <w:p>
            <w:pPr>
              <w:jc w:val="right"/>
              <w:ind w:right="86"/>
              <w:spacing w:after="0" w:line="116" w:lineRule="exact"/>
              <w:rPr>
                <w:sz w:val="20"/>
                <w:szCs w:val="20"/>
                <w:color w:val="auto"/>
              </w:rPr>
            </w:pPr>
            <w:r>
              <w:rPr>
                <w:rFonts w:ascii="Arial" w:cs="Arial" w:eastAsia="Arial" w:hAnsi="Arial"/>
                <w:sz w:val="11"/>
                <w:szCs w:val="11"/>
                <w:b w:val="1"/>
                <w:bCs w:val="1"/>
                <w:color w:val="auto"/>
              </w:rPr>
              <w:t>Level 1</w:t>
            </w:r>
          </w:p>
        </w:tc>
        <w:tc>
          <w:tcPr>
            <w:tcW w:w="480" w:type="dxa"/>
            <w:vAlign w:val="bottom"/>
            <w:tcBorders>
              <w:bottom w:val="single" w:sz="8" w:color="auto"/>
            </w:tcBorders>
          </w:tcPr>
          <w:p>
            <w:pPr>
              <w:jc w:val="center"/>
              <w:ind w:left="66"/>
              <w:spacing w:after="0" w:line="116" w:lineRule="exact"/>
              <w:rPr>
                <w:sz w:val="20"/>
                <w:szCs w:val="20"/>
                <w:color w:val="auto"/>
              </w:rPr>
            </w:pPr>
            <w:r>
              <w:rPr>
                <w:rFonts w:ascii="Arial" w:cs="Arial" w:eastAsia="Arial" w:hAnsi="Arial"/>
                <w:sz w:val="11"/>
                <w:szCs w:val="11"/>
                <w:b w:val="1"/>
                <w:bCs w:val="1"/>
                <w:color w:val="auto"/>
                <w:w w:val="96"/>
              </w:rPr>
              <w:t>Level 2</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6"/>
              </w:rPr>
              <w:t>Level 3</w:t>
            </w:r>
          </w:p>
        </w:tc>
        <w:tc>
          <w:tcPr>
            <w:tcW w:w="620" w:type="dxa"/>
            <w:vAlign w:val="bottom"/>
            <w:tcBorders>
              <w:bottom w:val="single" w:sz="8" w:color="auto"/>
              <w:right w:val="single" w:sz="8" w:color="auto"/>
            </w:tcBorders>
          </w:tcPr>
          <w:p>
            <w:pPr>
              <w:jc w:val="right"/>
              <w:ind w:right="146"/>
              <w:spacing w:after="0" w:line="116" w:lineRule="exact"/>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6"/>
              </w:rPr>
              <w:t>Level 1</w:t>
            </w:r>
          </w:p>
        </w:tc>
        <w:tc>
          <w:tcPr>
            <w:tcW w:w="500" w:type="dxa"/>
            <w:vAlign w:val="bottom"/>
            <w:tcBorders>
              <w:bottom w:val="single" w:sz="8" w:color="auto"/>
            </w:tcBorders>
          </w:tcPr>
          <w:p>
            <w:pPr>
              <w:jc w:val="center"/>
              <w:ind w:left="46"/>
              <w:spacing w:after="0" w:line="116" w:lineRule="exact"/>
              <w:rPr>
                <w:sz w:val="20"/>
                <w:szCs w:val="20"/>
                <w:color w:val="auto"/>
              </w:rPr>
            </w:pPr>
            <w:r>
              <w:rPr>
                <w:rFonts w:ascii="Arial" w:cs="Arial" w:eastAsia="Arial" w:hAnsi="Arial"/>
                <w:sz w:val="11"/>
                <w:szCs w:val="11"/>
                <w:b w:val="1"/>
                <w:bCs w:val="1"/>
                <w:color w:val="auto"/>
                <w:w w:val="96"/>
              </w:rPr>
              <w:t>Level 2</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6"/>
              </w:rPr>
              <w:t>Level 3</w:t>
            </w:r>
          </w:p>
        </w:tc>
        <w:tc>
          <w:tcPr>
            <w:tcW w:w="620" w:type="dxa"/>
            <w:vAlign w:val="bottom"/>
            <w:tcBorders>
              <w:bottom w:val="single" w:sz="8" w:color="auto"/>
              <w:right w:val="single" w:sz="8" w:color="auto"/>
            </w:tcBorders>
          </w:tcPr>
          <w:p>
            <w:pPr>
              <w:jc w:val="right"/>
              <w:ind w:right="146"/>
              <w:spacing w:after="0" w:line="116" w:lineRule="exact"/>
              <w:rPr>
                <w:sz w:val="20"/>
                <w:szCs w:val="20"/>
                <w:color w:val="auto"/>
              </w:rPr>
            </w:pPr>
            <w:r>
              <w:rPr>
                <w:rFonts w:ascii="Arial" w:cs="Arial" w:eastAsia="Arial" w:hAnsi="Arial"/>
                <w:sz w:val="11"/>
                <w:szCs w:val="11"/>
                <w:b w:val="1"/>
                <w:bCs w:val="1"/>
                <w:color w:val="auto"/>
              </w:rPr>
              <w:t>Total</w:t>
            </w:r>
          </w:p>
        </w:tc>
      </w:tr>
      <w:tr>
        <w:trPr>
          <w:trHeight w:val="116"/>
        </w:trPr>
        <w:tc>
          <w:tcPr>
            <w:tcW w:w="242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Assets Measured at Fair Value</w:t>
            </w:r>
          </w:p>
        </w:tc>
        <w:tc>
          <w:tcPr>
            <w:tcW w:w="15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r>
      <w:tr>
        <w:trPr>
          <w:trHeight w:val="116"/>
        </w:trPr>
        <w:tc>
          <w:tcPr>
            <w:tcW w:w="242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Marketable securities</w:t>
            </w:r>
          </w:p>
        </w:tc>
        <w:tc>
          <w:tcPr>
            <w:tcW w:w="154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1"/>
              </w:rPr>
              <w:t>4.4</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color w:val="auto"/>
              </w:rPr>
              <w:t>12,431</w:t>
            </w:r>
          </w:p>
        </w:tc>
        <w:tc>
          <w:tcPr>
            <w:tcW w:w="480" w:type="dxa"/>
            <w:vAlign w:val="bottom"/>
            <w:tcBorders>
              <w:bottom w:val="single" w:sz="8" w:color="auto"/>
            </w:tcBorders>
          </w:tcPr>
          <w:p>
            <w:pPr>
              <w:jc w:val="center"/>
              <w:ind w:left="66"/>
              <w:spacing w:after="0" w:line="116"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right"/>
              <w:ind w:right="266"/>
              <w:spacing w:after="0" w:line="116"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b w:val="1"/>
                <w:bCs w:val="1"/>
                <w:color w:val="auto"/>
              </w:rPr>
              <w:t>12,431</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color w:val="auto"/>
              </w:rPr>
              <w:t>10,381</w:t>
            </w:r>
          </w:p>
        </w:tc>
        <w:tc>
          <w:tcPr>
            <w:tcW w:w="500" w:type="dxa"/>
            <w:vAlign w:val="bottom"/>
            <w:tcBorders>
              <w:bottom w:val="single" w:sz="8" w:color="auto"/>
            </w:tcBorders>
          </w:tcPr>
          <w:p>
            <w:pPr>
              <w:jc w:val="center"/>
              <w:ind w:left="46"/>
              <w:spacing w:after="0" w:line="116"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right"/>
              <w:ind w:right="266"/>
              <w:spacing w:after="0" w:line="116"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b w:val="1"/>
                <w:bCs w:val="1"/>
                <w:color w:val="auto"/>
              </w:rPr>
              <w:t>10,381</w:t>
            </w:r>
          </w:p>
        </w:tc>
      </w:tr>
      <w:tr>
        <w:trPr>
          <w:trHeight w:val="116"/>
        </w:trPr>
        <w:tc>
          <w:tcPr>
            <w:tcW w:w="242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Other investments</w:t>
            </w:r>
          </w:p>
        </w:tc>
        <w:tc>
          <w:tcPr>
            <w:tcW w:w="154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1"/>
              </w:rPr>
              <w:t>3.4</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color w:val="auto"/>
              </w:rPr>
              <w:t>67</w:t>
            </w:r>
          </w:p>
        </w:tc>
        <w:tc>
          <w:tcPr>
            <w:tcW w:w="480" w:type="dxa"/>
            <w:vAlign w:val="bottom"/>
            <w:tcBorders>
              <w:bottom w:val="single" w:sz="8" w:color="auto"/>
            </w:tcBorders>
          </w:tcPr>
          <w:p>
            <w:pPr>
              <w:jc w:val="center"/>
              <w:ind w:left="66"/>
              <w:spacing w:after="0" w:line="116"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color w:val="auto"/>
              </w:rPr>
              <w:t>66</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b w:val="1"/>
                <w:bCs w:val="1"/>
                <w:color w:val="auto"/>
              </w:rPr>
              <w:t>133</w:t>
            </w:r>
          </w:p>
        </w:tc>
        <w:tc>
          <w:tcPr>
            <w:tcW w:w="620" w:type="dxa"/>
            <w:vAlign w:val="bottom"/>
            <w:tcBorders>
              <w:bottom w:val="single" w:sz="8" w:color="auto"/>
              <w:right w:val="single" w:sz="8" w:color="auto"/>
            </w:tcBorders>
          </w:tcPr>
          <w:p>
            <w:pPr>
              <w:jc w:val="right"/>
              <w:ind w:right="186"/>
              <w:spacing w:after="0" w:line="116" w:lineRule="exact"/>
              <w:rPr>
                <w:sz w:val="20"/>
                <w:szCs w:val="20"/>
                <w:color w:val="auto"/>
              </w:rPr>
            </w:pPr>
            <w:r>
              <w:rPr>
                <w:rFonts w:ascii="Arial" w:cs="Arial" w:eastAsia="Arial" w:hAnsi="Arial"/>
                <w:sz w:val="11"/>
                <w:szCs w:val="11"/>
                <w:color w:val="auto"/>
              </w:rPr>
              <w:t>344</w:t>
            </w:r>
          </w:p>
        </w:tc>
        <w:tc>
          <w:tcPr>
            <w:tcW w:w="500" w:type="dxa"/>
            <w:vAlign w:val="bottom"/>
            <w:tcBorders>
              <w:bottom w:val="single" w:sz="8" w:color="auto"/>
            </w:tcBorders>
          </w:tcPr>
          <w:p>
            <w:pPr>
              <w:jc w:val="center"/>
              <w:ind w:left="46"/>
              <w:spacing w:after="0" w:line="116"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color w:val="auto"/>
              </w:rPr>
              <w:t>27</w:t>
            </w:r>
          </w:p>
        </w:tc>
        <w:tc>
          <w:tcPr>
            <w:tcW w:w="620" w:type="dxa"/>
            <w:vAlign w:val="bottom"/>
            <w:tcBorders>
              <w:bottom w:val="single" w:sz="8" w:color="auto"/>
              <w:right w:val="single" w:sz="8" w:color="auto"/>
            </w:tcBorders>
          </w:tcPr>
          <w:p>
            <w:pPr>
              <w:jc w:val="right"/>
              <w:ind w:right="6"/>
              <w:spacing w:after="0" w:line="116" w:lineRule="exact"/>
              <w:rPr>
                <w:sz w:val="20"/>
                <w:szCs w:val="20"/>
                <w:color w:val="auto"/>
              </w:rPr>
            </w:pPr>
            <w:r>
              <w:rPr>
                <w:rFonts w:ascii="Arial" w:cs="Arial" w:eastAsia="Arial" w:hAnsi="Arial"/>
                <w:sz w:val="11"/>
                <w:szCs w:val="11"/>
                <w:b w:val="1"/>
                <w:bCs w:val="1"/>
                <w:color w:val="auto"/>
              </w:rPr>
              <w:t>371</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Marketable Securities</w:t>
      </w:r>
    </w:p>
    <w:p>
      <w:pPr>
        <w:spacing w:after="0" w:line="10" w:lineRule="exact"/>
        <w:rPr>
          <w:sz w:val="20"/>
          <w:szCs w:val="20"/>
          <w:color w:val="auto"/>
        </w:rPr>
      </w:pPr>
    </w:p>
    <w:p>
      <w:pPr>
        <w:jc w:val="both"/>
        <w:ind w:left="20" w:right="59"/>
        <w:spacing w:after="0" w:line="252" w:lineRule="auto"/>
        <w:rPr>
          <w:sz w:val="20"/>
          <w:szCs w:val="20"/>
          <w:color w:val="auto"/>
        </w:rPr>
      </w:pPr>
      <w:r>
        <w:rPr>
          <w:rFonts w:ascii="Arial" w:cs="Arial" w:eastAsia="Arial" w:hAnsi="Arial"/>
          <w:sz w:val="12"/>
          <w:szCs w:val="12"/>
          <w:color w:val="auto"/>
        </w:rPr>
        <w:t>Substantially all fair market values are determined by reference to external sources using unadjusted quoted prices in established markets for our marketable securities (Level 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Investments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fair value of Genmab’s investment in CureVac is determined using unadjusted quoted prices in established markets (Level 1).</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There were no transfers into or out of Level 3 during 2021 or 2022. Acquisitions (capital calls) on Level 3 investments in 2021 and 2022 were as follows:</w:t>
      </w:r>
    </w:p>
    <w:p>
      <w:pPr>
        <w:spacing w:after="0" w:line="272" w:lineRule="exact"/>
        <w:rPr>
          <w:sz w:val="20"/>
          <w:szCs w:val="20"/>
          <w:color w:val="auto"/>
        </w:rPr>
      </w:pPr>
    </w:p>
    <w:tbl>
      <w:tblPr>
        <w:tblLayout w:type="fixed"/>
        <w:tblInd w:w="30" w:type="dxa"/>
        <w:tblCellMar>
          <w:top w:w="0" w:type="dxa"/>
          <w:left w:w="0" w:type="dxa"/>
          <w:bottom w:w="0" w:type="dxa"/>
          <w:right w:w="0" w:type="dxa"/>
        </w:tblCellMar>
      </w:tblPr>
      <w:tr>
        <w:trPr>
          <w:trHeight w:val="145"/>
        </w:trPr>
        <w:tc>
          <w:tcPr>
            <w:tcW w:w="5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(DKK million)</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Other Investments</w:t>
            </w:r>
          </w:p>
        </w:tc>
      </w:tr>
      <w:tr>
        <w:trPr>
          <w:trHeight w:val="125"/>
        </w:trPr>
        <w:tc>
          <w:tcPr>
            <w:tcW w:w="546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Fair value at December 31, 2020</w:t>
            </w:r>
          </w:p>
        </w:tc>
        <w:tc>
          <w:tcPr>
            <w:tcW w:w="3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rPr>
              <w:t>14</w:t>
            </w:r>
          </w:p>
        </w:tc>
      </w:tr>
      <w:tr>
        <w:trPr>
          <w:trHeight w:val="125"/>
        </w:trPr>
        <w:tc>
          <w:tcPr>
            <w:tcW w:w="546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Acquisitions</w:t>
            </w:r>
          </w:p>
        </w:tc>
        <w:tc>
          <w:tcPr>
            <w:tcW w:w="3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13</w:t>
            </w:r>
          </w:p>
        </w:tc>
      </w:tr>
      <w:tr>
        <w:trPr>
          <w:trHeight w:val="125"/>
        </w:trPr>
        <w:tc>
          <w:tcPr>
            <w:tcW w:w="546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Fair value at December 31, 2021</w:t>
            </w:r>
          </w:p>
        </w:tc>
        <w:tc>
          <w:tcPr>
            <w:tcW w:w="3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rPr>
              <w:t>27</w:t>
            </w:r>
          </w:p>
        </w:tc>
      </w:tr>
      <w:tr>
        <w:trPr>
          <w:trHeight w:val="125"/>
        </w:trPr>
        <w:tc>
          <w:tcPr>
            <w:tcW w:w="546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Acquisitions</w:t>
            </w:r>
          </w:p>
        </w:tc>
        <w:tc>
          <w:tcPr>
            <w:tcW w:w="3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39</w:t>
            </w:r>
          </w:p>
        </w:tc>
      </w:tr>
      <w:tr>
        <w:trPr>
          <w:trHeight w:val="125"/>
        </w:trPr>
        <w:tc>
          <w:tcPr>
            <w:tcW w:w="546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color w:val="auto"/>
              </w:rPr>
              <w:t>Fair value at December 31, 2022</w:t>
            </w:r>
          </w:p>
        </w:tc>
        <w:tc>
          <w:tcPr>
            <w:tcW w:w="3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rPr>
              <w:t>66</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CLASSIFICATION OF CATEGORIES OF FINANCIAL ASSETS AND LIABILITIES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classifies its financial assets held into the following measurement categories:</w:t>
      </w:r>
    </w:p>
    <w:p>
      <w:pPr>
        <w:spacing w:after="0" w:line="131" w:lineRule="exact"/>
        <w:rPr>
          <w:sz w:val="20"/>
          <w:szCs w:val="20"/>
          <w:color w:val="auto"/>
        </w:rPr>
      </w:pPr>
    </w:p>
    <w:p>
      <w:pPr>
        <w:ind w:left="480" w:hanging="222"/>
        <w:spacing w:after="0"/>
        <w:tabs>
          <w:tab w:leader="none" w:pos="480" w:val="left"/>
        </w:tabs>
        <w:numPr>
          <w:ilvl w:val="0"/>
          <w:numId w:val="84"/>
        </w:numPr>
        <w:rPr>
          <w:rFonts w:ascii="Times New Roman" w:cs="Times New Roman" w:eastAsia="Times New Roman" w:hAnsi="Times New Roman"/>
          <w:sz w:val="12"/>
          <w:szCs w:val="12"/>
          <w:color w:val="auto"/>
        </w:rPr>
      </w:pPr>
      <w:r>
        <w:rPr>
          <w:rFonts w:ascii="Arial" w:cs="Arial" w:eastAsia="Arial" w:hAnsi="Arial"/>
          <w:sz w:val="12"/>
          <w:szCs w:val="12"/>
          <w:color w:val="auto"/>
        </w:rPr>
        <w:t>those to be measured subsequently at fair value (either through other comprehensive income, or through profit or loss), and</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4"/>
        </w:numPr>
        <w:rPr>
          <w:rFonts w:ascii="Times New Roman" w:cs="Times New Roman" w:eastAsia="Times New Roman" w:hAnsi="Times New Roman"/>
          <w:sz w:val="12"/>
          <w:szCs w:val="12"/>
          <w:color w:val="auto"/>
        </w:rPr>
      </w:pPr>
      <w:r>
        <w:rPr>
          <w:rFonts w:ascii="Arial" w:cs="Arial" w:eastAsia="Arial" w:hAnsi="Arial"/>
          <w:sz w:val="12"/>
          <w:szCs w:val="12"/>
          <w:color w:val="auto"/>
        </w:rPr>
        <w:t>those to be measured at amortized cost.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classification depends on the business model for managing the financial assets and the contractual terms of the cash flows.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assets measured at fair value, gains and losses will either be recorded in profit or loss or other comprehensive income.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reclassifies debt investments only when its business model for managing those assets changes.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Further details about the accounting policy for each of the categories are outlined in the respective notes.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FAIR VALUE MEASUREMENT</w:t>
      </w:r>
    </w:p>
    <w:p>
      <w:pPr>
        <w:spacing w:after="0" w:line="10" w:lineRule="exact"/>
        <w:rPr>
          <w:sz w:val="20"/>
          <w:szCs w:val="20"/>
          <w:color w:val="auto"/>
        </w:rPr>
      </w:pPr>
    </w:p>
    <w:p>
      <w:pPr>
        <w:ind w:left="20" w:right="119"/>
        <w:spacing w:after="0" w:line="252" w:lineRule="auto"/>
        <w:rPr>
          <w:sz w:val="20"/>
          <w:szCs w:val="20"/>
          <w:color w:val="auto"/>
        </w:rPr>
      </w:pPr>
      <w:r>
        <w:rPr>
          <w:rFonts w:ascii="Arial" w:cs="Arial" w:eastAsia="Arial" w:hAnsi="Arial"/>
          <w:sz w:val="12"/>
          <w:szCs w:val="12"/>
          <w:color w:val="auto"/>
        </w:rPr>
        <w:t>Genmab measures financial instruments, such as marketable securities, at fair value at each balance sheet date. Management assessed that the fair value of financial assets and liabilities measured at amortized cost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0" w:name="page111"/>
    <w:bookmarkEnd w:id="11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such as bank deposits, receivables and other payables approximate their carrying amounts largely due to the short-term maturities of these instruments.</w:t>
      </w:r>
    </w:p>
    <w:p>
      <w:pPr>
        <w:spacing w:after="0" w:line="143" w:lineRule="exact"/>
        <w:rPr>
          <w:sz w:val="20"/>
          <w:szCs w:val="20"/>
          <w:color w:val="auto"/>
        </w:rPr>
      </w:pPr>
    </w:p>
    <w:p>
      <w:pPr>
        <w:ind w:left="20" w:right="319"/>
        <w:spacing w:after="0" w:line="273"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3" w:lineRule="exact"/>
        <w:rPr>
          <w:sz w:val="20"/>
          <w:szCs w:val="20"/>
          <w:color w:val="auto"/>
        </w:rPr>
      </w:pPr>
    </w:p>
    <w:p>
      <w:pPr>
        <w:ind w:left="480" w:hanging="222"/>
        <w:spacing w:after="0"/>
        <w:tabs>
          <w:tab w:leader="none" w:pos="480" w:val="left"/>
        </w:tabs>
        <w:numPr>
          <w:ilvl w:val="0"/>
          <w:numId w:val="85"/>
        </w:numPr>
        <w:rPr>
          <w:rFonts w:ascii="Times New Roman" w:cs="Times New Roman" w:eastAsia="Times New Roman" w:hAnsi="Times New Roman"/>
          <w:sz w:val="12"/>
          <w:szCs w:val="12"/>
          <w:color w:val="auto"/>
        </w:rPr>
      </w:pPr>
      <w:r>
        <w:rPr>
          <w:rFonts w:ascii="Arial" w:cs="Arial" w:eastAsia="Arial" w:hAnsi="Arial"/>
          <w:sz w:val="12"/>
          <w:szCs w:val="12"/>
          <w:color w:val="auto"/>
        </w:rPr>
        <w:t>In the principal market for the asset or liability, or</w:t>
      </w:r>
    </w:p>
    <w:p>
      <w:pPr>
        <w:spacing w:after="0" w:line="18" w:lineRule="exact"/>
        <w:rPr>
          <w:rFonts w:ascii="Times New Roman" w:cs="Times New Roman" w:eastAsia="Times New Roman" w:hAnsi="Times New Roman"/>
          <w:sz w:val="12"/>
          <w:szCs w:val="12"/>
          <w:color w:val="auto"/>
        </w:rPr>
      </w:pPr>
    </w:p>
    <w:p>
      <w:pPr>
        <w:ind w:left="480" w:hanging="222"/>
        <w:spacing w:after="0"/>
        <w:tabs>
          <w:tab w:leader="none" w:pos="480" w:val="left"/>
        </w:tabs>
        <w:numPr>
          <w:ilvl w:val="0"/>
          <w:numId w:val="85"/>
        </w:numPr>
        <w:rPr>
          <w:rFonts w:ascii="Times New Roman" w:cs="Times New Roman" w:eastAsia="Times New Roman" w:hAnsi="Times New Roman"/>
          <w:sz w:val="12"/>
          <w:szCs w:val="12"/>
          <w:color w:val="auto"/>
        </w:rPr>
      </w:pPr>
      <w:r>
        <w:rPr>
          <w:rFonts w:ascii="Arial" w:cs="Arial" w:eastAsia="Arial" w:hAnsi="Arial"/>
          <w:sz w:val="12"/>
          <w:szCs w:val="12"/>
          <w:color w:val="auto"/>
        </w:rPr>
        <w:t>In the absence of a principal market, in the most advantageous market for the asset or liability.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principal or the most advantageous market must be accessible by Genmab.</w:t>
      </w:r>
    </w:p>
    <w:p>
      <w:pPr>
        <w:spacing w:after="0" w:line="143"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03" w:lineRule="exact"/>
        <w:rPr>
          <w:sz w:val="20"/>
          <w:szCs w:val="20"/>
          <w:color w:val="auto"/>
        </w:rPr>
      </w:pPr>
    </w:p>
    <w:p>
      <w:pPr>
        <w:ind w:left="20" w:right="239"/>
        <w:spacing w:after="0" w:line="273" w:lineRule="auto"/>
        <w:rPr>
          <w:sz w:val="20"/>
          <w:szCs w:val="20"/>
          <w:color w:val="auto"/>
        </w:rPr>
      </w:pPr>
      <w:r>
        <w:rPr>
          <w:rFonts w:ascii="Arial" w:cs="Arial" w:eastAsia="Arial" w:hAnsi="Arial"/>
          <w:sz w:val="12"/>
          <w:szCs w:val="12"/>
          <w:color w:val="auto"/>
        </w:rPr>
        <w:t>Genmab uses valuation techniques that are appropriate in the circumstances and for which sufficient data are available to measure fair value, maximizing the use of relevant observable inputs and minimizing the use of unobservable inputs.</w:t>
      </w:r>
    </w:p>
    <w:p>
      <w:pPr>
        <w:spacing w:after="0" w:line="103" w:lineRule="exact"/>
        <w:rPr>
          <w:sz w:val="20"/>
          <w:szCs w:val="20"/>
          <w:color w:val="auto"/>
        </w:rPr>
      </w:pPr>
    </w:p>
    <w:p>
      <w:pPr>
        <w:ind w:left="20" w:right="39"/>
        <w:spacing w:after="0" w:line="273" w:lineRule="auto"/>
        <w:rPr>
          <w:sz w:val="20"/>
          <w:szCs w:val="20"/>
          <w:color w:val="auto"/>
        </w:rPr>
      </w:pPr>
      <w:r>
        <w:rPr>
          <w:rFonts w:ascii="Arial" w:cs="Arial" w:eastAsia="Arial" w:hAnsi="Arial"/>
          <w:sz w:val="12"/>
          <w:szCs w:val="12"/>
          <w:color w:val="auto"/>
        </w:rPr>
        <w:t>For financial instruments that are measured in the balance sheet at fair value, IFRS 13 requires disclosure of fair value measurements by level of the following fair value measurement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79375</wp:posOffset>
            </wp:positionV>
            <wp:extent cx="4564380" cy="460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64380" cy="460375"/>
                    </a:xfrm>
                    <a:prstGeom prst="rect">
                      <a:avLst/>
                    </a:prstGeom>
                    <a:noFill/>
                  </pic:spPr>
                </pic:pic>
              </a:graphicData>
            </a:graphic>
          </wp:anchor>
        </w:drawing>
      </w:r>
    </w:p>
    <w:p>
      <w:pPr>
        <w:spacing w:after="0" w:line="150" w:lineRule="exact"/>
        <w:rPr>
          <w:sz w:val="20"/>
          <w:szCs w:val="20"/>
          <w:color w:val="auto"/>
        </w:rPr>
      </w:pPr>
    </w:p>
    <w:p>
      <w:pPr>
        <w:ind w:left="1220" w:hanging="210"/>
        <w:spacing w:after="0"/>
        <w:tabs>
          <w:tab w:leader="none" w:pos="1220" w:val="left"/>
        </w:tabs>
        <w:numPr>
          <w:ilvl w:val="0"/>
          <w:numId w:val="86"/>
        </w:numPr>
        <w:rPr>
          <w:rFonts w:ascii="Times New Roman" w:cs="Times New Roman" w:eastAsia="Times New Roman" w:hAnsi="Times New Roman"/>
          <w:sz w:val="12"/>
          <w:szCs w:val="12"/>
          <w:color w:val="auto"/>
        </w:rPr>
      </w:pPr>
      <w:r>
        <w:rPr>
          <w:rFonts w:ascii="Arial" w:cs="Arial" w:eastAsia="Arial" w:hAnsi="Arial"/>
          <w:sz w:val="11"/>
          <w:szCs w:val="11"/>
          <w:color w:val="auto"/>
        </w:rPr>
        <w:t>Level 1 - Quoted prices (unadjusted) in active markets for identical assets or liabilities</w:t>
      </w:r>
    </w:p>
    <w:p>
      <w:pPr>
        <w:spacing w:after="0" w:line="52" w:lineRule="exact"/>
        <w:rPr>
          <w:rFonts w:ascii="Times New Roman" w:cs="Times New Roman" w:eastAsia="Times New Roman" w:hAnsi="Times New Roman"/>
          <w:sz w:val="12"/>
          <w:szCs w:val="12"/>
          <w:color w:val="auto"/>
        </w:rPr>
      </w:pPr>
    </w:p>
    <w:p>
      <w:pPr>
        <w:ind w:left="1220" w:right="939" w:hanging="210"/>
        <w:spacing w:after="0" w:line="249" w:lineRule="auto"/>
        <w:tabs>
          <w:tab w:leader="none" w:pos="1220" w:val="left"/>
        </w:tabs>
        <w:numPr>
          <w:ilvl w:val="0"/>
          <w:numId w:val="86"/>
        </w:numPr>
        <w:rPr>
          <w:rFonts w:ascii="Times New Roman" w:cs="Times New Roman" w:eastAsia="Times New Roman" w:hAnsi="Times New Roman"/>
          <w:sz w:val="12"/>
          <w:szCs w:val="12"/>
          <w:color w:val="auto"/>
        </w:rPr>
      </w:pPr>
      <w:r>
        <w:rPr>
          <w:rFonts w:ascii="Arial" w:cs="Arial" w:eastAsia="Arial" w:hAnsi="Arial"/>
          <w:sz w:val="11"/>
          <w:szCs w:val="11"/>
          <w:color w:val="auto"/>
        </w:rPr>
        <w:t>Level 2 - Inputs other than quoted prices included within level 1 that are observable for the asset or liability, either directly (that is, as prices) or indirectly (that is, derived from prices)</w:t>
      </w:r>
    </w:p>
    <w:p>
      <w:pPr>
        <w:spacing w:after="0" w:line="33" w:lineRule="exact"/>
        <w:rPr>
          <w:rFonts w:ascii="Times New Roman" w:cs="Times New Roman" w:eastAsia="Times New Roman" w:hAnsi="Times New Roman"/>
          <w:sz w:val="12"/>
          <w:szCs w:val="12"/>
          <w:color w:val="auto"/>
        </w:rPr>
      </w:pPr>
    </w:p>
    <w:p>
      <w:pPr>
        <w:ind w:left="1220" w:hanging="210"/>
        <w:spacing w:after="0"/>
        <w:tabs>
          <w:tab w:leader="none" w:pos="1220" w:val="left"/>
        </w:tabs>
        <w:numPr>
          <w:ilvl w:val="0"/>
          <w:numId w:val="86"/>
        </w:numPr>
        <w:rPr>
          <w:rFonts w:ascii="Times New Roman" w:cs="Times New Roman" w:eastAsia="Times New Roman" w:hAnsi="Times New Roman"/>
          <w:sz w:val="12"/>
          <w:szCs w:val="12"/>
          <w:color w:val="auto"/>
        </w:rPr>
      </w:pPr>
      <w:r>
        <w:rPr>
          <w:rFonts w:ascii="Arial" w:cs="Arial" w:eastAsia="Arial" w:hAnsi="Arial"/>
          <w:sz w:val="11"/>
          <w:szCs w:val="11"/>
          <w:color w:val="auto"/>
        </w:rPr>
        <w:t>Level 3 - Inputs for the asset or liability that are not based on observable market data (that is, unobservable inputs).</w:t>
      </w:r>
    </w:p>
    <w:p>
      <w:pPr>
        <w:spacing w:after="0" w:line="166" w:lineRule="exact"/>
        <w:rPr>
          <w:sz w:val="20"/>
          <w:szCs w:val="20"/>
          <w:color w:val="auto"/>
        </w:rPr>
      </w:pPr>
    </w:p>
    <w:p>
      <w:pPr>
        <w:jc w:val="both"/>
        <w:ind w:left="20" w:right="179"/>
        <w:spacing w:after="0" w:line="255" w:lineRule="auto"/>
        <w:rPr>
          <w:sz w:val="20"/>
          <w:szCs w:val="20"/>
          <w:color w:val="auto"/>
        </w:rPr>
      </w:pPr>
      <w:r>
        <w:rPr>
          <w:rFonts w:ascii="Arial" w:cs="Arial" w:eastAsia="Arial" w:hAnsi="Arial"/>
          <w:sz w:val="12"/>
          <w:szCs w:val="12"/>
          <w:color w:val="auto"/>
        </w:rPr>
        <w:t>For assets and liabilities that are recognized in the financial statements on a recurring basis, Genmab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1" w:name="page112"/>
    <w:bookmarkEnd w:id="11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4.4 – Marketable Securities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160" w:type="dxa"/>
            <w:vAlign w:val="bottom"/>
          </w:tcPr>
          <w:p>
            <w:pPr>
              <w:jc w:val="right"/>
              <w:ind w:right="232"/>
              <w:spacing w:after="0"/>
              <w:rPr>
                <w:sz w:val="20"/>
                <w:szCs w:val="20"/>
                <w:color w:val="auto"/>
              </w:rPr>
            </w:pPr>
            <w:r>
              <w:rPr>
                <w:rFonts w:ascii="Arial" w:cs="Arial" w:eastAsia="Arial" w:hAnsi="Arial"/>
                <w:sz w:val="10"/>
                <w:szCs w:val="10"/>
                <w:b w:val="1"/>
                <w:bCs w:val="1"/>
                <w:color w:val="auto"/>
              </w:rPr>
              <w:t>Market value</w:t>
            </w:r>
          </w:p>
        </w:tc>
        <w:tc>
          <w:tcPr>
            <w:tcW w:w="960" w:type="dxa"/>
            <w:vAlign w:val="bottom"/>
            <w:gridSpan w:val="2"/>
          </w:tcPr>
          <w:p>
            <w:pPr>
              <w:ind w:left="280"/>
              <w:spacing w:after="0"/>
              <w:rPr>
                <w:sz w:val="20"/>
                <w:szCs w:val="20"/>
                <w:color w:val="auto"/>
              </w:rPr>
            </w:pPr>
            <w:r>
              <w:rPr>
                <w:rFonts w:ascii="Arial" w:cs="Arial" w:eastAsia="Arial" w:hAnsi="Arial"/>
                <w:sz w:val="10"/>
                <w:szCs w:val="10"/>
                <w:b w:val="1"/>
                <w:bCs w:val="1"/>
                <w:color w:val="auto"/>
              </w:rPr>
              <w:t>Share</w:t>
            </w:r>
          </w:p>
        </w:tc>
        <w:tc>
          <w:tcPr>
            <w:tcW w:w="1160" w:type="dxa"/>
            <w:vAlign w:val="bottom"/>
          </w:tcPr>
          <w:p>
            <w:pPr>
              <w:jc w:val="right"/>
              <w:ind w:right="252"/>
              <w:spacing w:after="0"/>
              <w:rPr>
                <w:sz w:val="20"/>
                <w:szCs w:val="20"/>
                <w:color w:val="auto"/>
              </w:rPr>
            </w:pPr>
            <w:r>
              <w:rPr>
                <w:rFonts w:ascii="Arial" w:cs="Arial" w:eastAsia="Arial" w:hAnsi="Arial"/>
                <w:sz w:val="10"/>
                <w:szCs w:val="10"/>
                <w:b w:val="1"/>
                <w:bCs w:val="1"/>
                <w:color w:val="auto"/>
              </w:rPr>
              <w:t>Market value</w:t>
            </w:r>
          </w:p>
        </w:tc>
        <w:tc>
          <w:tcPr>
            <w:tcW w:w="840" w:type="dxa"/>
            <w:vAlign w:val="bottom"/>
          </w:tcPr>
          <w:p>
            <w:pPr>
              <w:jc w:val="right"/>
              <w:ind w:right="232"/>
              <w:spacing w:after="0"/>
              <w:rPr>
                <w:sz w:val="20"/>
                <w:szCs w:val="20"/>
                <w:color w:val="auto"/>
              </w:rPr>
            </w:pPr>
            <w:r>
              <w:rPr>
                <w:rFonts w:ascii="Arial" w:cs="Arial" w:eastAsia="Arial" w:hAnsi="Arial"/>
                <w:sz w:val="10"/>
                <w:szCs w:val="10"/>
                <w:b w:val="1"/>
                <w:bCs w:val="1"/>
                <w:color w:val="auto"/>
              </w:rPr>
              <w:t>Share</w:t>
            </w:r>
          </w:p>
        </w:tc>
        <w:tc>
          <w:tcPr>
            <w:tcW w:w="0" w:type="dxa"/>
            <w:vAlign w:val="bottom"/>
          </w:tcPr>
          <w:p>
            <w:pPr>
              <w:spacing w:after="0"/>
              <w:rPr>
                <w:sz w:val="1"/>
                <w:szCs w:val="1"/>
                <w:color w:val="auto"/>
              </w:rPr>
            </w:pPr>
          </w:p>
        </w:tc>
      </w:tr>
      <w:tr>
        <w:trPr>
          <w:trHeight w:val="116"/>
        </w:trPr>
        <w:tc>
          <w:tcPr>
            <w:tcW w:w="4840" w:type="dxa"/>
            <w:vAlign w:val="bottom"/>
            <w:vMerge w:val="restart"/>
          </w:tcPr>
          <w:p>
            <w:pPr>
              <w:spacing w:after="0"/>
              <w:rPr>
                <w:sz w:val="20"/>
                <w:szCs w:val="20"/>
                <w:color w:val="auto"/>
              </w:rPr>
            </w:pPr>
            <w:r>
              <w:rPr>
                <w:rFonts w:ascii="Arial" w:cs="Arial" w:eastAsia="Arial" w:hAnsi="Arial"/>
                <w:sz w:val="10"/>
                <w:szCs w:val="10"/>
                <w:color w:val="auto"/>
              </w:rPr>
              <w:t>(DKK million)</w:t>
            </w: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0"/>
                <w:szCs w:val="10"/>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1"/>
        </w:trPr>
        <w:tc>
          <w:tcPr>
            <w:tcW w:w="48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840" w:type="dxa"/>
            <w:vAlign w:val="bottom"/>
          </w:tcPr>
          <w:p>
            <w:pPr>
              <w:spacing w:after="0" w:line="111" w:lineRule="exact"/>
              <w:rPr>
                <w:sz w:val="20"/>
                <w:szCs w:val="20"/>
                <w:color w:val="auto"/>
              </w:rPr>
            </w:pPr>
            <w:r>
              <w:rPr>
                <w:rFonts w:ascii="Arial" w:cs="Arial" w:eastAsia="Arial" w:hAnsi="Arial"/>
                <w:sz w:val="10"/>
                <w:szCs w:val="10"/>
                <w:b w:val="1"/>
                <w:bCs w:val="1"/>
                <w:color w:val="auto"/>
              </w:rPr>
              <w:t>USD portfolio</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40" w:type="dxa"/>
            <w:vAlign w:val="bottom"/>
          </w:tcPr>
          <w:p>
            <w:pPr>
              <w:spacing w:after="0" w:line="109" w:lineRule="exact"/>
              <w:rPr>
                <w:sz w:val="20"/>
                <w:szCs w:val="20"/>
                <w:color w:val="auto"/>
              </w:rPr>
            </w:pPr>
            <w:r>
              <w:rPr>
                <w:rFonts w:ascii="Arial" w:cs="Arial" w:eastAsia="Arial" w:hAnsi="Arial"/>
                <w:sz w:val="10"/>
                <w:szCs w:val="10"/>
                <w:color w:val="auto"/>
              </w:rPr>
              <w:t>Corporate bonds</w:t>
            </w: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5,091</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41%</w:t>
            </w:r>
          </w:p>
        </w:tc>
        <w:tc>
          <w:tcPr>
            <w:tcW w:w="140" w:type="dxa"/>
            <w:vAlign w:val="bottom"/>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5,149</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09"/>
        </w:trPr>
        <w:tc>
          <w:tcPr>
            <w:tcW w:w="4840" w:type="dxa"/>
            <w:vAlign w:val="bottom"/>
          </w:tcPr>
          <w:p>
            <w:pPr>
              <w:spacing w:after="0" w:line="109" w:lineRule="exact"/>
              <w:rPr>
                <w:sz w:val="20"/>
                <w:szCs w:val="20"/>
                <w:color w:val="auto"/>
              </w:rPr>
            </w:pPr>
            <w:r>
              <w:rPr>
                <w:rFonts w:ascii="Arial" w:cs="Arial" w:eastAsia="Arial" w:hAnsi="Arial"/>
                <w:sz w:val="10"/>
                <w:szCs w:val="10"/>
                <w:color w:val="auto"/>
              </w:rPr>
              <w:t>US government bonds and treasury bills</w:t>
            </w: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3,067</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25%</w:t>
            </w:r>
          </w:p>
        </w:tc>
        <w:tc>
          <w:tcPr>
            <w:tcW w:w="140" w:type="dxa"/>
            <w:vAlign w:val="bottom"/>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1,496</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09"/>
        </w:trPr>
        <w:tc>
          <w:tcPr>
            <w:tcW w:w="4840" w:type="dxa"/>
            <w:vAlign w:val="bottom"/>
          </w:tcPr>
          <w:p>
            <w:pPr>
              <w:spacing w:after="0" w:line="109" w:lineRule="exact"/>
              <w:rPr>
                <w:sz w:val="20"/>
                <w:szCs w:val="20"/>
                <w:color w:val="auto"/>
              </w:rPr>
            </w:pPr>
            <w:r>
              <w:rPr>
                <w:rFonts w:ascii="Arial" w:cs="Arial" w:eastAsia="Arial" w:hAnsi="Arial"/>
                <w:sz w:val="10"/>
                <w:szCs w:val="10"/>
                <w:color w:val="auto"/>
              </w:rPr>
              <w:t>Commercial paper</w:t>
            </w: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807</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6%</w:t>
            </w:r>
          </w:p>
        </w:tc>
        <w:tc>
          <w:tcPr>
            <w:tcW w:w="140" w:type="dxa"/>
            <w:vAlign w:val="bottom"/>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528</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14"/>
        </w:trPr>
        <w:tc>
          <w:tcPr>
            <w:tcW w:w="4840" w:type="dxa"/>
            <w:vAlign w:val="bottom"/>
          </w:tcPr>
          <w:p>
            <w:pPr>
              <w:spacing w:after="0" w:line="114" w:lineRule="exact"/>
              <w:rPr>
                <w:sz w:val="20"/>
                <w:szCs w:val="20"/>
                <w:color w:val="auto"/>
              </w:rPr>
            </w:pPr>
            <w:r>
              <w:rPr>
                <w:rFonts w:ascii="Arial" w:cs="Arial" w:eastAsia="Arial" w:hAnsi="Arial"/>
                <w:sz w:val="10"/>
                <w:szCs w:val="10"/>
                <w:color w:val="auto"/>
              </w:rPr>
              <w:t>Other</w:t>
            </w: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1,023</w:t>
            </w:r>
          </w:p>
        </w:tc>
        <w:tc>
          <w:tcPr>
            <w:tcW w:w="8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w:t>
            </w:r>
          </w:p>
        </w:tc>
        <w:tc>
          <w:tcPr>
            <w:tcW w:w="140" w:type="dxa"/>
            <w:vAlign w:val="bottom"/>
          </w:tcPr>
          <w:p>
            <w:pPr>
              <w:spacing w:after="0"/>
              <w:rPr>
                <w:sz w:val="9"/>
                <w:szCs w:val="9"/>
                <w:color w:val="auto"/>
              </w:rPr>
            </w:pP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608</w:t>
            </w:r>
          </w:p>
        </w:tc>
        <w:tc>
          <w:tcPr>
            <w:tcW w:w="8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98"/>
        </w:trPr>
        <w:tc>
          <w:tcPr>
            <w:tcW w:w="4840" w:type="dxa"/>
            <w:vAlign w:val="bottom"/>
          </w:tcPr>
          <w:p>
            <w:pPr>
              <w:spacing w:after="0" w:line="98" w:lineRule="exact"/>
              <w:rPr>
                <w:sz w:val="20"/>
                <w:szCs w:val="20"/>
                <w:color w:val="auto"/>
              </w:rPr>
            </w:pPr>
            <w:r>
              <w:rPr>
                <w:rFonts w:ascii="Arial" w:cs="Arial" w:eastAsia="Arial" w:hAnsi="Arial"/>
                <w:sz w:val="10"/>
                <w:szCs w:val="10"/>
                <w:b w:val="1"/>
                <w:bCs w:val="1"/>
                <w:color w:val="auto"/>
              </w:rPr>
              <w:t>Total USD portfolio</w:t>
            </w:r>
          </w:p>
        </w:tc>
        <w:tc>
          <w:tcPr>
            <w:tcW w:w="11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9,988</w:t>
            </w:r>
          </w:p>
        </w:tc>
        <w:tc>
          <w:tcPr>
            <w:tcW w:w="8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80%</w:t>
            </w:r>
          </w:p>
        </w:tc>
        <w:tc>
          <w:tcPr>
            <w:tcW w:w="140" w:type="dxa"/>
            <w:vAlign w:val="bottom"/>
          </w:tcPr>
          <w:p>
            <w:pPr>
              <w:spacing w:after="0"/>
              <w:rPr>
                <w:sz w:val="8"/>
                <w:szCs w:val="8"/>
                <w:color w:val="auto"/>
              </w:rPr>
            </w:pPr>
          </w:p>
        </w:tc>
        <w:tc>
          <w:tcPr>
            <w:tcW w:w="11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7,781</w:t>
            </w:r>
          </w:p>
        </w:tc>
        <w:tc>
          <w:tcPr>
            <w:tcW w:w="8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75%</w:t>
            </w:r>
          </w:p>
        </w:tc>
        <w:tc>
          <w:tcPr>
            <w:tcW w:w="0" w:type="dxa"/>
            <w:vAlign w:val="bottom"/>
          </w:tcPr>
          <w:p>
            <w:pPr>
              <w:spacing w:after="0"/>
              <w:rPr>
                <w:sz w:val="1"/>
                <w:szCs w:val="1"/>
                <w:color w:val="auto"/>
              </w:rPr>
            </w:pPr>
          </w:p>
        </w:tc>
      </w:tr>
      <w:tr>
        <w:trPr>
          <w:trHeight w:val="202"/>
        </w:trPr>
        <w:tc>
          <w:tcPr>
            <w:tcW w:w="4840" w:type="dxa"/>
            <w:vAlign w:val="bottom"/>
          </w:tcPr>
          <w:p>
            <w:pPr>
              <w:spacing w:after="0"/>
              <w:rPr>
                <w:sz w:val="20"/>
                <w:szCs w:val="20"/>
                <w:color w:val="auto"/>
              </w:rPr>
            </w:pPr>
            <w:r>
              <w:rPr>
                <w:rFonts w:ascii="Arial" w:cs="Arial" w:eastAsia="Arial" w:hAnsi="Arial"/>
                <w:sz w:val="10"/>
                <w:szCs w:val="10"/>
                <w:b w:val="1"/>
                <w:bCs w:val="1"/>
                <w:color w:val="auto"/>
              </w:rPr>
              <w:t>DKK portfolio</w:t>
            </w: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4840" w:type="dxa"/>
            <w:vAlign w:val="bottom"/>
          </w:tcPr>
          <w:p>
            <w:pPr>
              <w:spacing w:after="0" w:line="109" w:lineRule="exact"/>
              <w:rPr>
                <w:sz w:val="20"/>
                <w:szCs w:val="20"/>
                <w:color w:val="auto"/>
              </w:rPr>
            </w:pPr>
            <w:r>
              <w:rPr>
                <w:rFonts w:ascii="Arial" w:cs="Arial" w:eastAsia="Arial" w:hAnsi="Arial"/>
                <w:sz w:val="10"/>
                <w:szCs w:val="10"/>
                <w:color w:val="auto"/>
              </w:rPr>
              <w:t>Kingdom of Denmark bonds and treasury bills</w:t>
            </w: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442</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3%</w:t>
            </w:r>
          </w:p>
        </w:tc>
        <w:tc>
          <w:tcPr>
            <w:tcW w:w="140" w:type="dxa"/>
            <w:vAlign w:val="bottom"/>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Arial" w:cs="Arial" w:eastAsia="Arial" w:hAnsi="Arial"/>
                <w:sz w:val="10"/>
                <w:szCs w:val="10"/>
                <w:color w:val="auto"/>
              </w:rPr>
              <w:t>460</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14"/>
        </w:trPr>
        <w:tc>
          <w:tcPr>
            <w:tcW w:w="4840" w:type="dxa"/>
            <w:vAlign w:val="bottom"/>
          </w:tcPr>
          <w:p>
            <w:pPr>
              <w:spacing w:after="0" w:line="114" w:lineRule="exact"/>
              <w:rPr>
                <w:sz w:val="20"/>
                <w:szCs w:val="20"/>
                <w:color w:val="auto"/>
              </w:rPr>
            </w:pPr>
            <w:r>
              <w:rPr>
                <w:rFonts w:ascii="Arial" w:cs="Arial" w:eastAsia="Arial" w:hAnsi="Arial"/>
                <w:sz w:val="10"/>
                <w:szCs w:val="10"/>
                <w:color w:val="auto"/>
              </w:rPr>
              <w:t>Danish mortgage-backed securities</w:t>
            </w: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1,093</w:t>
            </w:r>
          </w:p>
        </w:tc>
        <w:tc>
          <w:tcPr>
            <w:tcW w:w="8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w:t>
            </w:r>
          </w:p>
        </w:tc>
        <w:tc>
          <w:tcPr>
            <w:tcW w:w="140" w:type="dxa"/>
            <w:vAlign w:val="bottom"/>
          </w:tcPr>
          <w:p>
            <w:pPr>
              <w:spacing w:after="0"/>
              <w:rPr>
                <w:sz w:val="9"/>
                <w:szCs w:val="9"/>
                <w:color w:val="auto"/>
              </w:rPr>
            </w:pP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1,203</w:t>
            </w:r>
          </w:p>
        </w:tc>
        <w:tc>
          <w:tcPr>
            <w:tcW w:w="8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98"/>
        </w:trPr>
        <w:tc>
          <w:tcPr>
            <w:tcW w:w="4840" w:type="dxa"/>
            <w:vAlign w:val="bottom"/>
          </w:tcPr>
          <w:p>
            <w:pPr>
              <w:spacing w:after="0" w:line="98" w:lineRule="exact"/>
              <w:rPr>
                <w:sz w:val="20"/>
                <w:szCs w:val="20"/>
                <w:color w:val="auto"/>
              </w:rPr>
            </w:pPr>
            <w:r>
              <w:rPr>
                <w:rFonts w:ascii="Arial" w:cs="Arial" w:eastAsia="Arial" w:hAnsi="Arial"/>
                <w:sz w:val="10"/>
                <w:szCs w:val="10"/>
                <w:b w:val="1"/>
                <w:bCs w:val="1"/>
                <w:color w:val="auto"/>
              </w:rPr>
              <w:t>Total DKK portfolio</w:t>
            </w:r>
          </w:p>
        </w:tc>
        <w:tc>
          <w:tcPr>
            <w:tcW w:w="11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1,535</w:t>
            </w:r>
          </w:p>
        </w:tc>
        <w:tc>
          <w:tcPr>
            <w:tcW w:w="8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12%</w:t>
            </w:r>
          </w:p>
        </w:tc>
        <w:tc>
          <w:tcPr>
            <w:tcW w:w="140" w:type="dxa"/>
            <w:vAlign w:val="bottom"/>
          </w:tcPr>
          <w:p>
            <w:pPr>
              <w:spacing w:after="0"/>
              <w:rPr>
                <w:sz w:val="8"/>
                <w:szCs w:val="8"/>
                <w:color w:val="auto"/>
              </w:rPr>
            </w:pPr>
          </w:p>
        </w:tc>
        <w:tc>
          <w:tcPr>
            <w:tcW w:w="11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1,663</w:t>
            </w:r>
          </w:p>
        </w:tc>
        <w:tc>
          <w:tcPr>
            <w:tcW w:w="8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16%</w:t>
            </w:r>
          </w:p>
        </w:tc>
        <w:tc>
          <w:tcPr>
            <w:tcW w:w="0" w:type="dxa"/>
            <w:vAlign w:val="bottom"/>
          </w:tcPr>
          <w:p>
            <w:pPr>
              <w:spacing w:after="0"/>
              <w:rPr>
                <w:sz w:val="1"/>
                <w:szCs w:val="1"/>
                <w:color w:val="auto"/>
              </w:rPr>
            </w:pPr>
          </w:p>
        </w:tc>
      </w:tr>
      <w:tr>
        <w:trPr>
          <w:trHeight w:val="202"/>
        </w:trPr>
        <w:tc>
          <w:tcPr>
            <w:tcW w:w="4840" w:type="dxa"/>
            <w:vAlign w:val="bottom"/>
          </w:tcPr>
          <w:p>
            <w:pPr>
              <w:spacing w:after="0"/>
              <w:rPr>
                <w:sz w:val="20"/>
                <w:szCs w:val="20"/>
                <w:color w:val="auto"/>
              </w:rPr>
            </w:pPr>
            <w:r>
              <w:rPr>
                <w:rFonts w:ascii="Arial" w:cs="Arial" w:eastAsia="Arial" w:hAnsi="Arial"/>
                <w:sz w:val="10"/>
                <w:szCs w:val="10"/>
                <w:b w:val="1"/>
                <w:bCs w:val="1"/>
                <w:color w:val="auto"/>
              </w:rPr>
              <w:t>EUR portfolio</w:t>
            </w: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4840" w:type="dxa"/>
            <w:vAlign w:val="bottom"/>
          </w:tcPr>
          <w:p>
            <w:pPr>
              <w:spacing w:after="0"/>
              <w:rPr>
                <w:sz w:val="20"/>
                <w:szCs w:val="20"/>
                <w:color w:val="auto"/>
              </w:rPr>
            </w:pPr>
            <w:r>
              <w:rPr>
                <w:rFonts w:ascii="Arial" w:cs="Arial" w:eastAsia="Arial" w:hAnsi="Arial"/>
                <w:sz w:val="10"/>
                <w:szCs w:val="10"/>
                <w:color w:val="auto"/>
              </w:rPr>
              <w:t>European government bonds and treasury bills</w:t>
            </w:r>
          </w:p>
        </w:tc>
        <w:tc>
          <w:tcPr>
            <w:tcW w:w="1160" w:type="dxa"/>
            <w:vAlign w:val="bottom"/>
          </w:tcPr>
          <w:p>
            <w:pPr>
              <w:jc w:val="right"/>
              <w:spacing w:after="0"/>
              <w:rPr>
                <w:sz w:val="20"/>
                <w:szCs w:val="20"/>
                <w:color w:val="auto"/>
              </w:rPr>
            </w:pPr>
            <w:r>
              <w:rPr>
                <w:rFonts w:ascii="Arial" w:cs="Arial" w:eastAsia="Arial" w:hAnsi="Arial"/>
                <w:sz w:val="10"/>
                <w:szCs w:val="10"/>
                <w:color w:val="auto"/>
              </w:rPr>
              <w:t>832</w:t>
            </w:r>
          </w:p>
        </w:tc>
        <w:tc>
          <w:tcPr>
            <w:tcW w:w="820" w:type="dxa"/>
            <w:vAlign w:val="bottom"/>
          </w:tcPr>
          <w:p>
            <w:pPr>
              <w:jc w:val="right"/>
              <w:spacing w:after="0"/>
              <w:rPr>
                <w:sz w:val="20"/>
                <w:szCs w:val="20"/>
                <w:color w:val="auto"/>
              </w:rPr>
            </w:pPr>
            <w:r>
              <w:rPr>
                <w:rFonts w:ascii="Arial" w:cs="Arial" w:eastAsia="Arial" w:hAnsi="Arial"/>
                <w:sz w:val="10"/>
                <w:szCs w:val="10"/>
                <w:color w:val="auto"/>
              </w:rPr>
              <w:t>7%</w:t>
            </w:r>
          </w:p>
        </w:tc>
        <w:tc>
          <w:tcPr>
            <w:tcW w:w="14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856</w:t>
            </w:r>
          </w:p>
        </w:tc>
        <w:tc>
          <w:tcPr>
            <w:tcW w:w="840" w:type="dxa"/>
            <w:vAlign w:val="bottom"/>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0"/>
                <w:szCs w:val="10"/>
                <w:b w:val="1"/>
                <w:bCs w:val="1"/>
                <w:color w:val="auto"/>
              </w:rPr>
              <w:t>GBP portfolio</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4840" w:type="dxa"/>
            <w:vAlign w:val="bottom"/>
          </w:tcPr>
          <w:p>
            <w:pPr>
              <w:spacing w:after="0" w:line="114" w:lineRule="exact"/>
              <w:rPr>
                <w:sz w:val="20"/>
                <w:szCs w:val="20"/>
                <w:color w:val="auto"/>
              </w:rPr>
            </w:pPr>
            <w:r>
              <w:rPr>
                <w:rFonts w:ascii="Arial" w:cs="Arial" w:eastAsia="Arial" w:hAnsi="Arial"/>
                <w:sz w:val="10"/>
                <w:szCs w:val="10"/>
                <w:color w:val="auto"/>
              </w:rPr>
              <w:t>UK government bonds and treasury bills</w:t>
            </w: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76</w:t>
            </w:r>
          </w:p>
        </w:tc>
        <w:tc>
          <w:tcPr>
            <w:tcW w:w="8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9"/>
                <w:szCs w:val="9"/>
                <w:color w:val="auto"/>
              </w:rPr>
            </w:pP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81</w:t>
            </w:r>
          </w:p>
        </w:tc>
        <w:tc>
          <w:tcPr>
            <w:tcW w:w="8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0"/>
                <w:szCs w:val="10"/>
                <w:b w:val="1"/>
                <w:bCs w:val="1"/>
                <w:color w:val="auto"/>
              </w:rPr>
              <w:t>Total portfolio</w:t>
            </w: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12,431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100%</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10,381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100%</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0"/>
                <w:szCs w:val="10"/>
                <w:b w:val="1"/>
                <w:bCs w:val="1"/>
                <w:color w:val="auto"/>
              </w:rPr>
              <w:t>Marketable securities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12,431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10,381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4.2 for additional information regarding the risks related to our marketable securities.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0" w:lineRule="exact"/>
        <w:rPr>
          <w:sz w:val="20"/>
          <w:szCs w:val="20"/>
          <w:color w:val="auto"/>
        </w:rPr>
      </w:pPr>
    </w:p>
    <w:p>
      <w:pPr>
        <w:jc w:val="both"/>
        <w:ind w:left="20" w:right="339"/>
        <w:spacing w:after="0" w:line="244" w:lineRule="auto"/>
        <w:rPr>
          <w:sz w:val="20"/>
          <w:szCs w:val="20"/>
          <w:color w:val="auto"/>
        </w:rPr>
      </w:pPr>
      <w:r>
        <w:rPr>
          <w:rFonts w:ascii="Arial" w:cs="Arial" w:eastAsia="Arial" w:hAnsi="Arial"/>
          <w:sz w:val="12"/>
          <w:szCs w:val="12"/>
          <w:color w:val="auto"/>
        </w:rPr>
        <w:t>Marketable securities consist of investments in securities with a maturity of ninety days or greater at the time of acquisition. Measurement of marketable securities depends on the business model for managing the asset and the cash flow characteristics of the asset. There are two measurement categories into which Genmab classifies its debt instruments:</w:t>
      </w:r>
    </w:p>
    <w:p>
      <w:pPr>
        <w:spacing w:after="0" w:line="120" w:lineRule="exact"/>
        <w:rPr>
          <w:sz w:val="20"/>
          <w:szCs w:val="20"/>
          <w:color w:val="auto"/>
        </w:rPr>
      </w:pPr>
    </w:p>
    <w:p>
      <w:pPr>
        <w:ind w:left="480" w:right="79" w:hanging="222"/>
        <w:spacing w:after="0" w:line="248" w:lineRule="auto"/>
        <w:tabs>
          <w:tab w:leader="none" w:pos="480" w:val="left"/>
        </w:tabs>
        <w:numPr>
          <w:ilvl w:val="0"/>
          <w:numId w:val="87"/>
        </w:numPr>
        <w:rPr>
          <w:rFonts w:ascii="Times New Roman" w:cs="Times New Roman" w:eastAsia="Times New Roman" w:hAnsi="Times New Roman"/>
          <w:sz w:val="12"/>
          <w:szCs w:val="12"/>
          <w:color w:val="auto"/>
        </w:rPr>
      </w:pPr>
      <w:r>
        <w:rPr>
          <w:rFonts w:ascii="Arial" w:cs="Arial" w:eastAsia="Arial" w:hAnsi="Arial"/>
          <w:sz w:val="12"/>
          <w:szCs w:val="12"/>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gains/(losses), together with foreign exchange gains and losses. Impairment losses are presented as a separate line item in the statement of profit or loss.</w:t>
      </w:r>
    </w:p>
    <w:p>
      <w:pPr>
        <w:spacing w:after="0" w:line="117" w:lineRule="exact"/>
        <w:rPr>
          <w:rFonts w:ascii="Times New Roman" w:cs="Times New Roman" w:eastAsia="Times New Roman" w:hAnsi="Times New Roman"/>
          <w:sz w:val="12"/>
          <w:szCs w:val="12"/>
          <w:color w:val="auto"/>
        </w:rPr>
      </w:pPr>
    </w:p>
    <w:p>
      <w:pPr>
        <w:jc w:val="both"/>
        <w:ind w:left="480" w:right="39" w:hanging="222"/>
        <w:spacing w:after="0" w:line="254" w:lineRule="auto"/>
        <w:tabs>
          <w:tab w:leader="none" w:pos="480" w:val="left"/>
        </w:tabs>
        <w:numPr>
          <w:ilvl w:val="0"/>
          <w:numId w:val="87"/>
        </w:numPr>
        <w:rPr>
          <w:rFonts w:ascii="Times New Roman" w:cs="Times New Roman" w:eastAsia="Times New Roman" w:hAnsi="Times New Roman"/>
          <w:sz w:val="12"/>
          <w:szCs w:val="12"/>
          <w:color w:val="auto"/>
        </w:rPr>
      </w:pPr>
      <w:r>
        <w:rPr>
          <w:rFonts w:ascii="Arial" w:cs="Arial" w:eastAsia="Arial" w:hAnsi="Arial"/>
          <w:sz w:val="12"/>
          <w:szCs w:val="12"/>
          <w:color w:val="auto"/>
        </w:rPr>
        <w:t>Fair value through profit and loss (FVPL): Assets that do not meet the criteria for amortized cost or fair value through other comprehensive income (FVOCI) are measured at FVPL. A gain or loss on a debt investment that is subsequently measured at FVPL is recognized in profit or loss and presented net within financial income or expenses in the period in which it arises.</w:t>
      </w:r>
    </w:p>
    <w:p>
      <w:pPr>
        <w:spacing w:after="0" w:line="114" w:lineRule="exact"/>
        <w:rPr>
          <w:sz w:val="20"/>
          <w:szCs w:val="20"/>
          <w:color w:val="auto"/>
        </w:rPr>
      </w:pPr>
    </w:p>
    <w:p>
      <w:pPr>
        <w:ind w:left="20" w:right="459"/>
        <w:spacing w:after="0" w:line="255" w:lineRule="auto"/>
        <w:rPr>
          <w:sz w:val="20"/>
          <w:szCs w:val="20"/>
          <w:color w:val="auto"/>
        </w:rPr>
      </w:pPr>
      <w:r>
        <w:rPr>
          <w:rFonts w:ascii="Arial" w:cs="Arial" w:eastAsia="Arial" w:hAnsi="Arial"/>
          <w:sz w:val="12"/>
          <w:szCs w:val="12"/>
          <w:color w:val="auto"/>
        </w:rPr>
        <w:t>Genmab’s portfolio is managed and evaluated on a fair value basis in accordance with its stated investment guidelines and the information provided internally to management. This business model does not meet the criteria for amortized cost or FVOCI and as a result marketable securities are measured at FVPL. This classification is consistent with the prior year’s classification.</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109/158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2" w:name="page113"/>
    <w:bookmarkEnd w:id="11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Genmab invests its cash in deposits with major financial institutions, in AAA rated money market funds, Danish mortgage bonds, investment grade rated corporate debt, commercial paper, certificates of deposit, certain types of AAA rated asset backed securities, U.S. Agency bonds, and notes issued by the Danish, European and U.S. governments. The securities can be purchased and sold using established markets.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Transactions are recognized at the trade date.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4.5 – Financial Income and Expenses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240" w:type="dxa"/>
            <w:vAlign w:val="bottom"/>
          </w:tcPr>
          <w:p>
            <w:pPr>
              <w:spacing w:after="0"/>
              <w:rPr>
                <w:sz w:val="20"/>
                <w:szCs w:val="20"/>
                <w:color w:val="auto"/>
              </w:rPr>
            </w:pPr>
            <w:r>
              <w:rPr>
                <w:rFonts w:ascii="Arial" w:cs="Arial" w:eastAsia="Arial" w:hAnsi="Arial"/>
                <w:sz w:val="11"/>
                <w:szCs w:val="11"/>
                <w:b w:val="1"/>
                <w:bCs w:val="1"/>
                <w:color w:val="auto"/>
              </w:rPr>
              <w:t>(DKK million)</w:t>
            </w:r>
          </w:p>
        </w:tc>
        <w:tc>
          <w:tcPr>
            <w:tcW w:w="12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2020</w:t>
            </w:r>
          </w:p>
        </w:tc>
      </w:tr>
      <w:tr>
        <w:trPr>
          <w:trHeight w:val="107"/>
        </w:trPr>
        <w:tc>
          <w:tcPr>
            <w:tcW w:w="5240" w:type="dxa"/>
            <w:vAlign w:val="bottom"/>
          </w:tcPr>
          <w:p>
            <w:pPr>
              <w:spacing w:after="0" w:line="107" w:lineRule="exact"/>
              <w:rPr>
                <w:sz w:val="20"/>
                <w:szCs w:val="20"/>
                <w:color w:val="auto"/>
              </w:rPr>
            </w:pPr>
            <w:r>
              <w:rPr>
                <w:rFonts w:ascii="Arial" w:cs="Arial" w:eastAsia="Arial" w:hAnsi="Arial"/>
                <w:sz w:val="11"/>
                <w:szCs w:val="11"/>
                <w:b w:val="1"/>
                <w:bCs w:val="1"/>
                <w:color w:val="auto"/>
              </w:rPr>
              <w:t>Financial income:</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7"/>
        </w:trPr>
        <w:tc>
          <w:tcPr>
            <w:tcW w:w="5240" w:type="dxa"/>
            <w:vAlign w:val="bottom"/>
          </w:tcPr>
          <w:p>
            <w:pPr>
              <w:spacing w:after="0"/>
              <w:rPr>
                <w:sz w:val="20"/>
                <w:szCs w:val="20"/>
                <w:color w:val="auto"/>
              </w:rPr>
            </w:pPr>
            <w:r>
              <w:rPr>
                <w:rFonts w:ascii="Arial" w:cs="Arial" w:eastAsia="Arial" w:hAnsi="Arial"/>
                <w:sz w:val="11"/>
                <w:szCs w:val="11"/>
                <w:color w:val="auto"/>
              </w:rPr>
              <w:t>Interest and other financial income</w:t>
            </w:r>
          </w:p>
        </w:tc>
        <w:tc>
          <w:tcPr>
            <w:tcW w:w="1200" w:type="dxa"/>
            <w:vAlign w:val="bottom"/>
          </w:tcPr>
          <w:p>
            <w:pPr>
              <w:jc w:val="right"/>
              <w:spacing w:after="0"/>
              <w:rPr>
                <w:sz w:val="20"/>
                <w:szCs w:val="20"/>
                <w:color w:val="auto"/>
              </w:rPr>
            </w:pPr>
            <w:r>
              <w:rPr>
                <w:rFonts w:ascii="Arial" w:cs="Arial" w:eastAsia="Arial" w:hAnsi="Arial"/>
                <w:sz w:val="11"/>
                <w:szCs w:val="11"/>
                <w:color w:val="auto"/>
              </w:rPr>
              <w:t>324</w:t>
            </w:r>
          </w:p>
        </w:tc>
        <w:tc>
          <w:tcPr>
            <w:tcW w:w="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197</w:t>
            </w:r>
          </w:p>
        </w:tc>
        <w:tc>
          <w:tcPr>
            <w:tcW w:w="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184</w:t>
            </w:r>
          </w:p>
        </w:tc>
      </w:tr>
      <w:tr>
        <w:trPr>
          <w:trHeight w:val="127"/>
        </w:trPr>
        <w:tc>
          <w:tcPr>
            <w:tcW w:w="5240" w:type="dxa"/>
            <w:vAlign w:val="bottom"/>
          </w:tcPr>
          <w:p>
            <w:pPr>
              <w:spacing w:after="0"/>
              <w:rPr>
                <w:sz w:val="20"/>
                <w:szCs w:val="20"/>
                <w:color w:val="auto"/>
              </w:rPr>
            </w:pPr>
            <w:r>
              <w:rPr>
                <w:rFonts w:ascii="Arial" w:cs="Arial" w:eastAsia="Arial" w:hAnsi="Arial"/>
                <w:sz w:val="11"/>
                <w:szCs w:val="11"/>
                <w:color w:val="auto"/>
              </w:rPr>
              <w:t>Gain on other investments, net</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965</w:t>
            </w:r>
          </w:p>
        </w:tc>
      </w:tr>
      <w:tr>
        <w:trPr>
          <w:trHeight w:val="136"/>
        </w:trPr>
        <w:tc>
          <w:tcPr>
            <w:tcW w:w="5240" w:type="dxa"/>
            <w:vAlign w:val="bottom"/>
          </w:tcPr>
          <w:p>
            <w:pPr>
              <w:spacing w:after="0"/>
              <w:rPr>
                <w:sz w:val="20"/>
                <w:szCs w:val="20"/>
                <w:color w:val="auto"/>
              </w:rPr>
            </w:pPr>
            <w:r>
              <w:rPr>
                <w:rFonts w:ascii="Arial" w:cs="Arial" w:eastAsia="Arial" w:hAnsi="Arial"/>
                <w:sz w:val="11"/>
                <w:szCs w:val="11"/>
                <w:color w:val="auto"/>
              </w:rPr>
              <w:t>Foreign exchange rate gain, net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1,034</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243"/>
        </w:trPr>
        <w:tc>
          <w:tcPr>
            <w:tcW w:w="5240" w:type="dxa"/>
            <w:vAlign w:val="bottom"/>
          </w:tcPr>
          <w:p>
            <w:pPr>
              <w:spacing w:after="0"/>
              <w:rPr>
                <w:sz w:val="20"/>
                <w:szCs w:val="20"/>
                <w:color w:val="auto"/>
              </w:rPr>
            </w:pPr>
            <w:r>
              <w:rPr>
                <w:rFonts w:ascii="Arial" w:cs="Arial" w:eastAsia="Arial" w:hAnsi="Arial"/>
                <w:sz w:val="11"/>
                <w:szCs w:val="11"/>
                <w:b w:val="1"/>
                <w:bCs w:val="1"/>
                <w:color w:val="auto"/>
              </w:rPr>
              <w:t>Total financial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1,358</w:t>
            </w:r>
          </w:p>
        </w:tc>
        <w:tc>
          <w:tcPr>
            <w:tcW w:w="6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1,667</w:t>
            </w:r>
          </w:p>
        </w:tc>
        <w:tc>
          <w:tcPr>
            <w:tcW w:w="6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1,149</w:t>
            </w:r>
          </w:p>
        </w:tc>
      </w:tr>
      <w:tr>
        <w:trPr>
          <w:trHeight w:val="361"/>
        </w:trPr>
        <w:tc>
          <w:tcPr>
            <w:tcW w:w="5240" w:type="dxa"/>
            <w:vAlign w:val="bottom"/>
          </w:tcPr>
          <w:p>
            <w:pPr>
              <w:spacing w:after="0"/>
              <w:rPr>
                <w:sz w:val="20"/>
                <w:szCs w:val="20"/>
                <w:color w:val="auto"/>
              </w:rPr>
            </w:pPr>
            <w:r>
              <w:rPr>
                <w:rFonts w:ascii="Arial" w:cs="Arial" w:eastAsia="Arial" w:hAnsi="Arial"/>
                <w:sz w:val="11"/>
                <w:szCs w:val="11"/>
                <w:b w:val="1"/>
                <w:bCs w:val="1"/>
                <w:color w:val="auto"/>
              </w:rPr>
              <w:t>Financial expenses: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7"/>
        </w:trPr>
        <w:tc>
          <w:tcPr>
            <w:tcW w:w="5240" w:type="dxa"/>
            <w:vAlign w:val="bottom"/>
          </w:tcPr>
          <w:p>
            <w:pPr>
              <w:spacing w:after="0"/>
              <w:rPr>
                <w:sz w:val="20"/>
                <w:szCs w:val="20"/>
                <w:color w:val="auto"/>
              </w:rPr>
            </w:pPr>
            <w:r>
              <w:rPr>
                <w:rFonts w:ascii="Arial" w:cs="Arial" w:eastAsia="Arial" w:hAnsi="Arial"/>
                <w:sz w:val="11"/>
                <w:szCs w:val="11"/>
                <w:color w:val="auto"/>
              </w:rPr>
              <w:t>Interest and other financial expenses</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(21)</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(13)</w:t>
            </w:r>
          </w:p>
        </w:tc>
        <w:tc>
          <w:tcPr>
            <w:tcW w:w="120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27"/>
        </w:trPr>
        <w:tc>
          <w:tcPr>
            <w:tcW w:w="5240" w:type="dxa"/>
            <w:vAlign w:val="bottom"/>
          </w:tcPr>
          <w:p>
            <w:pPr>
              <w:spacing w:after="0"/>
              <w:rPr>
                <w:sz w:val="20"/>
                <w:szCs w:val="20"/>
                <w:color w:val="auto"/>
              </w:rPr>
            </w:pPr>
            <w:r>
              <w:rPr>
                <w:rFonts w:ascii="Arial" w:cs="Arial" w:eastAsia="Arial" w:hAnsi="Arial"/>
                <w:sz w:val="11"/>
                <w:szCs w:val="11"/>
                <w:color w:val="auto"/>
              </w:rPr>
              <w:t>Loss on marketable securities, net</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(361)</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(246)</w:t>
            </w:r>
          </w:p>
        </w:tc>
        <w:tc>
          <w:tcPr>
            <w:tcW w:w="1200" w:type="dxa"/>
            <w:vAlign w:val="bottom"/>
          </w:tcPr>
          <w:p>
            <w:pPr>
              <w:jc w:val="right"/>
              <w:spacing w:after="0"/>
              <w:rPr>
                <w:sz w:val="20"/>
                <w:szCs w:val="20"/>
                <w:color w:val="auto"/>
              </w:rPr>
            </w:pPr>
            <w:r>
              <w:rPr>
                <w:rFonts w:ascii="Arial" w:cs="Arial" w:eastAsia="Arial" w:hAnsi="Arial"/>
                <w:sz w:val="11"/>
                <w:szCs w:val="11"/>
                <w:color w:val="auto"/>
              </w:rPr>
              <w:t>(92)</w:t>
            </w:r>
          </w:p>
        </w:tc>
      </w:tr>
      <w:tr>
        <w:trPr>
          <w:trHeight w:val="127"/>
        </w:trPr>
        <w:tc>
          <w:tcPr>
            <w:tcW w:w="5240" w:type="dxa"/>
            <w:vAlign w:val="bottom"/>
          </w:tcPr>
          <w:p>
            <w:pPr>
              <w:spacing w:after="0"/>
              <w:rPr>
                <w:sz w:val="20"/>
                <w:szCs w:val="20"/>
                <w:color w:val="auto"/>
              </w:rPr>
            </w:pPr>
            <w:r>
              <w:rPr>
                <w:rFonts w:ascii="Arial" w:cs="Arial" w:eastAsia="Arial" w:hAnsi="Arial"/>
                <w:sz w:val="11"/>
                <w:szCs w:val="11"/>
                <w:color w:val="auto"/>
              </w:rPr>
              <w:t>Loss on other investments, net</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(298)</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color w:val="auto"/>
              </w:rPr>
              <w:t>(443)</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5240" w:type="dxa"/>
            <w:vAlign w:val="bottom"/>
          </w:tcPr>
          <w:p>
            <w:pPr>
              <w:spacing w:after="0"/>
              <w:rPr>
                <w:sz w:val="20"/>
                <w:szCs w:val="20"/>
                <w:color w:val="auto"/>
              </w:rPr>
            </w:pPr>
            <w:r>
              <w:rPr>
                <w:rFonts w:ascii="Arial" w:cs="Arial" w:eastAsia="Arial" w:hAnsi="Arial"/>
                <w:sz w:val="11"/>
                <w:szCs w:val="11"/>
                <w:color w:val="auto"/>
              </w:rPr>
              <w:t>Foreign exchange rate loss, net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(1,456)</w:t>
            </w:r>
          </w:p>
        </w:tc>
      </w:tr>
      <w:tr>
        <w:trPr>
          <w:trHeight w:val="243"/>
        </w:trPr>
        <w:tc>
          <w:tcPr>
            <w:tcW w:w="5240" w:type="dxa"/>
            <w:vAlign w:val="bottom"/>
          </w:tcPr>
          <w:p>
            <w:pPr>
              <w:spacing w:after="0"/>
              <w:rPr>
                <w:sz w:val="20"/>
                <w:szCs w:val="20"/>
                <w:color w:val="auto"/>
              </w:rPr>
            </w:pPr>
            <w:r>
              <w:rPr>
                <w:rFonts w:ascii="Arial" w:cs="Arial" w:eastAsia="Arial" w:hAnsi="Arial"/>
                <w:sz w:val="11"/>
                <w:szCs w:val="11"/>
                <w:b w:val="1"/>
                <w:bCs w:val="1"/>
                <w:color w:val="auto"/>
              </w:rPr>
              <w:t>Total financial expenses</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(680)</w:t>
            </w:r>
          </w:p>
        </w:tc>
        <w:tc>
          <w:tcPr>
            <w:tcW w:w="12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(702)</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(1,558)</w:t>
            </w:r>
          </w:p>
        </w:tc>
      </w:tr>
      <w:tr>
        <w:trPr>
          <w:trHeight w:val="243"/>
        </w:trPr>
        <w:tc>
          <w:tcPr>
            <w:tcW w:w="5240" w:type="dxa"/>
            <w:vAlign w:val="bottom"/>
          </w:tcPr>
          <w:p>
            <w:pPr>
              <w:spacing w:after="0"/>
              <w:rPr>
                <w:sz w:val="20"/>
                <w:szCs w:val="20"/>
                <w:color w:val="auto"/>
              </w:rPr>
            </w:pPr>
            <w:r>
              <w:rPr>
                <w:rFonts w:ascii="Arial" w:cs="Arial" w:eastAsia="Arial" w:hAnsi="Arial"/>
                <w:sz w:val="11"/>
                <w:szCs w:val="11"/>
                <w:b w:val="1"/>
                <w:bCs w:val="1"/>
                <w:color w:val="auto"/>
              </w:rPr>
              <w:t>Net financial items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678</w:t>
            </w:r>
          </w:p>
        </w:tc>
        <w:tc>
          <w:tcPr>
            <w:tcW w:w="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965</w:t>
            </w:r>
          </w:p>
        </w:tc>
        <w:tc>
          <w:tcPr>
            <w:tcW w:w="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w:t>
            </w:r>
          </w:p>
        </w:tc>
      </w:tr>
    </w:tbl>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INTEREST INCOME</w:t>
      </w:r>
    </w:p>
    <w:p>
      <w:pPr>
        <w:spacing w:after="0" w:line="10" w:lineRule="exact"/>
        <w:rPr>
          <w:sz w:val="20"/>
          <w:szCs w:val="20"/>
          <w:color w:val="auto"/>
        </w:rPr>
      </w:pPr>
    </w:p>
    <w:p>
      <w:pPr>
        <w:ind w:left="20" w:right="239"/>
        <w:spacing w:after="0" w:line="252" w:lineRule="auto"/>
        <w:rPr>
          <w:sz w:val="20"/>
          <w:szCs w:val="20"/>
          <w:color w:val="auto"/>
        </w:rPr>
      </w:pPr>
      <w:r>
        <w:rPr>
          <w:rFonts w:ascii="Arial" w:cs="Arial" w:eastAsia="Arial" w:hAnsi="Arial"/>
          <w:sz w:val="12"/>
          <w:szCs w:val="12"/>
          <w:color w:val="auto"/>
        </w:rPr>
        <w:t>Interest income was DKK 324 million in 2022 compared to DKK 197 million in 2021. The increase of DKK 127 million, or 64%, was driven by higher effective interest rates in the U.S., Europe and Denmark for the respective periods.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FOREIGN EXCHANGE RATE GAINS AND LOSSES</w:t>
      </w:r>
    </w:p>
    <w:p>
      <w:pPr>
        <w:spacing w:after="0" w:line="10" w:lineRule="exact"/>
        <w:rPr>
          <w:sz w:val="20"/>
          <w:szCs w:val="20"/>
          <w:color w:val="auto"/>
        </w:rPr>
      </w:pPr>
    </w:p>
    <w:p>
      <w:pPr>
        <w:ind w:left="20" w:right="39"/>
        <w:spacing w:after="0" w:line="244" w:lineRule="auto"/>
        <w:rPr>
          <w:sz w:val="20"/>
          <w:szCs w:val="20"/>
          <w:color w:val="auto"/>
        </w:rPr>
      </w:pPr>
      <w:r>
        <w:rPr>
          <w:rFonts w:ascii="Arial" w:cs="Arial" w:eastAsia="Arial" w:hAnsi="Arial"/>
          <w:sz w:val="12"/>
          <w:szCs w:val="12"/>
          <w:color w:val="auto"/>
        </w:rPr>
        <w:t>Foreign exchange rate gains of DKK 1,034 million in 2022 and DKK 1,470 million in 2021, and losses of DKK 1,456 million in 2020 were primarily driven by foreign exchange movements impacting Genmab’s USD denominated marketable securities and cash and cash equivalents; in particular, the USD/DKK foreign exchange rates were as follows for each period: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340" w:type="dxa"/>
            <w:vAlign w:val="bottom"/>
          </w:tcPr>
          <w:p>
            <w:pPr>
              <w:jc w:val="center"/>
              <w:ind w:left="360"/>
              <w:spacing w:after="0"/>
              <w:rPr>
                <w:sz w:val="20"/>
                <w:szCs w:val="20"/>
                <w:color w:val="auto"/>
              </w:rPr>
            </w:pPr>
            <w:r>
              <w:rPr>
                <w:rFonts w:ascii="Arial" w:cs="Arial" w:eastAsia="Arial" w:hAnsi="Arial"/>
                <w:sz w:val="12"/>
                <w:szCs w:val="12"/>
                <w:b w:val="1"/>
                <w:bCs w:val="1"/>
                <w:color w:val="auto"/>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2"/>
          </w:tcPr>
          <w:p>
            <w:pPr>
              <w:ind w:left="480"/>
              <w:spacing w:after="0"/>
              <w:rPr>
                <w:sz w:val="20"/>
                <w:szCs w:val="20"/>
                <w:color w:val="auto"/>
              </w:rPr>
            </w:pPr>
            <w:r>
              <w:rPr>
                <w:rFonts w:ascii="Arial" w:cs="Arial" w:eastAsia="Arial" w:hAnsi="Arial"/>
                <w:sz w:val="12"/>
                <w:szCs w:val="12"/>
                <w:b w:val="1"/>
                <w:bCs w:val="1"/>
                <w:color w:val="auto"/>
              </w:rPr>
              <w:t>December 31,</w:t>
            </w:r>
          </w:p>
        </w:tc>
        <w:tc>
          <w:tcPr>
            <w:tcW w:w="1780" w:type="dxa"/>
            <w:vAlign w:val="bottom"/>
          </w:tcPr>
          <w:p>
            <w:pPr>
              <w:jc w:val="center"/>
              <w:spacing w:after="0"/>
              <w:rPr>
                <w:sz w:val="20"/>
                <w:szCs w:val="20"/>
                <w:color w:val="auto"/>
              </w:rPr>
            </w:pPr>
            <w:r>
              <w:rPr>
                <w:rFonts w:ascii="Arial" w:cs="Arial" w:eastAsia="Arial" w:hAnsi="Arial"/>
                <w:sz w:val="12"/>
                <w:szCs w:val="12"/>
                <w:b w:val="1"/>
                <w:bCs w:val="1"/>
                <w:color w:val="auto"/>
                <w:w w:val="99"/>
              </w:rPr>
              <w:t>December 31,</w:t>
            </w:r>
          </w:p>
        </w:tc>
      </w:tr>
      <w:tr>
        <w:trPr>
          <w:trHeight w:val="149"/>
        </w:trPr>
        <w:tc>
          <w:tcPr>
            <w:tcW w:w="4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jc w:val="right"/>
              <w:ind w:right="683"/>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780" w:type="dxa"/>
            <w:vAlign w:val="bottom"/>
          </w:tcPr>
          <w:p>
            <w:pPr>
              <w:jc w:val="right"/>
              <w:ind w:right="703"/>
              <w:spacing w:after="0"/>
              <w:rPr>
                <w:sz w:val="20"/>
                <w:szCs w:val="20"/>
                <w:color w:val="auto"/>
              </w:rPr>
            </w:pPr>
            <w:r>
              <w:rPr>
                <w:rFonts w:ascii="Arial" w:cs="Arial" w:eastAsia="Arial" w:hAnsi="Arial"/>
                <w:sz w:val="12"/>
                <w:szCs w:val="12"/>
                <w:b w:val="1"/>
                <w:bCs w:val="1"/>
                <w:color w:val="auto"/>
              </w:rPr>
              <w:t>2020</w:t>
            </w:r>
          </w:p>
        </w:tc>
      </w:tr>
      <w:tr>
        <w:trPr>
          <w:trHeight w:val="107"/>
        </w:trPr>
        <w:tc>
          <w:tcPr>
            <w:tcW w:w="3540" w:type="dxa"/>
            <w:vAlign w:val="bottom"/>
          </w:tcPr>
          <w:p>
            <w:pPr>
              <w:spacing w:after="0" w:line="107" w:lineRule="exact"/>
              <w:rPr>
                <w:sz w:val="20"/>
                <w:szCs w:val="20"/>
                <w:color w:val="auto"/>
              </w:rPr>
            </w:pPr>
            <w:r>
              <w:rPr>
                <w:rFonts w:ascii="Arial" w:cs="Arial" w:eastAsia="Arial" w:hAnsi="Arial"/>
                <w:sz w:val="11"/>
                <w:szCs w:val="11"/>
                <w:color w:val="auto"/>
              </w:rPr>
              <w:t>USD/DKK Foreign Exchange Rates</w:t>
            </w:r>
          </w:p>
        </w:tc>
        <w:tc>
          <w:tcPr>
            <w:tcW w:w="13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1"/>
                <w:szCs w:val="11"/>
                <w:color w:val="auto"/>
              </w:rPr>
              <w:t>6.9722</w:t>
            </w:r>
          </w:p>
        </w:tc>
        <w:tc>
          <w:tcPr>
            <w:tcW w:w="60" w:type="dxa"/>
            <w:vAlign w:val="bottom"/>
          </w:tcPr>
          <w:p>
            <w:pPr>
              <w:spacing w:after="0"/>
              <w:rPr>
                <w:sz w:val="9"/>
                <w:szCs w:val="9"/>
                <w:color w:val="auto"/>
              </w:rPr>
            </w:pPr>
          </w:p>
        </w:tc>
        <w:tc>
          <w:tcPr>
            <w:tcW w:w="17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1"/>
                <w:szCs w:val="11"/>
                <w:color w:val="auto"/>
              </w:rPr>
              <w:t>6.5612</w:t>
            </w:r>
          </w:p>
        </w:tc>
        <w:tc>
          <w:tcPr>
            <w:tcW w:w="80" w:type="dxa"/>
            <w:vAlign w:val="bottom"/>
          </w:tcPr>
          <w:p>
            <w:pPr>
              <w:spacing w:after="0"/>
              <w:rPr>
                <w:sz w:val="9"/>
                <w:szCs w:val="9"/>
                <w:color w:val="auto"/>
              </w:rPr>
            </w:pPr>
          </w:p>
        </w:tc>
        <w:tc>
          <w:tcPr>
            <w:tcW w:w="17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1"/>
                <w:szCs w:val="11"/>
                <w:color w:val="auto"/>
              </w:rPr>
              <w:t>6.0524</w:t>
            </w:r>
          </w:p>
        </w:tc>
      </w:tr>
      <w:tr>
        <w:trPr>
          <w:trHeight w:val="142"/>
        </w:trPr>
        <w:tc>
          <w:tcPr>
            <w:tcW w:w="4880" w:type="dxa"/>
            <w:vAlign w:val="bottom"/>
            <w:gridSpan w:val="2"/>
          </w:tcPr>
          <w:p>
            <w:pPr>
              <w:spacing w:after="0"/>
              <w:rPr>
                <w:sz w:val="20"/>
                <w:szCs w:val="20"/>
                <w:color w:val="auto"/>
              </w:rPr>
            </w:pPr>
            <w:r>
              <w:rPr>
                <w:rFonts w:ascii="Arial" w:cs="Arial" w:eastAsia="Arial" w:hAnsi="Arial"/>
                <w:sz w:val="11"/>
                <w:szCs w:val="11"/>
                <w:color w:val="auto"/>
              </w:rPr>
              <w:t>% Increase/(Decrease)</w:t>
            </w:r>
          </w:p>
        </w:tc>
        <w:tc>
          <w:tcPr>
            <w:tcW w:w="42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auto"/>
              </w:rPr>
              <w:t>(9)%</w:t>
            </w: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4.2 for additional information on foreign currency risk.</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3" w:name="page114"/>
    <w:bookmarkEnd w:id="11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MARKETABLE SECURITIES GAINS AND LOSSES</w:t>
      </w:r>
    </w:p>
    <w:p>
      <w:pPr>
        <w:spacing w:after="0" w:line="10" w:lineRule="exact"/>
        <w:rPr>
          <w:sz w:val="20"/>
          <w:szCs w:val="20"/>
          <w:color w:val="auto"/>
        </w:rPr>
      </w:pPr>
    </w:p>
    <w:p>
      <w:pPr>
        <w:ind w:left="20" w:right="79"/>
        <w:spacing w:after="0" w:line="241" w:lineRule="auto"/>
        <w:rPr>
          <w:sz w:val="20"/>
          <w:szCs w:val="20"/>
          <w:color w:val="auto"/>
        </w:rPr>
      </w:pPr>
      <w:r>
        <w:rPr>
          <w:rFonts w:ascii="Arial" w:cs="Arial" w:eastAsia="Arial" w:hAnsi="Arial"/>
          <w:sz w:val="12"/>
          <w:szCs w:val="12"/>
          <w:color w:val="auto"/>
        </w:rPr>
        <w:t>Loss on marketable securities, net was DKK 361 million in 2022 and DKK 246 million in 2021. The increase in losses of DKK 115 million, or 47%, was primarily driven by higher interest rates on Genmab’s Danish mortgage investments in 2022 as compared to 2021. Loss on marketable securities, net was DKK 246 million in 2021 and DKK 92 million in 2020. The increase in losses of DKK 154 million was primarily driven by the movements in interest rates in the U.S. and Europe in the respective periods.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OTHER INVESTMENTS</w:t>
      </w:r>
    </w:p>
    <w:p>
      <w:pPr>
        <w:spacing w:after="0" w:line="10" w:lineRule="exact"/>
        <w:rPr>
          <w:sz w:val="20"/>
          <w:szCs w:val="20"/>
          <w:color w:val="auto"/>
        </w:rPr>
      </w:pPr>
    </w:p>
    <w:p>
      <w:pPr>
        <w:ind w:left="20" w:right="79"/>
        <w:spacing w:after="0" w:line="252" w:lineRule="auto"/>
        <w:rPr>
          <w:sz w:val="20"/>
          <w:szCs w:val="20"/>
          <w:color w:val="auto"/>
        </w:rPr>
      </w:pPr>
      <w:r>
        <w:rPr>
          <w:rFonts w:ascii="Arial" w:cs="Arial" w:eastAsia="Arial" w:hAnsi="Arial"/>
          <w:sz w:val="12"/>
          <w:szCs w:val="12"/>
          <w:color w:val="auto"/>
        </w:rPr>
        <w:t>Loss on other investments, net was DKK 298 million in 2022 and DKK 443 million in 2021, and gain on other investments, net was DKK 965 million in 2020. The losses and gains in the respective periods are primarily driven by the change in fair value of Genmab’s investment in common shares of CureVac.</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ACCOUNTING POLICIES</w:t>
      </w:r>
    </w:p>
    <w:p>
      <w:pPr>
        <w:spacing w:after="0" w:line="10" w:lineRule="exact"/>
        <w:rPr>
          <w:sz w:val="20"/>
          <w:szCs w:val="20"/>
          <w:color w:val="auto"/>
        </w:rPr>
      </w:pPr>
    </w:p>
    <w:p>
      <w:pPr>
        <w:ind w:left="20" w:right="59"/>
        <w:spacing w:after="0" w:line="252" w:lineRule="auto"/>
        <w:rPr>
          <w:sz w:val="20"/>
          <w:szCs w:val="20"/>
          <w:color w:val="auto"/>
        </w:rPr>
      </w:pPr>
      <w:r>
        <w:rPr>
          <w:rFonts w:ascii="Arial" w:cs="Arial" w:eastAsia="Arial" w:hAnsi="Arial"/>
          <w:sz w:val="12"/>
          <w:szCs w:val="12"/>
          <w:color w:val="auto"/>
        </w:rPr>
        <w:t>Financial income and expenses include interest as well as foreign exchange rate adjustments and gains and losses on marketable securities (designated as FVPL) and realized gains and losses and write-downs of other securities and equity interests (designated as available-for-sale financial assets).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Interest income is shown separately from gains and losses on marketable securities and other securities and equity interests.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4.6 – Share-Based Instruments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Restricted Stock Unit Program</w:t>
      </w:r>
    </w:p>
    <w:p>
      <w:pPr>
        <w:spacing w:after="0" w:line="14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Genmab A/S has established an RSU program (equity-settled share-based payment transactions) as an incentive for Genmab’s employees, members of the Executive Management, and members of the Board of Directors. RSUs granted to Executive Management are performance-based.</w:t>
      </w:r>
    </w:p>
    <w:p>
      <w:pPr>
        <w:spacing w:after="0" w:line="103" w:lineRule="exact"/>
        <w:rPr>
          <w:sz w:val="20"/>
          <w:szCs w:val="20"/>
          <w:color w:val="auto"/>
        </w:rPr>
      </w:pPr>
    </w:p>
    <w:p>
      <w:pPr>
        <w:ind w:left="20" w:right="599"/>
        <w:spacing w:after="0" w:line="273" w:lineRule="auto"/>
        <w:rPr>
          <w:sz w:val="20"/>
          <w:szCs w:val="20"/>
          <w:color w:val="auto"/>
        </w:rPr>
      </w:pPr>
      <w:r>
        <w:rPr>
          <w:rFonts w:ascii="Arial" w:cs="Arial" w:eastAsia="Arial" w:hAnsi="Arial"/>
          <w:sz w:val="12"/>
          <w:szCs w:val="12"/>
          <w:color w:val="auto"/>
        </w:rPr>
        <w:t>RSUs are granted by the Board of Directors. RSU grants to members of the Board of Directors and members of the Executive Management are subject to the Remuneration Policy adopted at the Annual General Meeting.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the table below for a summary of key terms of Genmab’s RSU programs: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4" w:name="page115"/>
    <w:bookmarkEnd w:id="11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0" w:type="dxa"/>
        <w:tblCellMar>
          <w:top w:w="0" w:type="dxa"/>
          <w:left w:w="0" w:type="dxa"/>
          <w:bottom w:w="0" w:type="dxa"/>
          <w:right w:w="0" w:type="dxa"/>
        </w:tblCellMar>
      </w:tblPr>
      <w:tr>
        <w:trPr>
          <w:trHeight w:val="172"/>
        </w:trPr>
        <w:tc>
          <w:tcPr>
            <w:tcW w:w="2640" w:type="dxa"/>
            <w:vAlign w:val="bottom"/>
            <w:tcBorders>
              <w:bottom w:val="single" w:sz="8" w:color="auto"/>
              <w:right w:val="single" w:sz="8" w:color="auto"/>
            </w:tcBorders>
          </w:tcPr>
          <w:p>
            <w:pPr>
              <w:spacing w:after="0"/>
              <w:rPr>
                <w:sz w:val="14"/>
                <w:szCs w:val="14"/>
                <w:color w:val="auto"/>
              </w:rPr>
            </w:pPr>
          </w:p>
        </w:tc>
        <w:tc>
          <w:tcPr>
            <w:tcW w:w="6320" w:type="dxa"/>
            <w:vAlign w:val="bottom"/>
            <w:tcBorders>
              <w:top w:val="single" w:sz="8" w:color="auto"/>
              <w:bottom w:val="single" w:sz="8" w:color="auto"/>
              <w:right w:val="single" w:sz="8" w:color="auto"/>
            </w:tcBorders>
            <w:gridSpan w:val="2"/>
            <w:shd w:val="clear" w:color="auto" w:fill="F2F2F2"/>
          </w:tcPr>
          <w:p>
            <w:pPr>
              <w:jc w:val="center"/>
              <w:spacing w:after="0"/>
              <w:rPr>
                <w:sz w:val="20"/>
                <w:szCs w:val="20"/>
                <w:color w:val="auto"/>
              </w:rPr>
            </w:pPr>
            <w:r>
              <w:rPr>
                <w:rFonts w:ascii="Arial" w:cs="Arial" w:eastAsia="Arial" w:hAnsi="Arial"/>
                <w:sz w:val="10"/>
                <w:szCs w:val="10"/>
                <w:b w:val="1"/>
                <w:bCs w:val="1"/>
                <w:color w:val="auto"/>
                <w:w w:val="95"/>
              </w:rPr>
              <w:t>RSUs Granted in Periods</w:t>
            </w:r>
          </w:p>
        </w:tc>
        <w:tc>
          <w:tcPr>
            <w:tcW w:w="0" w:type="dxa"/>
            <w:vAlign w:val="bottom"/>
          </w:tcPr>
          <w:p>
            <w:pPr>
              <w:spacing w:after="0"/>
              <w:rPr>
                <w:sz w:val="1"/>
                <w:szCs w:val="1"/>
                <w:color w:val="auto"/>
              </w:rPr>
            </w:pPr>
          </w:p>
        </w:tc>
      </w:tr>
      <w:tr>
        <w:trPr>
          <w:trHeight w:val="157"/>
        </w:trPr>
        <w:tc>
          <w:tcPr>
            <w:tcW w:w="2640" w:type="dxa"/>
            <w:vAlign w:val="bottom"/>
            <w:tcBorders>
              <w:left w:val="single" w:sz="8" w:color="auto"/>
              <w:bottom w:val="single" w:sz="8" w:color="F2F2F2"/>
              <w:right w:val="single" w:sz="8" w:color="auto"/>
            </w:tcBorders>
            <w:shd w:val="clear" w:color="auto" w:fill="F2F2F2"/>
          </w:tcPr>
          <w:p>
            <w:pPr>
              <w:ind w:left="1060"/>
              <w:spacing w:after="0"/>
              <w:rPr>
                <w:sz w:val="20"/>
                <w:szCs w:val="20"/>
                <w:color w:val="auto"/>
              </w:rPr>
            </w:pPr>
            <w:r>
              <w:rPr>
                <w:rFonts w:ascii="Arial" w:cs="Arial" w:eastAsia="Arial" w:hAnsi="Arial"/>
                <w:sz w:val="10"/>
                <w:szCs w:val="10"/>
                <w:b w:val="1"/>
                <w:bCs w:val="1"/>
                <w:color w:val="auto"/>
              </w:rPr>
              <w:t>Key Terms</w:t>
            </w:r>
          </w:p>
        </w:tc>
        <w:tc>
          <w:tcPr>
            <w:tcW w:w="3160" w:type="dxa"/>
            <w:vAlign w:val="bottom"/>
            <w:tcBorders>
              <w:bottom w:val="single" w:sz="8" w:color="F2F2F2"/>
              <w:right w:val="single" w:sz="8" w:color="auto"/>
            </w:tcBorders>
            <w:shd w:val="clear" w:color="auto" w:fill="F2F2F2"/>
          </w:tcPr>
          <w:p>
            <w:pPr>
              <w:ind w:left="840"/>
              <w:spacing w:after="0"/>
              <w:rPr>
                <w:sz w:val="20"/>
                <w:szCs w:val="20"/>
                <w:color w:val="auto"/>
              </w:rPr>
            </w:pPr>
            <w:r>
              <w:rPr>
                <w:rFonts w:ascii="Arial" w:cs="Arial" w:eastAsia="Arial" w:hAnsi="Arial"/>
                <w:sz w:val="10"/>
                <w:szCs w:val="10"/>
                <w:b w:val="1"/>
                <w:bCs w:val="1"/>
                <w:color w:val="auto"/>
              </w:rPr>
              <w:t>December 2019 - February 2021</w:t>
            </w:r>
          </w:p>
        </w:tc>
        <w:tc>
          <w:tcPr>
            <w:tcW w:w="3160" w:type="dxa"/>
            <w:vAlign w:val="bottom"/>
            <w:tcBorders>
              <w:bottom w:val="single" w:sz="8" w:color="F2F2F2"/>
              <w:right w:val="single" w:sz="8" w:color="auto"/>
            </w:tcBorders>
            <w:shd w:val="clear" w:color="auto" w:fill="F2F2F2"/>
          </w:tcPr>
          <w:p>
            <w:pPr>
              <w:ind w:left="1100"/>
              <w:spacing w:after="0"/>
              <w:rPr>
                <w:sz w:val="20"/>
                <w:szCs w:val="20"/>
                <w:color w:val="auto"/>
              </w:rPr>
            </w:pPr>
            <w:r>
              <w:rPr>
                <w:rFonts w:ascii="Arial" w:cs="Arial" w:eastAsia="Arial" w:hAnsi="Arial"/>
                <w:sz w:val="10"/>
                <w:szCs w:val="10"/>
                <w:b w:val="1"/>
                <w:bCs w:val="1"/>
                <w:color w:val="auto"/>
              </w:rPr>
              <w:t>From February 2021</w:t>
            </w:r>
          </w:p>
        </w:tc>
        <w:tc>
          <w:tcPr>
            <w:tcW w:w="0" w:type="dxa"/>
            <w:vAlign w:val="bottom"/>
          </w:tcPr>
          <w:p>
            <w:pPr>
              <w:spacing w:after="0"/>
              <w:rPr>
                <w:sz w:val="1"/>
                <w:szCs w:val="1"/>
                <w:color w:val="auto"/>
              </w:rPr>
            </w:pPr>
          </w:p>
        </w:tc>
      </w:tr>
      <w:tr>
        <w:trPr>
          <w:trHeight w:val="123"/>
        </w:trPr>
        <w:tc>
          <w:tcPr>
            <w:tcW w:w="26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rPr>
              <w:t>Grants</w:t>
            </w:r>
          </w:p>
        </w:tc>
        <w:tc>
          <w:tcPr>
            <w:tcW w:w="63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Granted at closing share price on the grant date.</w:t>
            </w:r>
          </w:p>
        </w:tc>
        <w:tc>
          <w:tcPr>
            <w:tcW w:w="0" w:type="dxa"/>
            <w:vAlign w:val="bottom"/>
          </w:tcPr>
          <w:p>
            <w:pPr>
              <w:spacing w:after="0"/>
              <w:rPr>
                <w:sz w:val="1"/>
                <w:szCs w:val="1"/>
                <w:color w:val="auto"/>
              </w:rPr>
            </w:pPr>
          </w:p>
        </w:tc>
      </w:tr>
      <w:tr>
        <w:trPr>
          <w:trHeight w:val="30"/>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63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rPr>
              <w:t>Vesting (Settlement)</w:t>
            </w:r>
          </w:p>
        </w:tc>
        <w:tc>
          <w:tcPr>
            <w:tcW w:w="632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Cliff vesting – RSUs become fully vested on the first banking day of the month following a period of 3 years from the grant date.</w:t>
            </w:r>
          </w:p>
        </w:tc>
        <w:tc>
          <w:tcPr>
            <w:tcW w:w="0" w:type="dxa"/>
            <w:vAlign w:val="bottom"/>
          </w:tcPr>
          <w:p>
            <w:pPr>
              <w:spacing w:after="0"/>
              <w:rPr>
                <w:sz w:val="1"/>
                <w:szCs w:val="1"/>
                <w:color w:val="auto"/>
              </w:rPr>
            </w:pPr>
          </w:p>
        </w:tc>
      </w:tr>
      <w:tr>
        <w:trPr>
          <w:trHeight w:val="232"/>
        </w:trPr>
        <w:tc>
          <w:tcPr>
            <w:tcW w:w="2640" w:type="dxa"/>
            <w:vAlign w:val="bottom"/>
            <w:tcBorders>
              <w:left w:val="single" w:sz="8" w:color="auto"/>
              <w:right w:val="single" w:sz="8" w:color="auto"/>
            </w:tcBorders>
          </w:tcPr>
          <w:p>
            <w:pPr>
              <w:spacing w:after="0"/>
              <w:rPr>
                <w:sz w:val="20"/>
                <w:szCs w:val="20"/>
                <w:color w:val="auto"/>
              </w:rPr>
            </w:pPr>
          </w:p>
        </w:tc>
        <w:tc>
          <w:tcPr>
            <w:tcW w:w="632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After RSUs vest, the holder receives one share in Genmab A/S for each RSU granted. In jurisdictions in which Genmab as an employer is</w:t>
            </w:r>
          </w:p>
        </w:tc>
        <w:tc>
          <w:tcPr>
            <w:tcW w:w="0" w:type="dxa"/>
            <w:vAlign w:val="bottom"/>
          </w:tcPr>
          <w:p>
            <w:pPr>
              <w:spacing w:after="0"/>
              <w:rPr>
                <w:sz w:val="1"/>
                <w:szCs w:val="1"/>
                <w:color w:val="auto"/>
              </w:rPr>
            </w:pPr>
          </w:p>
        </w:tc>
      </w:tr>
      <w:tr>
        <w:trPr>
          <w:trHeight w:val="119"/>
        </w:trPr>
        <w:tc>
          <w:tcPr>
            <w:tcW w:w="2640" w:type="dxa"/>
            <w:vAlign w:val="bottom"/>
            <w:tcBorders>
              <w:left w:val="single" w:sz="8" w:color="auto"/>
              <w:right w:val="single" w:sz="8" w:color="auto"/>
            </w:tcBorders>
          </w:tcPr>
          <w:p>
            <w:pPr>
              <w:spacing w:after="0"/>
              <w:rPr>
                <w:sz w:val="10"/>
                <w:szCs w:val="10"/>
                <w:color w:val="auto"/>
              </w:rPr>
            </w:pPr>
          </w:p>
        </w:tc>
        <w:tc>
          <w:tcPr>
            <w:tcW w:w="632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required to withhold tax and settle with the tax authority on behalf of the employee, Genmab withholds the number of RSUs that are equal to the</w:t>
            </w:r>
          </w:p>
        </w:tc>
        <w:tc>
          <w:tcPr>
            <w:tcW w:w="0" w:type="dxa"/>
            <w:vAlign w:val="bottom"/>
          </w:tcPr>
          <w:p>
            <w:pPr>
              <w:spacing w:after="0"/>
              <w:rPr>
                <w:sz w:val="1"/>
                <w:szCs w:val="1"/>
                <w:color w:val="auto"/>
              </w:rPr>
            </w:pPr>
          </w:p>
        </w:tc>
      </w:tr>
      <w:tr>
        <w:trPr>
          <w:trHeight w:val="125"/>
        </w:trPr>
        <w:tc>
          <w:tcPr>
            <w:tcW w:w="2640" w:type="dxa"/>
            <w:vAlign w:val="bottom"/>
            <w:tcBorders>
              <w:left w:val="single" w:sz="8" w:color="auto"/>
              <w:right w:val="single" w:sz="8" w:color="auto"/>
            </w:tcBorders>
          </w:tcPr>
          <w:p>
            <w:pPr>
              <w:spacing w:after="0"/>
              <w:rPr>
                <w:sz w:val="10"/>
                <w:szCs w:val="10"/>
                <w:color w:val="auto"/>
              </w:rPr>
            </w:pPr>
          </w:p>
        </w:tc>
        <w:tc>
          <w:tcPr>
            <w:tcW w:w="632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monetary value of the employee’s tax obligation from the total number of RSUs that otherwise would have been issued to the employee upon</w:t>
            </w:r>
          </w:p>
        </w:tc>
        <w:tc>
          <w:tcPr>
            <w:tcW w:w="0" w:type="dxa"/>
            <w:vAlign w:val="bottom"/>
          </w:tcPr>
          <w:p>
            <w:pPr>
              <w:spacing w:after="0"/>
              <w:rPr>
                <w:sz w:val="1"/>
                <w:szCs w:val="1"/>
                <w:color w:val="auto"/>
              </w:rPr>
            </w:pPr>
          </w:p>
        </w:tc>
      </w:tr>
      <w:tr>
        <w:trPr>
          <w:trHeight w:val="119"/>
        </w:trPr>
        <w:tc>
          <w:tcPr>
            <w:tcW w:w="2640" w:type="dxa"/>
            <w:vAlign w:val="bottom"/>
            <w:tcBorders>
              <w:left w:val="single" w:sz="8" w:color="auto"/>
              <w:right w:val="single" w:sz="8" w:color="auto"/>
            </w:tcBorders>
          </w:tcPr>
          <w:p>
            <w:pPr>
              <w:spacing w:after="0"/>
              <w:rPr>
                <w:sz w:val="10"/>
                <w:szCs w:val="10"/>
                <w:color w:val="auto"/>
              </w:rPr>
            </w:pPr>
          </w:p>
        </w:tc>
        <w:tc>
          <w:tcPr>
            <w:tcW w:w="6320" w:type="dxa"/>
            <w:vAlign w:val="bottom"/>
            <w:tcBorders>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vesting (“net settlement”). Genmab A/S may at its sole discretion in extraordinary circumstances choose to make a cash settlement instead of</w:t>
            </w:r>
          </w:p>
        </w:tc>
        <w:tc>
          <w:tcPr>
            <w:tcW w:w="0" w:type="dxa"/>
            <w:vAlign w:val="bottom"/>
          </w:tcPr>
          <w:p>
            <w:pPr>
              <w:spacing w:after="0"/>
              <w:rPr>
                <w:sz w:val="1"/>
                <w:szCs w:val="1"/>
                <w:color w:val="auto"/>
              </w:rPr>
            </w:pPr>
          </w:p>
        </w:tc>
      </w:tr>
      <w:tr>
        <w:trPr>
          <w:trHeight w:val="129"/>
        </w:trPr>
        <w:tc>
          <w:tcPr>
            <w:tcW w:w="2640" w:type="dxa"/>
            <w:vAlign w:val="bottom"/>
            <w:tcBorders>
              <w:left w:val="single" w:sz="8" w:color="auto"/>
              <w:bottom w:val="single" w:sz="8" w:color="auto"/>
              <w:right w:val="single" w:sz="8" w:color="auto"/>
            </w:tcBorders>
          </w:tcPr>
          <w:p>
            <w:pPr>
              <w:spacing w:after="0"/>
              <w:rPr>
                <w:sz w:val="11"/>
                <w:szCs w:val="11"/>
                <w:color w:val="auto"/>
              </w:rPr>
            </w:pPr>
          </w:p>
        </w:tc>
        <w:tc>
          <w:tcPr>
            <w:tcW w:w="6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0"/>
                <w:szCs w:val="10"/>
                <w:color w:val="auto"/>
                <w:w w:val="96"/>
              </w:rPr>
              <w:t>delivering shares.</w:t>
            </w:r>
          </w:p>
        </w:tc>
        <w:tc>
          <w:tcPr>
            <w:tcW w:w="0" w:type="dxa"/>
            <w:vAlign w:val="bottom"/>
          </w:tcPr>
          <w:p>
            <w:pPr>
              <w:spacing w:after="0"/>
              <w:rPr>
                <w:sz w:val="1"/>
                <w:szCs w:val="1"/>
                <w:color w:val="auto"/>
              </w:rPr>
            </w:pPr>
          </w:p>
        </w:tc>
      </w:tr>
      <w:tr>
        <w:trPr>
          <w:trHeight w:val="105"/>
        </w:trPr>
        <w:tc>
          <w:tcPr>
            <w:tcW w:w="2640" w:type="dxa"/>
            <w:vAlign w:val="bottom"/>
            <w:tcBorders>
              <w:left w:val="single" w:sz="8" w:color="auto"/>
              <w:right w:val="single" w:sz="8" w:color="auto"/>
            </w:tcBorders>
          </w:tcPr>
          <w:p>
            <w:pPr>
              <w:ind w:left="80"/>
              <w:spacing w:after="0" w:line="105" w:lineRule="exact"/>
              <w:rPr>
                <w:sz w:val="20"/>
                <w:szCs w:val="20"/>
                <w:color w:val="auto"/>
              </w:rPr>
            </w:pPr>
            <w:r>
              <w:rPr>
                <w:rFonts w:ascii="Arial" w:cs="Arial" w:eastAsia="Arial" w:hAnsi="Arial"/>
                <w:sz w:val="10"/>
                <w:szCs w:val="10"/>
                <w:b w:val="1"/>
                <w:bCs w:val="1"/>
                <w:color w:val="auto"/>
              </w:rPr>
              <w:t>Leaver</w:t>
            </w:r>
          </w:p>
        </w:tc>
        <w:tc>
          <w:tcPr>
            <w:tcW w:w="3160" w:type="dxa"/>
            <w:vAlign w:val="bottom"/>
            <w:tcBorders>
              <w:right w:val="single" w:sz="8" w:color="auto"/>
            </w:tcBorders>
          </w:tcPr>
          <w:p>
            <w:pPr>
              <w:ind w:left="40"/>
              <w:spacing w:after="0" w:line="105" w:lineRule="exact"/>
              <w:rPr>
                <w:sz w:val="20"/>
                <w:szCs w:val="20"/>
                <w:color w:val="auto"/>
              </w:rPr>
            </w:pPr>
            <w:r>
              <w:rPr>
                <w:rFonts w:ascii="Arial" w:cs="Arial" w:eastAsia="Arial" w:hAnsi="Arial"/>
                <w:sz w:val="10"/>
                <w:szCs w:val="10"/>
                <w:color w:val="auto"/>
              </w:rPr>
              <w:t>Leavers – Forfeit all unvested RSUs except when due to retirement,</w:t>
            </w:r>
          </w:p>
        </w:tc>
        <w:tc>
          <w:tcPr>
            <w:tcW w:w="3160" w:type="dxa"/>
            <w:vAlign w:val="bottom"/>
            <w:tcBorders>
              <w:right w:val="single" w:sz="8" w:color="auto"/>
            </w:tcBorders>
          </w:tcPr>
          <w:p>
            <w:pPr>
              <w:ind w:left="40"/>
              <w:spacing w:after="0" w:line="106" w:lineRule="exact"/>
              <w:rPr>
                <w:sz w:val="20"/>
                <w:szCs w:val="20"/>
                <w:color w:val="auto"/>
              </w:rPr>
            </w:pPr>
            <w:r>
              <w:rPr>
                <w:rFonts w:ascii="Arial" w:cs="Arial" w:eastAsia="Arial" w:hAnsi="Arial"/>
                <w:sz w:val="8"/>
                <w:szCs w:val="8"/>
                <w:color w:val="auto"/>
              </w:rPr>
              <w:t>Good-Leavers</w:t>
            </w:r>
            <w:r>
              <w:rPr>
                <w:rFonts w:ascii="Arial" w:cs="Arial" w:eastAsia="Arial" w:hAnsi="Arial"/>
                <w:sz w:val="12"/>
                <w:szCs w:val="12"/>
                <w:color w:val="auto"/>
                <w:vertAlign w:val="superscript"/>
              </w:rPr>
              <w:t>1</w:t>
            </w:r>
            <w:r>
              <w:rPr>
                <w:rFonts w:ascii="Arial" w:cs="Arial" w:eastAsia="Arial" w:hAnsi="Arial"/>
                <w:sz w:val="8"/>
                <w:szCs w:val="8"/>
                <w:color w:val="auto"/>
              </w:rPr>
              <w:t>- May maintain a pro-rata portion of unvested RSUs</w:t>
            </w:r>
          </w:p>
        </w:tc>
        <w:tc>
          <w:tcPr>
            <w:tcW w:w="0" w:type="dxa"/>
            <w:vAlign w:val="bottom"/>
          </w:tcPr>
          <w:p>
            <w:pPr>
              <w:spacing w:after="0"/>
              <w:rPr>
                <w:sz w:val="1"/>
                <w:szCs w:val="1"/>
                <w:color w:val="auto"/>
              </w:rPr>
            </w:pPr>
          </w:p>
        </w:tc>
      </w:tr>
      <w:tr>
        <w:trPr>
          <w:trHeight w:val="125"/>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w w:val="98"/>
              </w:rPr>
              <w:t>death, serious sickness or serious injury, in which case granted but not</w:t>
            </w:r>
          </w:p>
        </w:tc>
        <w:tc>
          <w:tcPr>
            <w:tcW w:w="3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0"/>
                <w:szCs w:val="10"/>
                <w:color w:val="auto"/>
              </w:rPr>
              <w:t>Bad-Leavers</w:t>
            </w:r>
            <w:r>
              <w:rPr>
                <w:rFonts w:ascii="Arial" w:cs="Arial" w:eastAsia="Arial" w:hAnsi="Arial"/>
                <w:sz w:val="14"/>
                <w:szCs w:val="14"/>
                <w:color w:val="auto"/>
                <w:vertAlign w:val="superscript"/>
              </w:rPr>
              <w:t>2</w:t>
            </w:r>
            <w:r>
              <w:rPr>
                <w:rFonts w:ascii="Arial" w:cs="Arial" w:eastAsia="Arial" w:hAnsi="Arial"/>
                <w:sz w:val="10"/>
                <w:szCs w:val="10"/>
                <w:color w:val="auto"/>
              </w:rPr>
              <w:t xml:space="preserve"> - Forfeit all unvested RSUs.</w:t>
            </w:r>
          </w:p>
        </w:tc>
        <w:tc>
          <w:tcPr>
            <w:tcW w:w="0" w:type="dxa"/>
            <w:vAlign w:val="bottom"/>
          </w:tcPr>
          <w:p>
            <w:pPr>
              <w:spacing w:after="0"/>
              <w:rPr>
                <w:sz w:val="1"/>
                <w:szCs w:val="1"/>
                <w:color w:val="auto"/>
              </w:rPr>
            </w:pPr>
          </w:p>
        </w:tc>
      </w:tr>
      <w:tr>
        <w:trPr>
          <w:trHeight w:val="119"/>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yet vested RSUs shall remain outstanding and will be settled in</w:t>
            </w:r>
          </w:p>
        </w:tc>
        <w:tc>
          <w:tcPr>
            <w:tcW w:w="3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accordance with their terms.</w:t>
            </w:r>
          </w:p>
        </w:tc>
        <w:tc>
          <w:tcPr>
            <w:tcW w:w="3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0"/>
                <w:szCs w:val="10"/>
                <w:color w:val="auto"/>
              </w:rPr>
              <w:t>Death - Forfeit all unvested RSUs.</w:t>
            </w:r>
          </w:p>
        </w:tc>
        <w:tc>
          <w:tcPr>
            <w:tcW w:w="0" w:type="dxa"/>
            <w:vAlign w:val="bottom"/>
          </w:tcPr>
          <w:p>
            <w:pPr>
              <w:spacing w:after="0"/>
              <w:rPr>
                <w:sz w:val="1"/>
                <w:szCs w:val="1"/>
                <w:color w:val="auto"/>
              </w:rPr>
            </w:pPr>
          </w:p>
        </w:tc>
      </w:tr>
      <w:tr>
        <w:trPr>
          <w:trHeight w:val="73"/>
        </w:trPr>
        <w:tc>
          <w:tcPr>
            <w:tcW w:w="2640" w:type="dxa"/>
            <w:vAlign w:val="bottom"/>
            <w:tcBorders>
              <w:left w:val="single" w:sz="8" w:color="auto"/>
              <w:right w:val="single" w:sz="8" w:color="auto"/>
            </w:tcBorders>
          </w:tcPr>
          <w:p>
            <w:pPr>
              <w:spacing w:after="0"/>
              <w:rPr>
                <w:sz w:val="6"/>
                <w:szCs w:val="6"/>
                <w:color w:val="auto"/>
              </w:rPr>
            </w:pPr>
          </w:p>
        </w:tc>
        <w:tc>
          <w:tcPr>
            <w:tcW w:w="3160" w:type="dxa"/>
            <w:vAlign w:val="bottom"/>
            <w:tcBorders>
              <w:right w:val="single" w:sz="8" w:color="auto"/>
            </w:tcBorders>
          </w:tcPr>
          <w:p>
            <w:pPr>
              <w:spacing w:after="0"/>
              <w:rPr>
                <w:sz w:val="6"/>
                <w:szCs w:val="6"/>
                <w:color w:val="auto"/>
              </w:rPr>
            </w:pPr>
          </w:p>
        </w:tc>
        <w:tc>
          <w:tcPr>
            <w:tcW w:w="3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tcPr>
          <w:p>
            <w:pPr>
              <w:spacing w:after="0"/>
              <w:rPr>
                <w:sz w:val="16"/>
                <w:szCs w:val="16"/>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Notwithstanding the above, the December 2020 RSU grant to</w:t>
            </w: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members of the Board of Directors was made subject to pro-rata</w:t>
            </w:r>
          </w:p>
        </w:tc>
        <w:tc>
          <w:tcPr>
            <w:tcW w:w="3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vesting upon termination of board services.</w:t>
            </w:r>
          </w:p>
        </w:tc>
        <w:tc>
          <w:tcPr>
            <w:tcW w:w="3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tcPr>
          <w:p>
            <w:pPr>
              <w:spacing w:after="0"/>
              <w:rPr>
                <w:sz w:val="20"/>
                <w:szCs w:val="2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Employees and Executive Management - RSUs remain outstanding</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and vest accordingly when the employment relationship is terminated</w:t>
            </w:r>
          </w:p>
        </w:tc>
        <w:tc>
          <w:tcPr>
            <w:tcW w:w="3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Borders>
              <w:left w:val="single" w:sz="8" w:color="auto"/>
              <w:right w:val="single" w:sz="8" w:color="auto"/>
            </w:tcBorders>
          </w:tcPr>
          <w:p>
            <w:pPr>
              <w:spacing w:after="0"/>
              <w:rPr>
                <w:sz w:val="10"/>
                <w:szCs w:val="10"/>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by Genmab without cause.</w:t>
            </w:r>
          </w:p>
        </w:tc>
        <w:tc>
          <w:tcPr>
            <w:tcW w:w="3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Borders>
              <w:left w:val="single" w:sz="8" w:color="auto"/>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31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right="99"/>
        <w:spacing w:after="0" w:line="248" w:lineRule="auto"/>
        <w:rPr>
          <w:sz w:val="20"/>
          <w:szCs w:val="20"/>
          <w:color w:val="auto"/>
        </w:rPr>
      </w:pPr>
      <w:r>
        <w:rPr>
          <w:rFonts w:ascii="Arial" w:cs="Arial" w:eastAsia="Arial" w:hAnsi="Arial"/>
          <w:sz w:val="10"/>
          <w:szCs w:val="10"/>
          <w:i w:val="1"/>
          <w:iCs w:val="1"/>
          <w:color w:val="auto"/>
        </w:rPr>
        <w:t>1 - “Good-Leaver” - Dismissal without cause or termination of employment due to the Genmab’s material breach of the RSU or Warrant holder’s employment terms, or if the participant is a member of the Board of Directors, if the membership of the Board of Directors ceases for any other reason than as a result of the participants death.</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0"/>
          <w:szCs w:val="10"/>
          <w:i w:val="1"/>
          <w:iCs w:val="1"/>
          <w:color w:val="auto"/>
        </w:rPr>
        <w:t>2 - “Bad-leaver” - Dismissed for cause or during the employment probationary period.</w:t>
      </w:r>
    </w:p>
    <w:p>
      <w:pPr>
        <w:spacing w:after="0" w:line="135" w:lineRule="exact"/>
        <w:rPr>
          <w:sz w:val="20"/>
          <w:szCs w:val="20"/>
          <w:color w:val="auto"/>
        </w:rPr>
      </w:pPr>
    </w:p>
    <w:p>
      <w:pPr>
        <w:ind w:left="20" w:right="399"/>
        <w:spacing w:after="0" w:line="271" w:lineRule="auto"/>
        <w:rPr>
          <w:sz w:val="20"/>
          <w:szCs w:val="20"/>
          <w:color w:val="auto"/>
        </w:rPr>
      </w:pPr>
      <w:r>
        <w:rPr>
          <w:rFonts w:ascii="Arial" w:cs="Arial" w:eastAsia="Arial" w:hAnsi="Arial"/>
          <w:sz w:val="11"/>
          <w:szCs w:val="11"/>
          <w:color w:val="auto"/>
        </w:rPr>
        <w:t>The RSU program contains anti-dilution provisions if changes occur in Genmab’s share capital prior to the vesting date and provisions to accelerate vesting of RSUs in the event of change of control as defined in the RSU program.</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5" w:name="page116"/>
    <w:bookmarkEnd w:id="11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RSU Activity in 2022, 2021 and 2020</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auto"/>
                <w:w w:val="96"/>
              </w:rPr>
              <w:t>Number of RSUs held</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09"/>
        </w:trPr>
        <w:tc>
          <w:tcPr>
            <w:tcW w:w="2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2"/>
          </w:tcPr>
          <w:p>
            <w:pPr>
              <w:jc w:val="center"/>
              <w:ind w:right="20"/>
              <w:spacing w:after="0" w:line="109" w:lineRule="exact"/>
              <w:rPr>
                <w:sz w:val="20"/>
                <w:szCs w:val="20"/>
                <w:color w:val="auto"/>
              </w:rPr>
            </w:pPr>
            <w:r>
              <w:rPr>
                <w:rFonts w:ascii="Arial" w:cs="Arial" w:eastAsia="Arial" w:hAnsi="Arial"/>
                <w:sz w:val="10"/>
                <w:szCs w:val="10"/>
                <w:color w:val="auto"/>
                <w:w w:val="96"/>
              </w:rPr>
              <w:t>by former members of</w:t>
            </w: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09"/>
        </w:trPr>
        <w:tc>
          <w:tcPr>
            <w:tcW w:w="2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2"/>
          </w:tcPr>
          <w:p>
            <w:pPr>
              <w:jc w:val="center"/>
              <w:ind w:right="20"/>
              <w:spacing w:after="0" w:line="109" w:lineRule="exact"/>
              <w:rPr>
                <w:sz w:val="20"/>
                <w:szCs w:val="20"/>
                <w:color w:val="auto"/>
              </w:rPr>
            </w:pPr>
            <w:r>
              <w:rPr>
                <w:rFonts w:ascii="Arial" w:cs="Arial" w:eastAsia="Arial" w:hAnsi="Arial"/>
                <w:sz w:val="10"/>
                <w:szCs w:val="10"/>
                <w:color w:val="auto"/>
                <w:w w:val="96"/>
              </w:rPr>
              <w:t>the Executive</w:t>
            </w: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09"/>
        </w:trPr>
        <w:tc>
          <w:tcPr>
            <w:tcW w:w="2960" w:type="dxa"/>
            <w:vAlign w:val="bottom"/>
          </w:tcPr>
          <w:p>
            <w:pPr>
              <w:spacing w:after="0"/>
              <w:rPr>
                <w:sz w:val="9"/>
                <w:szCs w:val="9"/>
                <w:color w:val="auto"/>
              </w:rPr>
            </w:pPr>
          </w:p>
        </w:tc>
        <w:tc>
          <w:tcPr>
            <w:tcW w:w="1020" w:type="dxa"/>
            <w:vAlign w:val="bottom"/>
            <w:gridSpan w:val="2"/>
          </w:tcPr>
          <w:p>
            <w:pPr>
              <w:jc w:val="center"/>
              <w:ind w:right="40"/>
              <w:spacing w:after="0" w:line="109" w:lineRule="exact"/>
              <w:rPr>
                <w:sz w:val="20"/>
                <w:szCs w:val="20"/>
                <w:color w:val="auto"/>
              </w:rPr>
            </w:pPr>
            <w:r>
              <w:rPr>
                <w:rFonts w:ascii="Arial" w:cs="Arial" w:eastAsia="Arial" w:hAnsi="Arial"/>
                <w:sz w:val="10"/>
                <w:szCs w:val="10"/>
                <w:color w:val="auto"/>
                <w:w w:val="96"/>
              </w:rPr>
              <w:t>Number of RSUs held</w:t>
            </w:r>
          </w:p>
        </w:tc>
        <w:tc>
          <w:tcPr>
            <w:tcW w:w="1020" w:type="dxa"/>
            <w:vAlign w:val="bottom"/>
            <w:gridSpan w:val="2"/>
          </w:tcPr>
          <w:p>
            <w:pPr>
              <w:jc w:val="center"/>
              <w:ind w:right="40"/>
              <w:spacing w:after="0" w:line="109" w:lineRule="exact"/>
              <w:rPr>
                <w:sz w:val="20"/>
                <w:szCs w:val="20"/>
                <w:color w:val="auto"/>
              </w:rPr>
            </w:pPr>
            <w:r>
              <w:rPr>
                <w:rFonts w:ascii="Arial" w:cs="Arial" w:eastAsia="Arial" w:hAnsi="Arial"/>
                <w:sz w:val="10"/>
                <w:szCs w:val="10"/>
                <w:color w:val="auto"/>
                <w:w w:val="96"/>
              </w:rPr>
              <w:t>Number of RSUs held</w:t>
            </w: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2"/>
          </w:tcPr>
          <w:p>
            <w:pPr>
              <w:jc w:val="center"/>
              <w:ind w:right="20"/>
              <w:spacing w:after="0" w:line="109" w:lineRule="exact"/>
              <w:rPr>
                <w:sz w:val="20"/>
                <w:szCs w:val="20"/>
                <w:color w:val="auto"/>
              </w:rPr>
            </w:pPr>
            <w:r>
              <w:rPr>
                <w:rFonts w:ascii="Arial" w:cs="Arial" w:eastAsia="Arial" w:hAnsi="Arial"/>
                <w:sz w:val="10"/>
                <w:szCs w:val="10"/>
                <w:color w:val="auto"/>
                <w:w w:val="96"/>
              </w:rPr>
              <w:t>Management, Board of</w:t>
            </w: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color w:val="auto"/>
                <w:w w:val="97"/>
              </w:rPr>
              <w:t>Weighted Average</w:t>
            </w:r>
          </w:p>
        </w:tc>
      </w:tr>
      <w:tr>
        <w:trPr>
          <w:trHeight w:val="109"/>
        </w:trPr>
        <w:tc>
          <w:tcPr>
            <w:tcW w:w="2960" w:type="dxa"/>
            <w:vAlign w:val="bottom"/>
          </w:tcPr>
          <w:p>
            <w:pPr>
              <w:spacing w:after="0"/>
              <w:rPr>
                <w:sz w:val="9"/>
                <w:szCs w:val="9"/>
                <w:color w:val="auto"/>
              </w:rPr>
            </w:pPr>
          </w:p>
        </w:tc>
        <w:tc>
          <w:tcPr>
            <w:tcW w:w="1020" w:type="dxa"/>
            <w:vAlign w:val="bottom"/>
            <w:gridSpan w:val="2"/>
          </w:tcPr>
          <w:p>
            <w:pPr>
              <w:jc w:val="center"/>
              <w:ind w:right="40"/>
              <w:spacing w:after="0" w:line="109" w:lineRule="exact"/>
              <w:rPr>
                <w:sz w:val="20"/>
                <w:szCs w:val="20"/>
                <w:color w:val="auto"/>
              </w:rPr>
            </w:pPr>
            <w:r>
              <w:rPr>
                <w:rFonts w:ascii="Arial" w:cs="Arial" w:eastAsia="Arial" w:hAnsi="Arial"/>
                <w:sz w:val="10"/>
                <w:szCs w:val="10"/>
                <w:color w:val="auto"/>
                <w:w w:val="97"/>
              </w:rPr>
              <w:t>by the Board of</w:t>
            </w:r>
          </w:p>
        </w:tc>
        <w:tc>
          <w:tcPr>
            <w:tcW w:w="1020" w:type="dxa"/>
            <w:vAlign w:val="bottom"/>
            <w:gridSpan w:val="2"/>
          </w:tcPr>
          <w:p>
            <w:pPr>
              <w:jc w:val="center"/>
              <w:ind w:right="40"/>
              <w:spacing w:after="0" w:line="109" w:lineRule="exact"/>
              <w:rPr>
                <w:sz w:val="20"/>
                <w:szCs w:val="20"/>
                <w:color w:val="auto"/>
              </w:rPr>
            </w:pPr>
            <w:r>
              <w:rPr>
                <w:rFonts w:ascii="Arial" w:cs="Arial" w:eastAsia="Arial" w:hAnsi="Arial"/>
                <w:sz w:val="10"/>
                <w:szCs w:val="10"/>
                <w:color w:val="auto"/>
                <w:w w:val="95"/>
              </w:rPr>
              <w:t>by the Executive</w:t>
            </w:r>
          </w:p>
        </w:tc>
        <w:tc>
          <w:tcPr>
            <w:tcW w:w="1020" w:type="dxa"/>
            <w:vAlign w:val="bottom"/>
            <w:gridSpan w:val="2"/>
          </w:tcPr>
          <w:p>
            <w:pPr>
              <w:jc w:val="center"/>
              <w:ind w:right="20"/>
              <w:spacing w:after="0" w:line="109" w:lineRule="exact"/>
              <w:rPr>
                <w:sz w:val="20"/>
                <w:szCs w:val="20"/>
                <w:color w:val="auto"/>
              </w:rPr>
            </w:pPr>
            <w:r>
              <w:rPr>
                <w:rFonts w:ascii="Arial" w:cs="Arial" w:eastAsia="Arial" w:hAnsi="Arial"/>
                <w:sz w:val="10"/>
                <w:szCs w:val="10"/>
                <w:color w:val="auto"/>
                <w:w w:val="94"/>
              </w:rPr>
              <w:t>Number of RSUs held</w:t>
            </w:r>
          </w:p>
        </w:tc>
        <w:tc>
          <w:tcPr>
            <w:tcW w:w="1040" w:type="dxa"/>
            <w:vAlign w:val="bottom"/>
            <w:gridSpan w:val="2"/>
          </w:tcPr>
          <w:p>
            <w:pPr>
              <w:jc w:val="center"/>
              <w:ind w:right="20"/>
              <w:spacing w:after="0" w:line="109" w:lineRule="exact"/>
              <w:rPr>
                <w:sz w:val="20"/>
                <w:szCs w:val="20"/>
                <w:color w:val="auto"/>
              </w:rPr>
            </w:pPr>
            <w:r>
              <w:rPr>
                <w:rFonts w:ascii="Arial" w:cs="Arial" w:eastAsia="Arial" w:hAnsi="Arial"/>
                <w:sz w:val="10"/>
                <w:szCs w:val="10"/>
                <w:color w:val="auto"/>
                <w:w w:val="97"/>
              </w:rPr>
              <w:t>Directors and</w:t>
            </w: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color w:val="auto"/>
                <w:w w:val="94"/>
              </w:rPr>
              <w:t>Fair Value - RSUs</w:t>
            </w:r>
          </w:p>
        </w:tc>
      </w:tr>
      <w:tr>
        <w:trPr>
          <w:trHeight w:val="114"/>
        </w:trPr>
        <w:tc>
          <w:tcPr>
            <w:tcW w:w="2960" w:type="dxa"/>
            <w:vAlign w:val="bottom"/>
          </w:tcPr>
          <w:p>
            <w:pPr>
              <w:spacing w:after="0"/>
              <w:rPr>
                <w:sz w:val="9"/>
                <w:szCs w:val="9"/>
                <w:color w:val="auto"/>
              </w:rPr>
            </w:pPr>
          </w:p>
        </w:tc>
        <w:tc>
          <w:tcPr>
            <w:tcW w:w="1020" w:type="dxa"/>
            <w:vAlign w:val="bottom"/>
            <w:gridSpan w:val="2"/>
          </w:tcPr>
          <w:p>
            <w:pPr>
              <w:jc w:val="center"/>
              <w:ind w:right="40"/>
              <w:spacing w:after="0" w:line="114" w:lineRule="exact"/>
              <w:rPr>
                <w:sz w:val="20"/>
                <w:szCs w:val="20"/>
                <w:color w:val="auto"/>
              </w:rPr>
            </w:pPr>
            <w:r>
              <w:rPr>
                <w:rFonts w:ascii="Arial" w:cs="Arial" w:eastAsia="Arial" w:hAnsi="Arial"/>
                <w:sz w:val="10"/>
                <w:szCs w:val="10"/>
                <w:color w:val="auto"/>
                <w:w w:val="94"/>
              </w:rPr>
              <w:t>Directors</w:t>
            </w:r>
          </w:p>
        </w:tc>
        <w:tc>
          <w:tcPr>
            <w:tcW w:w="1020" w:type="dxa"/>
            <w:vAlign w:val="bottom"/>
            <w:gridSpan w:val="2"/>
          </w:tcPr>
          <w:p>
            <w:pPr>
              <w:jc w:val="center"/>
              <w:ind w:right="20"/>
              <w:spacing w:after="0" w:line="114" w:lineRule="exact"/>
              <w:rPr>
                <w:sz w:val="20"/>
                <w:szCs w:val="20"/>
                <w:color w:val="auto"/>
              </w:rPr>
            </w:pPr>
            <w:r>
              <w:rPr>
                <w:rFonts w:ascii="Arial" w:cs="Arial" w:eastAsia="Arial" w:hAnsi="Arial"/>
                <w:sz w:val="10"/>
                <w:szCs w:val="10"/>
                <w:color w:val="auto"/>
                <w:w w:val="95"/>
              </w:rPr>
              <w:t>Management</w:t>
            </w:r>
          </w:p>
        </w:tc>
        <w:tc>
          <w:tcPr>
            <w:tcW w:w="1020" w:type="dxa"/>
            <w:vAlign w:val="bottom"/>
            <w:gridSpan w:val="2"/>
          </w:tcPr>
          <w:p>
            <w:pPr>
              <w:jc w:val="center"/>
              <w:ind w:right="20"/>
              <w:spacing w:after="0" w:line="114" w:lineRule="exact"/>
              <w:rPr>
                <w:sz w:val="20"/>
                <w:szCs w:val="20"/>
                <w:color w:val="auto"/>
              </w:rPr>
            </w:pPr>
            <w:r>
              <w:rPr>
                <w:rFonts w:ascii="Arial" w:cs="Arial" w:eastAsia="Arial" w:hAnsi="Arial"/>
                <w:sz w:val="10"/>
                <w:szCs w:val="10"/>
                <w:color w:val="auto"/>
                <w:w w:val="97"/>
              </w:rPr>
              <w:t>by employees</w:t>
            </w:r>
          </w:p>
        </w:tc>
        <w:tc>
          <w:tcPr>
            <w:tcW w:w="1040" w:type="dxa"/>
            <w:vAlign w:val="bottom"/>
            <w:gridSpan w:val="2"/>
          </w:tcPr>
          <w:p>
            <w:pPr>
              <w:jc w:val="center"/>
              <w:ind w:right="20"/>
              <w:spacing w:after="0" w:line="114" w:lineRule="exact"/>
              <w:rPr>
                <w:sz w:val="20"/>
                <w:szCs w:val="20"/>
                <w:color w:val="auto"/>
              </w:rPr>
            </w:pPr>
            <w:r>
              <w:rPr>
                <w:rFonts w:ascii="Arial" w:cs="Arial" w:eastAsia="Arial" w:hAnsi="Arial"/>
                <w:sz w:val="10"/>
                <w:szCs w:val="10"/>
                <w:color w:val="auto"/>
                <w:w w:val="95"/>
              </w:rPr>
              <w:t>employees</w:t>
            </w:r>
          </w:p>
        </w:tc>
        <w:tc>
          <w:tcPr>
            <w:tcW w:w="1020" w:type="dxa"/>
            <w:vAlign w:val="bottom"/>
            <w:gridSpan w:val="2"/>
          </w:tcPr>
          <w:p>
            <w:pPr>
              <w:jc w:val="right"/>
              <w:ind w:right="300"/>
              <w:spacing w:after="0" w:line="114" w:lineRule="exact"/>
              <w:rPr>
                <w:sz w:val="20"/>
                <w:szCs w:val="20"/>
                <w:color w:val="auto"/>
              </w:rPr>
            </w:pPr>
            <w:r>
              <w:rPr>
                <w:rFonts w:ascii="Arial" w:cs="Arial" w:eastAsia="Arial" w:hAnsi="Arial"/>
                <w:sz w:val="10"/>
                <w:szCs w:val="10"/>
                <w:color w:val="auto"/>
              </w:rPr>
              <w:t>Total RSUs</w:t>
            </w:r>
          </w:p>
        </w:tc>
        <w:tc>
          <w:tcPr>
            <w:tcW w:w="880" w:type="dxa"/>
            <w:vAlign w:val="bottom"/>
          </w:tcPr>
          <w:p>
            <w:pPr>
              <w:jc w:val="center"/>
              <w:spacing w:after="0" w:line="114" w:lineRule="exact"/>
              <w:rPr>
                <w:sz w:val="20"/>
                <w:szCs w:val="20"/>
                <w:color w:val="auto"/>
              </w:rPr>
            </w:pPr>
            <w:r>
              <w:rPr>
                <w:rFonts w:ascii="Arial" w:cs="Arial" w:eastAsia="Arial" w:hAnsi="Arial"/>
                <w:sz w:val="10"/>
                <w:szCs w:val="10"/>
                <w:color w:val="auto"/>
                <w:w w:val="97"/>
              </w:rPr>
              <w:t>Granted - DKK</w:t>
            </w:r>
          </w:p>
        </w:tc>
      </w:tr>
      <w:tr>
        <w:trPr>
          <w:trHeight w:val="120"/>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January 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19,953</w:t>
            </w:r>
          </w:p>
        </w:tc>
        <w:tc>
          <w:tcPr>
            <w:tcW w:w="40" w:type="dxa"/>
            <w:vAlign w:val="bottom"/>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72,865</w:t>
            </w:r>
          </w:p>
        </w:tc>
        <w:tc>
          <w:tcPr>
            <w:tcW w:w="40" w:type="dxa"/>
            <w:vAlign w:val="bottom"/>
          </w:tcPr>
          <w:p>
            <w:pPr>
              <w:spacing w:after="0"/>
              <w:rPr>
                <w:sz w:val="10"/>
                <w:szCs w:val="1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208,859</w:t>
            </w:r>
          </w:p>
        </w:tc>
        <w:tc>
          <w:tcPr>
            <w:tcW w:w="20" w:type="dxa"/>
            <w:vAlign w:val="bottom"/>
          </w:tcPr>
          <w:p>
            <w:pPr>
              <w:spacing w:after="0"/>
              <w:rPr>
                <w:sz w:val="10"/>
                <w:szCs w:val="1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6,230</w:t>
            </w:r>
          </w:p>
        </w:tc>
        <w:tc>
          <w:tcPr>
            <w:tcW w:w="40" w:type="dxa"/>
            <w:vAlign w:val="bottom"/>
          </w:tcPr>
          <w:p>
            <w:pPr>
              <w:spacing w:after="0"/>
              <w:rPr>
                <w:sz w:val="10"/>
                <w:szCs w:val="1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307,907</w:t>
            </w: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25"/>
        </w:trPr>
        <w:tc>
          <w:tcPr>
            <w:tcW w:w="2960" w:type="dxa"/>
            <w:vAlign w:val="bottom"/>
          </w:tcPr>
          <w:p>
            <w:pPr>
              <w:spacing w:after="0"/>
              <w:rPr>
                <w:sz w:val="20"/>
                <w:szCs w:val="20"/>
                <w:color w:val="auto"/>
              </w:rPr>
            </w:pPr>
            <w:r>
              <w:rPr>
                <w:rFonts w:ascii="Arial" w:cs="Arial" w:eastAsia="Arial" w:hAnsi="Arial"/>
                <w:sz w:val="10"/>
                <w:szCs w:val="10"/>
                <w:color w:val="auto"/>
              </w:rPr>
              <w:t>Granted*</w:t>
            </w:r>
          </w:p>
        </w:tc>
        <w:tc>
          <w:tcPr>
            <w:tcW w:w="980" w:type="dxa"/>
            <w:vAlign w:val="bottom"/>
          </w:tcPr>
          <w:p>
            <w:pPr>
              <w:jc w:val="right"/>
              <w:spacing w:after="0"/>
              <w:rPr>
                <w:sz w:val="20"/>
                <w:szCs w:val="20"/>
                <w:color w:val="auto"/>
              </w:rPr>
            </w:pPr>
            <w:r>
              <w:rPr>
                <w:rFonts w:ascii="Arial" w:cs="Arial" w:eastAsia="Arial" w:hAnsi="Arial"/>
                <w:sz w:val="10"/>
                <w:szCs w:val="10"/>
                <w:color w:val="auto"/>
              </w:rPr>
              <w:t>2,929</w:t>
            </w:r>
          </w:p>
        </w:tc>
        <w:tc>
          <w:tcPr>
            <w:tcW w:w="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9,032</w:t>
            </w:r>
          </w:p>
        </w:tc>
        <w:tc>
          <w:tcPr>
            <w:tcW w:w="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34,431</w:t>
            </w:r>
          </w:p>
        </w:tc>
        <w:tc>
          <w:tcPr>
            <w:tcW w:w="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130</w:t>
            </w:r>
          </w:p>
        </w:tc>
        <w:tc>
          <w:tcPr>
            <w:tcW w:w="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46,522</w:t>
            </w:r>
          </w:p>
        </w:tc>
        <w:tc>
          <w:tcPr>
            <w:tcW w:w="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1,927.83</w:t>
            </w:r>
          </w:p>
        </w:tc>
      </w:tr>
      <w:tr>
        <w:trPr>
          <w:trHeight w:val="136"/>
        </w:trPr>
        <w:tc>
          <w:tcPr>
            <w:tcW w:w="2960" w:type="dxa"/>
            <w:vAlign w:val="bottom"/>
          </w:tcPr>
          <w:p>
            <w:pPr>
              <w:spacing w:after="0"/>
              <w:rPr>
                <w:sz w:val="20"/>
                <w:szCs w:val="20"/>
                <w:color w:val="auto"/>
              </w:rPr>
            </w:pPr>
            <w:r>
              <w:rPr>
                <w:rFonts w:ascii="Arial" w:cs="Arial" w:eastAsia="Arial" w:hAnsi="Arial"/>
                <w:sz w:val="10"/>
                <w:szCs w:val="10"/>
                <w:color w:val="auto"/>
              </w:rPr>
              <w:t>Settled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(6,470)</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(12,253)</w:t>
            </w: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(22,196)</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(5,936)</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(46,855)</w:t>
            </w:r>
          </w:p>
        </w:tc>
        <w:tc>
          <w:tcPr>
            <w:tcW w:w="880" w:type="dxa"/>
            <w:vAlign w:val="bottom"/>
          </w:tcPr>
          <w:p>
            <w:pPr>
              <w:spacing w:after="0"/>
              <w:rPr>
                <w:sz w:val="11"/>
                <w:szCs w:val="11"/>
                <w:color w:val="auto"/>
              </w:rPr>
            </w:pPr>
          </w:p>
        </w:tc>
      </w:tr>
      <w:tr>
        <w:trPr>
          <w:trHeight w:val="136"/>
        </w:trPr>
        <w:tc>
          <w:tcPr>
            <w:tcW w:w="2960" w:type="dxa"/>
            <w:vAlign w:val="bottom"/>
          </w:tcPr>
          <w:p>
            <w:pPr>
              <w:spacing w:after="0"/>
              <w:rPr>
                <w:sz w:val="20"/>
                <w:szCs w:val="20"/>
                <w:color w:val="auto"/>
              </w:rPr>
            </w:pPr>
            <w:r>
              <w:rPr>
                <w:rFonts w:ascii="Arial" w:cs="Arial" w:eastAsia="Arial" w:hAnsi="Arial"/>
                <w:sz w:val="10"/>
                <w:szCs w:val="10"/>
                <w:color w:val="auto"/>
              </w:rPr>
              <w:t>Transferred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(2,822)</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(2,334)</w:t>
            </w: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(22,762)</w:t>
            </w:r>
          </w:p>
        </w:tc>
        <w:tc>
          <w:tcPr>
            <w:tcW w:w="1000" w:type="dxa"/>
            <w:vAlign w:val="bottom"/>
          </w:tcPr>
          <w:p>
            <w:pPr>
              <w:jc w:val="right"/>
              <w:spacing w:after="0"/>
              <w:rPr>
                <w:sz w:val="20"/>
                <w:szCs w:val="20"/>
                <w:color w:val="auto"/>
              </w:rPr>
            </w:pPr>
            <w:r>
              <w:rPr>
                <w:rFonts w:ascii="Arial" w:cs="Arial" w:eastAsia="Arial" w:hAnsi="Arial"/>
                <w:sz w:val="10"/>
                <w:szCs w:val="10"/>
                <w:color w:val="auto"/>
              </w:rPr>
              <w:t>27,918</w:t>
            </w:r>
          </w:p>
        </w:tc>
        <w:tc>
          <w:tcPr>
            <w:tcW w:w="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4"/>
        </w:trPr>
        <w:tc>
          <w:tcPr>
            <w:tcW w:w="2960" w:type="dxa"/>
            <w:vAlign w:val="bottom"/>
          </w:tcPr>
          <w:p>
            <w:pPr>
              <w:spacing w:after="0"/>
              <w:rPr>
                <w:sz w:val="20"/>
                <w:szCs w:val="20"/>
                <w:color w:val="auto"/>
              </w:rPr>
            </w:pPr>
            <w:r>
              <w:rPr>
                <w:rFonts w:ascii="Arial" w:cs="Arial" w:eastAsia="Arial" w:hAnsi="Arial"/>
                <w:sz w:val="10"/>
                <w:szCs w:val="10"/>
                <w:color w:val="auto"/>
              </w:rPr>
              <w:t>Cancelled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(1,025)</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(1,128)</w:t>
            </w: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(958)</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(10,535)</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(13,646)</w:t>
            </w:r>
          </w:p>
        </w:tc>
        <w:tc>
          <w:tcPr>
            <w:tcW w:w="880" w:type="dxa"/>
            <w:vAlign w:val="bottom"/>
          </w:tcPr>
          <w:p>
            <w:pPr>
              <w:spacing w:after="0"/>
              <w:rPr>
                <w:sz w:val="10"/>
                <w:szCs w:val="10"/>
                <w:color w:val="auto"/>
              </w:rPr>
            </w:pPr>
          </w:p>
        </w:tc>
      </w:tr>
      <w:tr>
        <w:trPr>
          <w:trHeight w:val="252"/>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December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12,565</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66,182</w:t>
            </w:r>
          </w:p>
        </w:tc>
        <w:tc>
          <w:tcPr>
            <w:tcW w:w="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197,374</w:t>
            </w: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17,807</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293,928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7"/>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January 1, 2021</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12,565</w:t>
            </w: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66,182</w:t>
            </w: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197,374</w:t>
            </w: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17,807</w:t>
            </w: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293,928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25"/>
        </w:trPr>
        <w:tc>
          <w:tcPr>
            <w:tcW w:w="2960" w:type="dxa"/>
            <w:vAlign w:val="bottom"/>
          </w:tcPr>
          <w:p>
            <w:pPr>
              <w:spacing w:after="0"/>
              <w:rPr>
                <w:sz w:val="20"/>
                <w:szCs w:val="20"/>
                <w:color w:val="auto"/>
              </w:rPr>
            </w:pPr>
            <w:r>
              <w:rPr>
                <w:rFonts w:ascii="Arial" w:cs="Arial" w:eastAsia="Arial" w:hAnsi="Arial"/>
                <w:sz w:val="10"/>
                <w:szCs w:val="10"/>
                <w:color w:val="auto"/>
              </w:rPr>
              <w:t>Granted*</w:t>
            </w:r>
          </w:p>
        </w:tc>
        <w:tc>
          <w:tcPr>
            <w:tcW w:w="980" w:type="dxa"/>
            <w:vAlign w:val="bottom"/>
          </w:tcPr>
          <w:p>
            <w:pPr>
              <w:jc w:val="right"/>
              <w:spacing w:after="0"/>
              <w:rPr>
                <w:sz w:val="20"/>
                <w:szCs w:val="20"/>
                <w:color w:val="auto"/>
              </w:rPr>
            </w:pPr>
            <w:r>
              <w:rPr>
                <w:rFonts w:ascii="Arial" w:cs="Arial" w:eastAsia="Arial" w:hAnsi="Arial"/>
                <w:sz w:val="10"/>
                <w:szCs w:val="10"/>
                <w:color w:val="auto"/>
              </w:rPr>
              <w:t>3,297</w:t>
            </w:r>
          </w:p>
        </w:tc>
        <w:tc>
          <w:tcPr>
            <w:tcW w:w="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31,417</w:t>
            </w:r>
          </w:p>
        </w:tc>
        <w:tc>
          <w:tcPr>
            <w:tcW w:w="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146,684</w:t>
            </w:r>
          </w:p>
        </w:tc>
        <w:tc>
          <w:tcPr>
            <w:tcW w:w="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4,817</w:t>
            </w:r>
          </w:p>
        </w:tc>
        <w:tc>
          <w:tcPr>
            <w:tcW w:w="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186,215</w:t>
            </w:r>
          </w:p>
        </w:tc>
        <w:tc>
          <w:tcPr>
            <w:tcW w:w="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2,236.44</w:t>
            </w:r>
          </w:p>
        </w:tc>
      </w:tr>
      <w:tr>
        <w:trPr>
          <w:trHeight w:val="136"/>
        </w:trPr>
        <w:tc>
          <w:tcPr>
            <w:tcW w:w="2960" w:type="dxa"/>
            <w:vAlign w:val="bottom"/>
          </w:tcPr>
          <w:p>
            <w:pPr>
              <w:spacing w:after="0"/>
              <w:rPr>
                <w:sz w:val="20"/>
                <w:szCs w:val="20"/>
                <w:color w:val="auto"/>
              </w:rPr>
            </w:pPr>
            <w:r>
              <w:rPr>
                <w:rFonts w:ascii="Arial" w:cs="Arial" w:eastAsia="Arial" w:hAnsi="Arial"/>
                <w:sz w:val="10"/>
                <w:szCs w:val="10"/>
                <w:color w:val="auto"/>
              </w:rPr>
              <w:t>Settled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(3,556)</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(14,089)</w:t>
            </w: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(35,962)</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(9,967)</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(63,574)</w:t>
            </w:r>
          </w:p>
        </w:tc>
        <w:tc>
          <w:tcPr>
            <w:tcW w:w="880" w:type="dxa"/>
            <w:vAlign w:val="bottom"/>
          </w:tcPr>
          <w:p>
            <w:pPr>
              <w:spacing w:after="0"/>
              <w:rPr>
                <w:sz w:val="11"/>
                <w:szCs w:val="11"/>
                <w:color w:val="auto"/>
              </w:rPr>
            </w:pPr>
          </w:p>
        </w:tc>
      </w:tr>
      <w:tr>
        <w:trPr>
          <w:trHeight w:val="136"/>
        </w:trPr>
        <w:tc>
          <w:tcPr>
            <w:tcW w:w="2960" w:type="dxa"/>
            <w:vAlign w:val="bottom"/>
          </w:tcPr>
          <w:p>
            <w:pPr>
              <w:spacing w:after="0"/>
              <w:rPr>
                <w:sz w:val="20"/>
                <w:szCs w:val="20"/>
                <w:color w:val="auto"/>
              </w:rPr>
            </w:pPr>
            <w:r>
              <w:rPr>
                <w:rFonts w:ascii="Arial" w:cs="Arial" w:eastAsia="Arial" w:hAnsi="Arial"/>
                <w:sz w:val="10"/>
                <w:szCs w:val="10"/>
                <w:color w:val="auto"/>
              </w:rPr>
              <w:t>Transferred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(688)</w:t>
            </w:r>
          </w:p>
        </w:tc>
        <w:tc>
          <w:tcPr>
            <w:tcW w:w="980" w:type="dxa"/>
            <w:vAlign w:val="bottom"/>
          </w:tcPr>
          <w:p>
            <w:pPr>
              <w:jc w:val="right"/>
              <w:spacing w:after="0"/>
              <w:rPr>
                <w:sz w:val="20"/>
                <w:szCs w:val="20"/>
                <w:color w:val="auto"/>
              </w:rPr>
            </w:pPr>
            <w:r>
              <w:rPr>
                <w:rFonts w:ascii="Arial" w:cs="Arial" w:eastAsia="Arial" w:hAnsi="Arial"/>
                <w:sz w:val="10"/>
                <w:szCs w:val="10"/>
                <w:color w:val="auto"/>
              </w:rPr>
              <w:t>5,533</w:t>
            </w:r>
          </w:p>
        </w:tc>
        <w:tc>
          <w:tcPr>
            <w:tcW w:w="4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(14,810)</w:t>
            </w:r>
          </w:p>
        </w:tc>
        <w:tc>
          <w:tcPr>
            <w:tcW w:w="1000" w:type="dxa"/>
            <w:vAlign w:val="bottom"/>
          </w:tcPr>
          <w:p>
            <w:pPr>
              <w:jc w:val="right"/>
              <w:spacing w:after="0"/>
              <w:rPr>
                <w:sz w:val="20"/>
                <w:szCs w:val="20"/>
                <w:color w:val="auto"/>
              </w:rPr>
            </w:pPr>
            <w:r>
              <w:rPr>
                <w:rFonts w:ascii="Arial" w:cs="Arial" w:eastAsia="Arial" w:hAnsi="Arial"/>
                <w:sz w:val="10"/>
                <w:szCs w:val="10"/>
                <w:color w:val="auto"/>
              </w:rPr>
              <w:t>9,965</w:t>
            </w:r>
          </w:p>
        </w:tc>
        <w:tc>
          <w:tcPr>
            <w:tcW w:w="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4"/>
        </w:trPr>
        <w:tc>
          <w:tcPr>
            <w:tcW w:w="2960" w:type="dxa"/>
            <w:vAlign w:val="bottom"/>
          </w:tcPr>
          <w:p>
            <w:pPr>
              <w:spacing w:after="0"/>
              <w:rPr>
                <w:sz w:val="20"/>
                <w:szCs w:val="20"/>
                <w:color w:val="auto"/>
              </w:rPr>
            </w:pPr>
            <w:r>
              <w:rPr>
                <w:rFonts w:ascii="Arial" w:cs="Arial" w:eastAsia="Arial" w:hAnsi="Arial"/>
                <w:sz w:val="10"/>
                <w:szCs w:val="10"/>
                <w:color w:val="auto"/>
              </w:rPr>
              <w:t>Cancelled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(653)</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(255)</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(9,670)</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(10,578)</w:t>
            </w:r>
          </w:p>
        </w:tc>
        <w:tc>
          <w:tcPr>
            <w:tcW w:w="880" w:type="dxa"/>
            <w:vAlign w:val="bottom"/>
          </w:tcPr>
          <w:p>
            <w:pPr>
              <w:spacing w:after="0"/>
              <w:rPr>
                <w:sz w:val="10"/>
                <w:szCs w:val="10"/>
                <w:color w:val="auto"/>
              </w:rPr>
            </w:pPr>
          </w:p>
        </w:tc>
      </w:tr>
      <w:tr>
        <w:trPr>
          <w:trHeight w:val="252"/>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December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10,965</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89,043</w:t>
            </w:r>
          </w:p>
        </w:tc>
        <w:tc>
          <w:tcPr>
            <w:tcW w:w="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293,031</w:t>
            </w: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12,952</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405,991</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2"/>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January 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10,965</w:t>
            </w:r>
          </w:p>
        </w:tc>
        <w:tc>
          <w:tcPr>
            <w:tcW w:w="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89,043</w:t>
            </w:r>
          </w:p>
        </w:tc>
        <w:tc>
          <w:tcPr>
            <w:tcW w:w="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293,031</w:t>
            </w: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12,952</w:t>
            </w:r>
          </w:p>
        </w:tc>
        <w:tc>
          <w:tcPr>
            <w:tcW w:w="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405,991</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15"/>
        </w:trPr>
        <w:tc>
          <w:tcPr>
            <w:tcW w:w="2960" w:type="dxa"/>
            <w:vAlign w:val="bottom"/>
          </w:tcPr>
          <w:p>
            <w:pPr>
              <w:spacing w:after="0" w:line="110" w:lineRule="exact"/>
              <w:rPr>
                <w:sz w:val="20"/>
                <w:szCs w:val="20"/>
                <w:color w:val="auto"/>
              </w:rPr>
            </w:pPr>
            <w:r>
              <w:rPr>
                <w:rFonts w:ascii="Arial" w:cs="Arial" w:eastAsia="Arial" w:hAnsi="Arial"/>
                <w:sz w:val="10"/>
                <w:szCs w:val="10"/>
                <w:color w:val="auto"/>
              </w:rPr>
              <w:t>Granted*</w:t>
            </w:r>
          </w:p>
        </w:tc>
        <w:tc>
          <w:tcPr>
            <w:tcW w:w="980" w:type="dxa"/>
            <w:vAlign w:val="bottom"/>
          </w:tcPr>
          <w:p>
            <w:pPr>
              <w:jc w:val="right"/>
              <w:spacing w:after="0"/>
              <w:rPr>
                <w:sz w:val="20"/>
                <w:szCs w:val="20"/>
                <w:color w:val="auto"/>
              </w:rPr>
            </w:pPr>
            <w:r>
              <w:rPr>
                <w:rFonts w:ascii="Arial" w:cs="Arial" w:eastAsia="Arial" w:hAnsi="Arial"/>
                <w:sz w:val="10"/>
                <w:szCs w:val="10"/>
                <w:color w:val="auto"/>
              </w:rPr>
              <w:t>4,295</w:t>
            </w:r>
          </w:p>
        </w:tc>
        <w:tc>
          <w:tcPr>
            <w:tcW w:w="4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40,453</w:t>
            </w:r>
          </w:p>
        </w:tc>
        <w:tc>
          <w:tcPr>
            <w:tcW w:w="4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221,000</w:t>
            </w:r>
          </w:p>
        </w:tc>
        <w:tc>
          <w:tcPr>
            <w:tcW w:w="2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6,383</w:t>
            </w:r>
          </w:p>
        </w:tc>
        <w:tc>
          <w:tcPr>
            <w:tcW w:w="4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272,131</w:t>
            </w:r>
          </w:p>
        </w:tc>
        <w:tc>
          <w:tcPr>
            <w:tcW w:w="4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Arial" w:cs="Arial" w:eastAsia="Arial" w:hAnsi="Arial"/>
                <w:sz w:val="10"/>
                <w:szCs w:val="10"/>
                <w:color w:val="auto"/>
              </w:rPr>
              <w:t>2,250.18</w:t>
            </w:r>
          </w:p>
        </w:tc>
      </w:tr>
      <w:tr>
        <w:trPr>
          <w:trHeight w:val="131"/>
        </w:trPr>
        <w:tc>
          <w:tcPr>
            <w:tcW w:w="2960" w:type="dxa"/>
            <w:vAlign w:val="bottom"/>
          </w:tcPr>
          <w:p>
            <w:pPr>
              <w:spacing w:after="0"/>
              <w:rPr>
                <w:sz w:val="20"/>
                <w:szCs w:val="20"/>
                <w:color w:val="auto"/>
              </w:rPr>
            </w:pPr>
            <w:r>
              <w:rPr>
                <w:rFonts w:ascii="Arial" w:cs="Arial" w:eastAsia="Arial" w:hAnsi="Arial"/>
                <w:sz w:val="10"/>
                <w:szCs w:val="10"/>
                <w:color w:val="auto"/>
              </w:rPr>
              <w:t>Settled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(3,420)</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(17,165)</w:t>
            </w: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(67,945)</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(12,847)</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(101,377)</w:t>
            </w:r>
          </w:p>
        </w:tc>
        <w:tc>
          <w:tcPr>
            <w:tcW w:w="880" w:type="dxa"/>
            <w:vAlign w:val="bottom"/>
          </w:tcPr>
          <w:p>
            <w:pPr>
              <w:spacing w:after="0"/>
              <w:rPr>
                <w:sz w:val="11"/>
                <w:szCs w:val="11"/>
                <w:color w:val="auto"/>
              </w:rPr>
            </w:pPr>
          </w:p>
        </w:tc>
      </w:tr>
      <w:tr>
        <w:trPr>
          <w:trHeight w:val="136"/>
        </w:trPr>
        <w:tc>
          <w:tcPr>
            <w:tcW w:w="2960" w:type="dxa"/>
            <w:vAlign w:val="bottom"/>
          </w:tcPr>
          <w:p>
            <w:pPr>
              <w:spacing w:after="0"/>
              <w:rPr>
                <w:sz w:val="20"/>
                <w:szCs w:val="20"/>
                <w:color w:val="auto"/>
              </w:rPr>
            </w:pPr>
            <w:r>
              <w:rPr>
                <w:rFonts w:ascii="Arial" w:cs="Arial" w:eastAsia="Arial" w:hAnsi="Arial"/>
                <w:sz w:val="10"/>
                <w:szCs w:val="10"/>
                <w:color w:val="auto"/>
              </w:rPr>
              <w:t>Transferred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(2,368)</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(13,749)</w:t>
            </w:r>
          </w:p>
        </w:tc>
        <w:tc>
          <w:tcPr>
            <w:tcW w:w="1000" w:type="dxa"/>
            <w:vAlign w:val="bottom"/>
          </w:tcPr>
          <w:p>
            <w:pPr>
              <w:jc w:val="right"/>
              <w:spacing w:after="0"/>
              <w:rPr>
                <w:sz w:val="20"/>
                <w:szCs w:val="20"/>
                <w:color w:val="auto"/>
              </w:rPr>
            </w:pPr>
            <w:r>
              <w:rPr>
                <w:rFonts w:ascii="Arial" w:cs="Arial" w:eastAsia="Arial" w:hAnsi="Arial"/>
                <w:sz w:val="10"/>
                <w:szCs w:val="10"/>
                <w:color w:val="auto"/>
              </w:rPr>
              <w:t>16,117</w:t>
            </w:r>
          </w:p>
        </w:tc>
        <w:tc>
          <w:tcPr>
            <w:tcW w:w="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4"/>
        </w:trPr>
        <w:tc>
          <w:tcPr>
            <w:tcW w:w="2960" w:type="dxa"/>
            <w:vAlign w:val="bottom"/>
          </w:tcPr>
          <w:p>
            <w:pPr>
              <w:spacing w:after="0"/>
              <w:rPr>
                <w:sz w:val="20"/>
                <w:szCs w:val="20"/>
                <w:color w:val="auto"/>
              </w:rPr>
            </w:pPr>
            <w:r>
              <w:rPr>
                <w:rFonts w:ascii="Arial" w:cs="Arial" w:eastAsia="Arial" w:hAnsi="Arial"/>
                <w:sz w:val="10"/>
                <w:szCs w:val="10"/>
                <w:color w:val="auto"/>
              </w:rPr>
              <w:t>Cancelled</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(653)</w:t>
            </w: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0"/>
                <w:szCs w:val="10"/>
                <w:color w:val="auto"/>
              </w:rPr>
              <w:t>(9,195)</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(18,759)</w:t>
            </w: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(28,607)</w:t>
            </w:r>
          </w:p>
        </w:tc>
        <w:tc>
          <w:tcPr>
            <w:tcW w:w="880" w:type="dxa"/>
            <w:vAlign w:val="bottom"/>
          </w:tcPr>
          <w:p>
            <w:pPr>
              <w:spacing w:after="0"/>
              <w:rPr>
                <w:sz w:val="10"/>
                <w:szCs w:val="10"/>
                <w:color w:val="auto"/>
              </w:rPr>
            </w:pPr>
          </w:p>
        </w:tc>
      </w:tr>
      <w:tr>
        <w:trPr>
          <w:trHeight w:val="252"/>
        </w:trPr>
        <w:tc>
          <w:tcPr>
            <w:tcW w:w="2960" w:type="dxa"/>
            <w:vAlign w:val="bottom"/>
          </w:tcPr>
          <w:p>
            <w:pPr>
              <w:spacing w:after="0"/>
              <w:rPr>
                <w:sz w:val="20"/>
                <w:szCs w:val="20"/>
                <w:color w:val="auto"/>
              </w:rPr>
            </w:pPr>
            <w:r>
              <w:rPr>
                <w:rFonts w:ascii="Arial" w:cs="Arial" w:eastAsia="Arial" w:hAnsi="Arial"/>
                <w:sz w:val="10"/>
                <w:szCs w:val="10"/>
                <w:b w:val="1"/>
                <w:bCs w:val="1"/>
                <w:color w:val="auto"/>
              </w:rPr>
              <w:t>Outstanding at 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8,819</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112,331</w:t>
            </w:r>
          </w:p>
        </w:tc>
        <w:tc>
          <w:tcPr>
            <w:tcW w:w="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423,142</w:t>
            </w: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3,846</w:t>
            </w:r>
          </w:p>
        </w:tc>
        <w:tc>
          <w:tcPr>
            <w:tcW w:w="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548,138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68" w:lineRule="exact"/>
        <w:rPr>
          <w:sz w:val="20"/>
          <w:szCs w:val="20"/>
          <w:color w:val="auto"/>
        </w:rPr>
      </w:pPr>
    </w:p>
    <w:p>
      <w:pPr>
        <w:ind w:left="20" w:right="1079" w:firstLine="2"/>
        <w:spacing w:after="0" w:line="488" w:lineRule="auto"/>
        <w:tabs>
          <w:tab w:leader="none" w:pos="134" w:val="left"/>
        </w:tabs>
        <w:numPr>
          <w:ilvl w:val="0"/>
          <w:numId w:val="88"/>
        </w:numPr>
        <w:rPr>
          <w:rFonts w:ascii="Arial" w:cs="Arial" w:eastAsia="Arial" w:hAnsi="Arial"/>
          <w:sz w:val="12"/>
          <w:szCs w:val="12"/>
          <w:color w:val="auto"/>
        </w:rPr>
      </w:pPr>
      <w:r>
        <w:rPr>
          <w:rFonts w:ascii="Arial" w:cs="Arial" w:eastAsia="Arial" w:hAnsi="Arial"/>
          <w:sz w:val="12"/>
          <w:szCs w:val="12"/>
          <w:color w:val="auto"/>
        </w:rPr>
        <w:t xml:space="preserve">RSUs held by the Board of Directors include RSUs granted to employee-elected Board Members as employees of Genmab A/S or its subsidiaries. </w:t>
      </w:r>
      <w:r>
        <w:rPr>
          <w:rFonts w:ascii="Arial" w:cs="Arial" w:eastAsia="Arial" w:hAnsi="Arial"/>
          <w:sz w:val="12"/>
          <w:szCs w:val="12"/>
          <w:color w:val="029C93"/>
        </w:rPr>
        <w:t>Refer to Note 5.1 for additional information regarding compensation of Executive Management and the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Warrant Program</w:t>
      </w:r>
    </w:p>
    <w:p>
      <w:pPr>
        <w:spacing w:after="0" w:line="143" w:lineRule="exact"/>
        <w:rPr>
          <w:sz w:val="20"/>
          <w:szCs w:val="20"/>
          <w:color w:val="auto"/>
        </w:rPr>
      </w:pPr>
    </w:p>
    <w:p>
      <w:pPr>
        <w:ind w:left="20" w:right="519"/>
        <w:spacing w:after="0" w:line="273" w:lineRule="auto"/>
        <w:rPr>
          <w:sz w:val="20"/>
          <w:szCs w:val="20"/>
          <w:color w:val="auto"/>
        </w:rPr>
      </w:pPr>
      <w:r>
        <w:rPr>
          <w:rFonts w:ascii="Arial" w:cs="Arial" w:eastAsia="Arial" w:hAnsi="Arial"/>
          <w:sz w:val="12"/>
          <w:szCs w:val="12"/>
          <w:color w:val="auto"/>
        </w:rPr>
        <w:t>Genmab A/S has established a warrant program (equity-settled share-based payment transactions) as an incentive for all the Genmab Group’s employees and members of the Executive Management.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Warrants are granted by the Board of Directors in accordance with authorizations given to it by Genmab A/S’ shareholders.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Warrant grants to Executive Management are subject to Genmab’s Remuneration Policy adopted at the Annual General Meeting.</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6" w:name="page117"/>
    <w:bookmarkEnd w:id="11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the table below for a summary of key terms of Genmab’s warrant programs:</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63"/>
        </w:trPr>
        <w:tc>
          <w:tcPr>
            <w:tcW w:w="1120" w:type="dxa"/>
            <w:vAlign w:val="bottom"/>
            <w:tcBorders>
              <w:bottom w:val="single" w:sz="8" w:color="auto"/>
              <w:right w:val="single" w:sz="8" w:color="auto"/>
            </w:tcBorders>
          </w:tcPr>
          <w:p>
            <w:pPr>
              <w:spacing w:after="0"/>
              <w:rPr>
                <w:sz w:val="14"/>
                <w:szCs w:val="14"/>
                <w:color w:val="auto"/>
              </w:rPr>
            </w:pPr>
          </w:p>
        </w:tc>
        <w:tc>
          <w:tcPr>
            <w:tcW w:w="3800" w:type="dxa"/>
            <w:vAlign w:val="bottom"/>
            <w:tcBorders>
              <w:top w:val="single" w:sz="8" w:color="auto"/>
              <w:bottom w:val="single" w:sz="8" w:color="auto"/>
            </w:tcBorders>
            <w:shd w:val="clear" w:color="auto" w:fill="F2F2F2"/>
          </w:tcPr>
          <w:p>
            <w:pPr>
              <w:spacing w:after="0"/>
              <w:rPr>
                <w:sz w:val="14"/>
                <w:szCs w:val="14"/>
                <w:color w:val="auto"/>
              </w:rPr>
            </w:pPr>
          </w:p>
        </w:tc>
        <w:tc>
          <w:tcPr>
            <w:tcW w:w="4660" w:type="dxa"/>
            <w:vAlign w:val="bottom"/>
            <w:tcBorders>
              <w:top w:val="single" w:sz="8" w:color="auto"/>
              <w:bottom w:val="single" w:sz="8" w:color="auto"/>
            </w:tcBorders>
            <w:gridSpan w:val="3"/>
            <w:shd w:val="clear" w:color="auto" w:fill="F2F2F2"/>
          </w:tcPr>
          <w:p>
            <w:pPr>
              <w:jc w:val="center"/>
              <w:ind w:right="2800"/>
              <w:spacing w:after="0"/>
              <w:rPr>
                <w:sz w:val="20"/>
                <w:szCs w:val="20"/>
                <w:color w:val="auto"/>
              </w:rPr>
            </w:pPr>
            <w:r>
              <w:rPr>
                <w:rFonts w:ascii="Arial" w:cs="Arial" w:eastAsia="Arial" w:hAnsi="Arial"/>
                <w:sz w:val="10"/>
                <w:szCs w:val="10"/>
                <w:b w:val="1"/>
                <w:bCs w:val="1"/>
                <w:color w:val="auto"/>
                <w:w w:val="95"/>
              </w:rPr>
              <w:t>Warrants Granted in Periods</w:t>
            </w:r>
          </w:p>
        </w:tc>
        <w:tc>
          <w:tcPr>
            <w:tcW w:w="620" w:type="dxa"/>
            <w:vAlign w:val="bottom"/>
            <w:tcBorders>
              <w:top w:val="single" w:sz="8" w:color="auto"/>
              <w:bottom w:val="single" w:sz="8" w:color="auto"/>
            </w:tcBorders>
            <w:shd w:val="clear" w:color="auto" w:fill="F2F2F2"/>
          </w:tcPr>
          <w:p>
            <w:pPr>
              <w:spacing w:after="0"/>
              <w:rPr>
                <w:sz w:val="14"/>
                <w:szCs w:val="14"/>
                <w:color w:val="auto"/>
              </w:rPr>
            </w:pPr>
          </w:p>
        </w:tc>
      </w:tr>
      <w:tr>
        <w:trPr>
          <w:trHeight w:val="148"/>
        </w:trPr>
        <w:tc>
          <w:tcPr>
            <w:tcW w:w="1120" w:type="dxa"/>
            <w:vAlign w:val="bottom"/>
            <w:tcBorders>
              <w:left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0"/>
                <w:szCs w:val="10"/>
                <w:b w:val="1"/>
                <w:bCs w:val="1"/>
                <w:color w:val="auto"/>
              </w:rPr>
              <w:t>Key Terms</w:t>
            </w:r>
          </w:p>
        </w:tc>
        <w:tc>
          <w:tcPr>
            <w:tcW w:w="3800" w:type="dxa"/>
            <w:vAlign w:val="bottom"/>
            <w:tcBorders>
              <w:bottom w:val="single" w:sz="8" w:color="F2F2F2"/>
            </w:tcBorders>
            <w:shd w:val="clear" w:color="auto" w:fill="F2F2F2"/>
          </w:tcPr>
          <w:p>
            <w:pPr>
              <w:jc w:val="center"/>
              <w:ind w:left="1352"/>
              <w:spacing w:after="0"/>
              <w:rPr>
                <w:sz w:val="20"/>
                <w:szCs w:val="20"/>
                <w:color w:val="auto"/>
              </w:rPr>
            </w:pPr>
            <w:r>
              <w:rPr>
                <w:rFonts w:ascii="Arial" w:cs="Arial" w:eastAsia="Arial" w:hAnsi="Arial"/>
                <w:sz w:val="10"/>
                <w:szCs w:val="10"/>
                <w:b w:val="1"/>
                <w:bCs w:val="1"/>
                <w:color w:val="auto"/>
                <w:w w:val="97"/>
              </w:rPr>
              <w:t>April 2012 - March 2017</w:t>
            </w:r>
          </w:p>
        </w:tc>
        <w:tc>
          <w:tcPr>
            <w:tcW w:w="1420" w:type="dxa"/>
            <w:vAlign w:val="bottom"/>
            <w:tcBorders>
              <w:bottom w:val="single" w:sz="8" w:color="F2F2F2"/>
              <w:right w:val="single" w:sz="8" w:color="auto"/>
            </w:tcBorders>
            <w:shd w:val="clear" w:color="auto" w:fill="F2F2F2"/>
          </w:tcPr>
          <w:p>
            <w:pPr>
              <w:spacing w:after="0"/>
              <w:rPr>
                <w:sz w:val="12"/>
                <w:szCs w:val="12"/>
                <w:color w:val="auto"/>
              </w:rPr>
            </w:pPr>
          </w:p>
        </w:tc>
        <w:tc>
          <w:tcPr>
            <w:tcW w:w="3200" w:type="dxa"/>
            <w:vAlign w:val="bottom"/>
            <w:tcBorders>
              <w:bottom w:val="single" w:sz="8" w:color="F2F2F2"/>
              <w:right w:val="single" w:sz="8" w:color="auto"/>
            </w:tcBorders>
            <w:shd w:val="clear" w:color="auto" w:fill="F2F2F2"/>
          </w:tcPr>
          <w:p>
            <w:pPr>
              <w:ind w:left="960"/>
              <w:spacing w:after="0"/>
              <w:rPr>
                <w:sz w:val="20"/>
                <w:szCs w:val="20"/>
                <w:color w:val="auto"/>
              </w:rPr>
            </w:pPr>
            <w:r>
              <w:rPr>
                <w:rFonts w:ascii="Arial" w:cs="Arial" w:eastAsia="Arial" w:hAnsi="Arial"/>
                <w:sz w:val="10"/>
                <w:szCs w:val="10"/>
                <w:b w:val="1"/>
                <w:bCs w:val="1"/>
                <w:color w:val="auto"/>
              </w:rPr>
              <w:t>March 2017 - February 2021</w:t>
            </w:r>
          </w:p>
        </w:tc>
        <w:tc>
          <w:tcPr>
            <w:tcW w:w="40" w:type="dxa"/>
            <w:vAlign w:val="bottom"/>
            <w:tcBorders>
              <w:bottom w:val="single" w:sz="8" w:color="F2F2F2"/>
            </w:tcBorders>
            <w:shd w:val="clear" w:color="auto" w:fill="F2F2F2"/>
          </w:tcPr>
          <w:p>
            <w:pPr>
              <w:spacing w:after="0"/>
              <w:rPr>
                <w:sz w:val="12"/>
                <w:szCs w:val="12"/>
                <w:color w:val="auto"/>
              </w:rPr>
            </w:pPr>
          </w:p>
        </w:tc>
        <w:tc>
          <w:tcPr>
            <w:tcW w:w="6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0"/>
                <w:szCs w:val="10"/>
                <w:b w:val="1"/>
                <w:bCs w:val="1"/>
                <w:color w:val="auto"/>
                <w:w w:val="94"/>
              </w:rPr>
              <w:t>From Februa</w:t>
            </w:r>
          </w:p>
        </w:tc>
      </w:tr>
      <w:tr>
        <w:trPr>
          <w:trHeight w:val="123"/>
        </w:trPr>
        <w:tc>
          <w:tcPr>
            <w:tcW w:w="11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rPr>
              <w:t>Grants</w:t>
            </w:r>
          </w:p>
        </w:tc>
        <w:tc>
          <w:tcPr>
            <w:tcW w:w="8420" w:type="dxa"/>
            <w:vAlign w:val="bottom"/>
            <w:tcBorders>
              <w:top w:val="single" w:sz="8" w:color="auto"/>
            </w:tcBorders>
            <w:gridSpan w:val="3"/>
          </w:tcPr>
          <w:p>
            <w:pPr>
              <w:jc w:val="center"/>
              <w:ind w:left="1012"/>
              <w:spacing w:after="0"/>
              <w:rPr>
                <w:sz w:val="20"/>
                <w:szCs w:val="20"/>
                <w:color w:val="auto"/>
              </w:rPr>
            </w:pPr>
            <w:r>
              <w:rPr>
                <w:rFonts w:ascii="Arial" w:cs="Arial" w:eastAsia="Arial" w:hAnsi="Arial"/>
                <w:sz w:val="10"/>
                <w:szCs w:val="10"/>
                <w:color w:val="auto"/>
                <w:w w:val="96"/>
              </w:rPr>
              <w:t>Granted at an exercise price equal to the closing share price on the grant date.</w:t>
            </w: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23"/>
        </w:trPr>
        <w:tc>
          <w:tcPr>
            <w:tcW w:w="1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w w:val="98"/>
              </w:rPr>
              <w:t>Vesting (Exercisable)</w:t>
            </w:r>
          </w:p>
        </w:tc>
        <w:tc>
          <w:tcPr>
            <w:tcW w:w="3800" w:type="dxa"/>
            <w:vAlign w:val="bottom"/>
          </w:tcPr>
          <w:p>
            <w:pPr>
              <w:jc w:val="center"/>
              <w:ind w:left="1352"/>
              <w:spacing w:after="0"/>
              <w:rPr>
                <w:sz w:val="20"/>
                <w:szCs w:val="20"/>
                <w:color w:val="auto"/>
              </w:rPr>
            </w:pPr>
            <w:r>
              <w:rPr>
                <w:rFonts w:ascii="Arial" w:cs="Arial" w:eastAsia="Arial" w:hAnsi="Arial"/>
                <w:sz w:val="10"/>
                <w:szCs w:val="10"/>
                <w:color w:val="auto"/>
                <w:w w:val="96"/>
              </w:rPr>
              <w:t>Annually over 4-year period (25% per year)</w:t>
            </w:r>
          </w:p>
        </w:tc>
        <w:tc>
          <w:tcPr>
            <w:tcW w:w="1420" w:type="dxa"/>
            <w:vAlign w:val="bottom"/>
            <w:tcBorders>
              <w:right w:val="single" w:sz="8" w:color="auto"/>
            </w:tcBorders>
          </w:tcPr>
          <w:p>
            <w:pPr>
              <w:spacing w:after="0"/>
              <w:rPr>
                <w:sz w:val="10"/>
                <w:szCs w:val="10"/>
                <w:color w:val="auto"/>
              </w:rPr>
            </w:pPr>
          </w:p>
        </w:tc>
        <w:tc>
          <w:tcPr>
            <w:tcW w:w="3240" w:type="dxa"/>
            <w:vAlign w:val="bottom"/>
            <w:gridSpan w:val="2"/>
          </w:tcPr>
          <w:p>
            <w:pPr>
              <w:ind w:left="1020"/>
              <w:spacing w:after="0"/>
              <w:rPr>
                <w:sz w:val="20"/>
                <w:szCs w:val="20"/>
                <w:color w:val="auto"/>
              </w:rPr>
            </w:pPr>
            <w:r>
              <w:rPr>
                <w:rFonts w:ascii="Arial" w:cs="Arial" w:eastAsia="Arial" w:hAnsi="Arial"/>
                <w:sz w:val="10"/>
                <w:szCs w:val="10"/>
                <w:color w:val="auto"/>
                <w:w w:val="96"/>
              </w:rPr>
              <w:t>Cliff vesting over 3-year period (100% after 3 years)</w:t>
            </w:r>
          </w:p>
        </w:tc>
        <w:tc>
          <w:tcPr>
            <w:tcW w:w="620" w:type="dxa"/>
            <w:vAlign w:val="bottom"/>
          </w:tcPr>
          <w:p>
            <w:pPr>
              <w:spacing w:after="0"/>
              <w:rPr>
                <w:sz w:val="10"/>
                <w:szCs w:val="10"/>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20" w:type="dxa"/>
            <w:vAlign w:val="bottom"/>
            <w:tcBorders>
              <w:bottom w:val="single" w:sz="8" w:color="auto"/>
              <w:right w:val="single" w:sz="8" w:color="auto"/>
            </w:tcBorders>
            <w:gridSpan w:val="2"/>
          </w:tcPr>
          <w:p>
            <w:pPr>
              <w:spacing w:after="0" w:line="20" w:lineRule="exact"/>
              <w:rPr>
                <w:sz w:val="1"/>
                <w:szCs w:val="1"/>
                <w:color w:val="auto"/>
              </w:rPr>
            </w:pPr>
          </w:p>
        </w:tc>
        <w:tc>
          <w:tcPr>
            <w:tcW w:w="32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02"/>
        </w:trPr>
        <w:tc>
          <w:tcPr>
            <w:tcW w:w="1120" w:type="dxa"/>
            <w:vAlign w:val="bottom"/>
            <w:tcBorders>
              <w:left w:val="single" w:sz="8" w:color="auto"/>
              <w:right w:val="single" w:sz="8" w:color="auto"/>
            </w:tcBorders>
          </w:tcPr>
          <w:p>
            <w:pPr>
              <w:ind w:left="80"/>
              <w:spacing w:after="0" w:line="103" w:lineRule="exact"/>
              <w:rPr>
                <w:sz w:val="20"/>
                <w:szCs w:val="20"/>
                <w:color w:val="auto"/>
              </w:rPr>
            </w:pPr>
            <w:r>
              <w:rPr>
                <w:rFonts w:ascii="Arial" w:cs="Arial" w:eastAsia="Arial" w:hAnsi="Arial"/>
                <w:sz w:val="10"/>
                <w:szCs w:val="10"/>
                <w:b w:val="1"/>
                <w:bCs w:val="1"/>
                <w:color w:val="auto"/>
              </w:rPr>
              <w:t>Leaver</w:t>
            </w:r>
          </w:p>
        </w:tc>
        <w:tc>
          <w:tcPr>
            <w:tcW w:w="8420" w:type="dxa"/>
            <w:vAlign w:val="bottom"/>
            <w:tcBorders>
              <w:right w:val="single" w:sz="8" w:color="auto"/>
            </w:tcBorders>
            <w:gridSpan w:val="3"/>
          </w:tcPr>
          <w:p>
            <w:pPr>
              <w:ind w:left="60"/>
              <w:spacing w:after="0" w:line="103" w:lineRule="exact"/>
              <w:rPr>
                <w:sz w:val="20"/>
                <w:szCs w:val="20"/>
                <w:color w:val="auto"/>
              </w:rPr>
            </w:pPr>
            <w:r>
              <w:rPr>
                <w:rFonts w:ascii="Arial" w:cs="Arial" w:eastAsia="Arial" w:hAnsi="Arial"/>
                <w:sz w:val="10"/>
                <w:szCs w:val="10"/>
                <w:color w:val="auto"/>
                <w:w w:val="96"/>
              </w:rPr>
              <w:t>Leavers - Forfeit all unvested warrants; however, may be able to exercise warrants on a regular schedule in instances where the employment relationship is terminated by Genmab without cause.</w:t>
            </w:r>
          </w:p>
        </w:tc>
        <w:tc>
          <w:tcPr>
            <w:tcW w:w="40" w:type="dxa"/>
            <w:vAlign w:val="bottom"/>
          </w:tcPr>
          <w:p>
            <w:pPr>
              <w:spacing w:after="0"/>
              <w:rPr>
                <w:sz w:val="8"/>
                <w:szCs w:val="8"/>
                <w:color w:val="auto"/>
              </w:rPr>
            </w:pPr>
          </w:p>
        </w:tc>
        <w:tc>
          <w:tcPr>
            <w:tcW w:w="620" w:type="dxa"/>
            <w:vAlign w:val="bottom"/>
          </w:tcPr>
          <w:p>
            <w:pPr>
              <w:ind w:left="20"/>
              <w:spacing w:after="0" w:line="103" w:lineRule="exact"/>
              <w:rPr>
                <w:sz w:val="20"/>
                <w:szCs w:val="20"/>
                <w:color w:val="auto"/>
              </w:rPr>
            </w:pPr>
            <w:r>
              <w:rPr>
                <w:rFonts w:ascii="Arial" w:cs="Arial" w:eastAsia="Arial" w:hAnsi="Arial"/>
                <w:sz w:val="10"/>
                <w:szCs w:val="10"/>
                <w:color w:val="auto"/>
                <w:w w:val="91"/>
              </w:rPr>
              <w:t>Good-Leavers</w:t>
            </w:r>
          </w:p>
        </w:tc>
      </w:tr>
      <w:tr>
        <w:trPr>
          <w:trHeight w:val="125"/>
        </w:trPr>
        <w:tc>
          <w:tcPr>
            <w:tcW w:w="1120" w:type="dxa"/>
            <w:vAlign w:val="bottom"/>
            <w:tcBorders>
              <w:left w:val="single" w:sz="8" w:color="auto"/>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w w:val="91"/>
              </w:rPr>
              <w:t>maintain a pro</w:t>
            </w:r>
          </w:p>
        </w:tc>
      </w:tr>
      <w:tr>
        <w:trPr>
          <w:trHeight w:val="119"/>
        </w:trPr>
        <w:tc>
          <w:tcPr>
            <w:tcW w:w="1120" w:type="dxa"/>
            <w:vAlign w:val="bottom"/>
            <w:tcBorders>
              <w:left w:val="single" w:sz="8" w:color="auto"/>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w w:val="95"/>
              </w:rPr>
              <w:t>portion of unv</w:t>
            </w:r>
          </w:p>
        </w:tc>
      </w:tr>
      <w:tr>
        <w:trPr>
          <w:trHeight w:val="125"/>
        </w:trPr>
        <w:tc>
          <w:tcPr>
            <w:tcW w:w="1120" w:type="dxa"/>
            <w:vAlign w:val="bottom"/>
            <w:tcBorders>
              <w:left w:val="single" w:sz="8" w:color="auto"/>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warrants</w:t>
            </w: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w w:val="92"/>
              </w:rPr>
              <w:t>Bad-Leavers -</w:t>
            </w:r>
          </w:p>
        </w:tc>
      </w:tr>
      <w:tr>
        <w:trPr>
          <w:trHeight w:val="118"/>
        </w:trPr>
        <w:tc>
          <w:tcPr>
            <w:tcW w:w="1120" w:type="dxa"/>
            <w:vAlign w:val="bottom"/>
            <w:tcBorders>
              <w:left w:val="single" w:sz="8" w:color="auto"/>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all unvested</w:t>
            </w:r>
          </w:p>
        </w:tc>
      </w:tr>
      <w:tr>
        <w:trPr>
          <w:trHeight w:val="125"/>
        </w:trPr>
        <w:tc>
          <w:tcPr>
            <w:tcW w:w="1120" w:type="dxa"/>
            <w:vAlign w:val="bottom"/>
            <w:tcBorders>
              <w:left w:val="single" w:sz="8" w:color="auto"/>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warrants.</w:t>
            </w: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w w:val="94"/>
              </w:rPr>
              <w:t>Death - Forfei</w:t>
            </w:r>
          </w:p>
        </w:tc>
      </w:tr>
      <w:tr>
        <w:trPr>
          <w:trHeight w:val="129"/>
        </w:trPr>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92"/>
              </w:rPr>
              <w:t>unvested warr</w:t>
            </w:r>
          </w:p>
        </w:tc>
      </w:tr>
      <w:tr>
        <w:trPr>
          <w:trHeight w:val="126"/>
        </w:trPr>
        <w:tc>
          <w:tcPr>
            <w:tcW w:w="1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0"/>
                <w:szCs w:val="10"/>
                <w:b w:val="1"/>
                <w:bCs w:val="1"/>
                <w:color w:val="auto"/>
              </w:rPr>
              <w:t>Lapse</w:t>
            </w:r>
          </w:p>
        </w:tc>
        <w:tc>
          <w:tcPr>
            <w:tcW w:w="3800" w:type="dxa"/>
            <w:vAlign w:val="bottom"/>
          </w:tcPr>
          <w:p>
            <w:pPr>
              <w:spacing w:after="0"/>
              <w:rPr>
                <w:sz w:val="10"/>
                <w:szCs w:val="10"/>
                <w:color w:val="auto"/>
              </w:rPr>
            </w:pPr>
          </w:p>
        </w:tc>
        <w:tc>
          <w:tcPr>
            <w:tcW w:w="4660" w:type="dxa"/>
            <w:vAlign w:val="bottom"/>
            <w:gridSpan w:val="3"/>
          </w:tcPr>
          <w:p>
            <w:pPr>
              <w:jc w:val="center"/>
              <w:ind w:right="2800"/>
              <w:spacing w:after="0"/>
              <w:rPr>
                <w:sz w:val="20"/>
                <w:szCs w:val="20"/>
                <w:color w:val="auto"/>
              </w:rPr>
            </w:pPr>
            <w:r>
              <w:rPr>
                <w:rFonts w:ascii="Arial" w:cs="Arial" w:eastAsia="Arial" w:hAnsi="Arial"/>
                <w:sz w:val="10"/>
                <w:szCs w:val="10"/>
                <w:color w:val="auto"/>
                <w:w w:val="95"/>
              </w:rPr>
              <w:t>7th anniversary of grant date</w:t>
            </w:r>
          </w:p>
        </w:tc>
        <w:tc>
          <w:tcPr>
            <w:tcW w:w="620" w:type="dxa"/>
            <w:vAlign w:val="bottom"/>
          </w:tcPr>
          <w:p>
            <w:pPr>
              <w:spacing w:after="0"/>
              <w:rPr>
                <w:sz w:val="10"/>
                <w:szCs w:val="10"/>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0" w:right="1500"/>
        <w:spacing w:after="0" w:line="273" w:lineRule="auto"/>
        <w:rPr>
          <w:sz w:val="20"/>
          <w:szCs w:val="20"/>
          <w:color w:val="auto"/>
        </w:rPr>
      </w:pPr>
      <w:r>
        <w:rPr>
          <w:rFonts w:ascii="Arial" w:cs="Arial" w:eastAsia="Arial" w:hAnsi="Arial"/>
          <w:sz w:val="12"/>
          <w:szCs w:val="12"/>
          <w:color w:val="auto"/>
        </w:rPr>
        <w:t>The warrant program contains anti-dilution provisions if changes occur in Genmab’s share capital prior to the warrants being exercised and provisions to accelerate vesting of warrants in the event of change of control or certain other extraordinary transactions as defined in the warrant program.</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0220"/>
          </w:cols>
          <w:pgMar w:left="1440" w:top="484" w:right="239" w:bottom="1440" w:gutter="0" w:footer="0" w:header="0"/>
        </w:sectPr>
      </w:pPr>
    </w:p>
    <w:bookmarkStart w:id="117" w:name="page118"/>
    <w:bookmarkEnd w:id="11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Warrant Activity in 2022, 2021 and 2020</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8"/>
                <w:szCs w:val="8"/>
                <w:color w:val="auto"/>
              </w:rPr>
              <w:t>Number of warrants</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held by former</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members of the</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68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Number of</w:t>
            </w:r>
          </w:p>
        </w:tc>
        <w:tc>
          <w:tcPr>
            <w:tcW w:w="80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Number of warrants</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Executive</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color w:val="auto"/>
              </w:rPr>
              <w:t>Weighted</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680" w:type="dxa"/>
            <w:vAlign w:val="bottom"/>
            <w:gridSpan w:val="2"/>
          </w:tcPr>
          <w:p>
            <w:pPr>
              <w:jc w:val="center"/>
              <w:ind w:right="20"/>
              <w:spacing w:after="0" w:line="91" w:lineRule="exact"/>
              <w:rPr>
                <w:sz w:val="20"/>
                <w:szCs w:val="20"/>
                <w:color w:val="auto"/>
              </w:rPr>
            </w:pPr>
            <w:r>
              <w:rPr>
                <w:rFonts w:ascii="Arial" w:cs="Arial" w:eastAsia="Arial" w:hAnsi="Arial"/>
                <w:sz w:val="8"/>
                <w:szCs w:val="8"/>
                <w:color w:val="auto"/>
              </w:rPr>
              <w:t>warrants held by</w:t>
            </w:r>
          </w:p>
        </w:tc>
        <w:tc>
          <w:tcPr>
            <w:tcW w:w="80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held by the</w:t>
            </w:r>
          </w:p>
        </w:tc>
        <w:tc>
          <w:tcPr>
            <w:tcW w:w="740" w:type="dxa"/>
            <w:vAlign w:val="bottom"/>
            <w:gridSpan w:val="2"/>
          </w:tcPr>
          <w:p>
            <w:pPr>
              <w:jc w:val="center"/>
              <w:ind w:right="60"/>
              <w:spacing w:after="0" w:line="91" w:lineRule="exact"/>
              <w:rPr>
                <w:sz w:val="20"/>
                <w:szCs w:val="20"/>
                <w:color w:val="auto"/>
              </w:rPr>
            </w:pPr>
            <w:r>
              <w:rPr>
                <w:rFonts w:ascii="Arial" w:cs="Arial" w:eastAsia="Arial" w:hAnsi="Arial"/>
                <w:sz w:val="8"/>
                <w:szCs w:val="8"/>
                <w:color w:val="auto"/>
              </w:rPr>
              <w:t>Number of</w:t>
            </w:r>
          </w:p>
        </w:tc>
        <w:tc>
          <w:tcPr>
            <w:tcW w:w="86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Management, Board</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jc w:val="right"/>
              <w:ind w:right="98"/>
              <w:spacing w:after="0" w:line="91" w:lineRule="exact"/>
              <w:rPr>
                <w:sz w:val="20"/>
                <w:szCs w:val="20"/>
                <w:color w:val="auto"/>
              </w:rPr>
            </w:pPr>
            <w:r>
              <w:rPr>
                <w:rFonts w:ascii="Arial" w:cs="Arial" w:eastAsia="Arial" w:hAnsi="Arial"/>
                <w:sz w:val="8"/>
                <w:szCs w:val="8"/>
                <w:color w:val="auto"/>
              </w:rPr>
              <w:t>Weighted</w:t>
            </w:r>
          </w:p>
        </w:tc>
        <w:tc>
          <w:tcPr>
            <w:tcW w:w="680" w:type="dxa"/>
            <w:vAlign w:val="bottom"/>
          </w:tcPr>
          <w:p>
            <w:pPr>
              <w:jc w:val="center"/>
              <w:spacing w:after="0" w:line="91" w:lineRule="exact"/>
              <w:rPr>
                <w:sz w:val="20"/>
                <w:szCs w:val="20"/>
                <w:color w:val="auto"/>
              </w:rPr>
            </w:pPr>
            <w:r>
              <w:rPr>
                <w:rFonts w:ascii="Arial" w:cs="Arial" w:eastAsia="Arial" w:hAnsi="Arial"/>
                <w:sz w:val="8"/>
                <w:szCs w:val="8"/>
                <w:color w:val="auto"/>
              </w:rPr>
              <w:t>average share</w:t>
            </w:r>
          </w:p>
        </w:tc>
        <w:tc>
          <w:tcPr>
            <w:tcW w:w="680" w:type="dxa"/>
            <w:vAlign w:val="bottom"/>
          </w:tcPr>
          <w:p>
            <w:pPr>
              <w:jc w:val="center"/>
              <w:spacing w:after="0" w:line="91" w:lineRule="exact"/>
              <w:rPr>
                <w:sz w:val="20"/>
                <w:szCs w:val="20"/>
                <w:color w:val="auto"/>
              </w:rPr>
            </w:pPr>
            <w:r>
              <w:rPr>
                <w:rFonts w:ascii="Arial" w:cs="Arial" w:eastAsia="Arial" w:hAnsi="Arial"/>
                <w:sz w:val="8"/>
                <w:szCs w:val="8"/>
                <w:color w:val="auto"/>
              </w:rPr>
              <w:t>Outstanding</w:t>
            </w: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680" w:type="dxa"/>
            <w:vAlign w:val="bottom"/>
            <w:gridSpan w:val="2"/>
          </w:tcPr>
          <w:p>
            <w:pPr>
              <w:jc w:val="center"/>
              <w:ind w:right="20"/>
              <w:spacing w:after="0" w:line="91" w:lineRule="exact"/>
              <w:rPr>
                <w:sz w:val="20"/>
                <w:szCs w:val="20"/>
                <w:color w:val="auto"/>
              </w:rPr>
            </w:pPr>
            <w:r>
              <w:rPr>
                <w:rFonts w:ascii="Arial" w:cs="Arial" w:eastAsia="Arial" w:hAnsi="Arial"/>
                <w:sz w:val="8"/>
                <w:szCs w:val="8"/>
                <w:color w:val="auto"/>
              </w:rPr>
              <w:t>the Board of</w:t>
            </w:r>
          </w:p>
        </w:tc>
        <w:tc>
          <w:tcPr>
            <w:tcW w:w="80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Executive</w:t>
            </w:r>
          </w:p>
        </w:tc>
        <w:tc>
          <w:tcPr>
            <w:tcW w:w="740" w:type="dxa"/>
            <w:vAlign w:val="bottom"/>
            <w:gridSpan w:val="2"/>
          </w:tcPr>
          <w:p>
            <w:pPr>
              <w:jc w:val="center"/>
              <w:ind w:right="40"/>
              <w:spacing w:after="0" w:line="91" w:lineRule="exact"/>
              <w:rPr>
                <w:sz w:val="20"/>
                <w:szCs w:val="20"/>
                <w:color w:val="auto"/>
              </w:rPr>
            </w:pPr>
            <w:r>
              <w:rPr>
                <w:rFonts w:ascii="Arial" w:cs="Arial" w:eastAsia="Arial" w:hAnsi="Arial"/>
                <w:sz w:val="8"/>
                <w:szCs w:val="8"/>
                <w:color w:val="auto"/>
              </w:rPr>
              <w:t>warrants held by</w:t>
            </w:r>
          </w:p>
        </w:tc>
        <w:tc>
          <w:tcPr>
            <w:tcW w:w="860" w:type="dxa"/>
            <w:vAlign w:val="bottom"/>
            <w:gridSpan w:val="2"/>
          </w:tcPr>
          <w:p>
            <w:pPr>
              <w:jc w:val="center"/>
              <w:ind w:right="20"/>
              <w:spacing w:after="0" w:line="91" w:lineRule="exact"/>
              <w:rPr>
                <w:sz w:val="20"/>
                <w:szCs w:val="20"/>
                <w:color w:val="auto"/>
              </w:rPr>
            </w:pPr>
            <w:r>
              <w:rPr>
                <w:rFonts w:ascii="Arial" w:cs="Arial" w:eastAsia="Arial" w:hAnsi="Arial"/>
                <w:sz w:val="8"/>
                <w:szCs w:val="8"/>
                <w:color w:val="auto"/>
              </w:rPr>
              <w:t>of Directors and</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gridSpan w:val="2"/>
          </w:tcPr>
          <w:p>
            <w:pPr>
              <w:jc w:val="right"/>
              <w:spacing w:after="0" w:line="91" w:lineRule="exact"/>
              <w:rPr>
                <w:sz w:val="20"/>
                <w:szCs w:val="20"/>
                <w:color w:val="auto"/>
              </w:rPr>
            </w:pPr>
            <w:r>
              <w:rPr>
                <w:rFonts w:ascii="Arial" w:cs="Arial" w:eastAsia="Arial" w:hAnsi="Arial"/>
                <w:sz w:val="8"/>
                <w:szCs w:val="8"/>
                <w:color w:val="auto"/>
              </w:rPr>
              <w:t>average exercise price at exercise</w:t>
            </w:r>
          </w:p>
        </w:tc>
        <w:tc>
          <w:tcPr>
            <w:tcW w:w="680" w:type="dxa"/>
            <w:vAlign w:val="bottom"/>
          </w:tcPr>
          <w:p>
            <w:pPr>
              <w:jc w:val="center"/>
              <w:spacing w:after="0" w:line="91" w:lineRule="exact"/>
              <w:rPr>
                <w:sz w:val="20"/>
                <w:szCs w:val="20"/>
                <w:color w:val="auto"/>
              </w:rPr>
            </w:pPr>
            <w:r>
              <w:rPr>
                <w:rFonts w:ascii="Arial" w:cs="Arial" w:eastAsia="Arial" w:hAnsi="Arial"/>
                <w:sz w:val="8"/>
                <w:szCs w:val="8"/>
                <w:color w:val="auto"/>
              </w:rPr>
              <w:t>Warrants - % of</w:t>
            </w:r>
          </w:p>
        </w:tc>
        <w:tc>
          <w:tcPr>
            <w:tcW w:w="0" w:type="dxa"/>
            <w:vAlign w:val="bottom"/>
          </w:tcPr>
          <w:p>
            <w:pPr>
              <w:spacing w:after="0"/>
              <w:rPr>
                <w:sz w:val="1"/>
                <w:szCs w:val="1"/>
                <w:color w:val="auto"/>
              </w:rPr>
            </w:pPr>
          </w:p>
        </w:tc>
      </w:tr>
      <w:tr>
        <w:trPr>
          <w:trHeight w:val="103"/>
        </w:trPr>
        <w:tc>
          <w:tcPr>
            <w:tcW w:w="3080" w:type="dxa"/>
            <w:vAlign w:val="bottom"/>
          </w:tcPr>
          <w:p>
            <w:pPr>
              <w:spacing w:after="0"/>
              <w:rPr>
                <w:sz w:val="8"/>
                <w:szCs w:val="8"/>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8"/>
                <w:szCs w:val="8"/>
                <w:color w:val="auto"/>
              </w:rPr>
              <w:t>Directors</w:t>
            </w:r>
          </w:p>
        </w:tc>
        <w:tc>
          <w:tcPr>
            <w:tcW w:w="800" w:type="dxa"/>
            <w:vAlign w:val="bottom"/>
            <w:gridSpan w:val="2"/>
          </w:tcPr>
          <w:p>
            <w:pPr>
              <w:jc w:val="center"/>
              <w:ind w:right="40"/>
              <w:spacing w:after="0"/>
              <w:rPr>
                <w:sz w:val="20"/>
                <w:szCs w:val="20"/>
                <w:color w:val="auto"/>
              </w:rPr>
            </w:pPr>
            <w:r>
              <w:rPr>
                <w:rFonts w:ascii="Arial" w:cs="Arial" w:eastAsia="Arial" w:hAnsi="Arial"/>
                <w:sz w:val="8"/>
                <w:szCs w:val="8"/>
                <w:color w:val="auto"/>
              </w:rPr>
              <w:t>Management</w:t>
            </w:r>
          </w:p>
        </w:tc>
        <w:tc>
          <w:tcPr>
            <w:tcW w:w="740" w:type="dxa"/>
            <w:vAlign w:val="bottom"/>
            <w:gridSpan w:val="2"/>
          </w:tcPr>
          <w:p>
            <w:pPr>
              <w:jc w:val="center"/>
              <w:ind w:right="40"/>
              <w:spacing w:after="0"/>
              <w:rPr>
                <w:sz w:val="20"/>
                <w:szCs w:val="20"/>
                <w:color w:val="auto"/>
              </w:rPr>
            </w:pPr>
            <w:r>
              <w:rPr>
                <w:rFonts w:ascii="Arial" w:cs="Arial" w:eastAsia="Arial" w:hAnsi="Arial"/>
                <w:sz w:val="8"/>
                <w:szCs w:val="8"/>
                <w:color w:val="auto"/>
              </w:rPr>
              <w:t>employees</w:t>
            </w:r>
          </w:p>
        </w:tc>
        <w:tc>
          <w:tcPr>
            <w:tcW w:w="860" w:type="dxa"/>
            <w:vAlign w:val="bottom"/>
            <w:gridSpan w:val="2"/>
          </w:tcPr>
          <w:p>
            <w:pPr>
              <w:jc w:val="center"/>
              <w:ind w:right="40"/>
              <w:spacing w:after="0"/>
              <w:rPr>
                <w:sz w:val="20"/>
                <w:szCs w:val="20"/>
                <w:color w:val="auto"/>
              </w:rPr>
            </w:pPr>
            <w:r>
              <w:rPr>
                <w:rFonts w:ascii="Arial" w:cs="Arial" w:eastAsia="Arial" w:hAnsi="Arial"/>
                <w:sz w:val="8"/>
                <w:szCs w:val="8"/>
                <w:color w:val="auto"/>
              </w:rPr>
              <w:t>employees</w:t>
            </w:r>
          </w:p>
        </w:tc>
        <w:tc>
          <w:tcPr>
            <w:tcW w:w="780" w:type="dxa"/>
            <w:vAlign w:val="bottom"/>
            <w:gridSpan w:val="2"/>
          </w:tcPr>
          <w:p>
            <w:pPr>
              <w:jc w:val="right"/>
              <w:ind w:right="140"/>
              <w:spacing w:after="0"/>
              <w:rPr>
                <w:sz w:val="20"/>
                <w:szCs w:val="20"/>
                <w:color w:val="auto"/>
              </w:rPr>
            </w:pPr>
            <w:r>
              <w:rPr>
                <w:rFonts w:ascii="Arial" w:cs="Arial" w:eastAsia="Arial" w:hAnsi="Arial"/>
                <w:sz w:val="8"/>
                <w:szCs w:val="8"/>
                <w:color w:val="auto"/>
              </w:rPr>
              <w:t>Total warrants</w:t>
            </w:r>
          </w:p>
        </w:tc>
        <w:tc>
          <w:tcPr>
            <w:tcW w:w="660" w:type="dxa"/>
            <w:vAlign w:val="bottom"/>
          </w:tcPr>
          <w:p>
            <w:pPr>
              <w:jc w:val="right"/>
              <w:ind w:right="58"/>
              <w:spacing w:after="0"/>
              <w:rPr>
                <w:sz w:val="20"/>
                <w:szCs w:val="20"/>
                <w:color w:val="auto"/>
              </w:rPr>
            </w:pPr>
            <w:r>
              <w:rPr>
                <w:rFonts w:ascii="Arial" w:cs="Arial" w:eastAsia="Arial" w:hAnsi="Arial"/>
                <w:sz w:val="8"/>
                <w:szCs w:val="8"/>
                <w:color w:val="auto"/>
              </w:rPr>
              <w:t>price - DKK</w:t>
            </w:r>
          </w:p>
        </w:tc>
        <w:tc>
          <w:tcPr>
            <w:tcW w:w="680" w:type="dxa"/>
            <w:vAlign w:val="bottom"/>
          </w:tcPr>
          <w:p>
            <w:pPr>
              <w:jc w:val="center"/>
              <w:spacing w:after="0"/>
              <w:rPr>
                <w:sz w:val="20"/>
                <w:szCs w:val="20"/>
                <w:color w:val="auto"/>
              </w:rPr>
            </w:pPr>
            <w:r>
              <w:rPr>
                <w:rFonts w:ascii="Arial" w:cs="Arial" w:eastAsia="Arial" w:hAnsi="Arial"/>
                <w:sz w:val="8"/>
                <w:szCs w:val="8"/>
                <w:color w:val="auto"/>
              </w:rPr>
              <w:t>date - DKK</w:t>
            </w:r>
          </w:p>
        </w:tc>
        <w:tc>
          <w:tcPr>
            <w:tcW w:w="680" w:type="dxa"/>
            <w:vAlign w:val="bottom"/>
          </w:tcPr>
          <w:p>
            <w:pPr>
              <w:jc w:val="center"/>
              <w:spacing w:after="0"/>
              <w:rPr>
                <w:sz w:val="20"/>
                <w:szCs w:val="20"/>
                <w:color w:val="auto"/>
              </w:rPr>
            </w:pPr>
            <w:r>
              <w:rPr>
                <w:rFonts w:ascii="Arial" w:cs="Arial" w:eastAsia="Arial" w:hAnsi="Arial"/>
                <w:sz w:val="8"/>
                <w:szCs w:val="8"/>
                <w:color w:val="auto"/>
              </w:rPr>
              <w:t>Share Capital</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January 1, 2020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62,334</w:t>
            </w:r>
          </w:p>
        </w:tc>
        <w:tc>
          <w:tcPr>
            <w:tcW w:w="4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347,801</w:t>
            </w:r>
          </w:p>
        </w:tc>
        <w:tc>
          <w:tcPr>
            <w:tcW w:w="4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858,973</w:t>
            </w:r>
          </w:p>
        </w:tc>
        <w:tc>
          <w:tcPr>
            <w:tcW w:w="4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144,516</w:t>
            </w:r>
          </w:p>
        </w:tc>
        <w:tc>
          <w:tcPr>
            <w:tcW w:w="4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1,413,624</w:t>
            </w: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862.03</w:t>
            </w:r>
          </w:p>
        </w:tc>
        <w:tc>
          <w:tcPr>
            <w:tcW w:w="6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Granted*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7,771</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110,041</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416</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118,228</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2,009.79</w:t>
            </w:r>
          </w:p>
        </w:tc>
        <w:tc>
          <w:tcPr>
            <w:tcW w:w="6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2,035.29</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Exercised</w:t>
            </w:r>
          </w:p>
        </w:tc>
        <w:tc>
          <w:tcPr>
            <w:tcW w:w="6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(24,438)</w:t>
            </w: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(122,015)</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(324,793)</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(471,246)</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296.77</w:t>
            </w: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Expired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Cancelled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8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(28,424)</w:t>
            </w: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(589)</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(43,125)</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(72,138)</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1,157.54</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80" w:type="dxa"/>
            <w:vAlign w:val="bottom"/>
          </w:tcPr>
          <w:p>
            <w:pPr>
              <w:spacing w:after="0"/>
              <w:rPr>
                <w:sz w:val="20"/>
                <w:szCs w:val="20"/>
                <w:color w:val="auto"/>
              </w:rPr>
            </w:pPr>
            <w:r>
              <w:rPr>
                <w:rFonts w:ascii="Arial" w:cs="Arial" w:eastAsia="Arial" w:hAnsi="Arial"/>
                <w:sz w:val="8"/>
                <w:szCs w:val="8"/>
                <w:color w:val="auto"/>
              </w:rPr>
              <w:t>Transfers</w:t>
            </w:r>
          </w:p>
        </w:tc>
        <w:tc>
          <w:tcPr>
            <w:tcW w:w="680" w:type="dxa"/>
            <w:vAlign w:val="bottom"/>
            <w:gridSpan w:val="2"/>
          </w:tcPr>
          <w:p>
            <w:pPr>
              <w:jc w:val="right"/>
              <w:ind w:right="40"/>
              <w:spacing w:after="0"/>
              <w:rPr>
                <w:sz w:val="20"/>
                <w:szCs w:val="20"/>
                <w:color w:val="auto"/>
              </w:rPr>
            </w:pPr>
            <w:r>
              <w:rPr>
                <w:rFonts w:ascii="Arial" w:cs="Arial" w:eastAsia="Arial" w:hAnsi="Arial"/>
                <w:sz w:val="8"/>
                <w:szCs w:val="8"/>
                <w:color w:val="auto"/>
              </w:rPr>
              <w:t>(25,955)</w:t>
            </w:r>
          </w:p>
        </w:tc>
        <w:tc>
          <w:tcPr>
            <w:tcW w:w="800" w:type="dxa"/>
            <w:vAlign w:val="bottom"/>
            <w:gridSpan w:val="2"/>
          </w:tcPr>
          <w:p>
            <w:pPr>
              <w:jc w:val="right"/>
              <w:ind w:right="40"/>
              <w:spacing w:after="0"/>
              <w:rPr>
                <w:sz w:val="20"/>
                <w:szCs w:val="20"/>
                <w:color w:val="auto"/>
              </w:rPr>
            </w:pPr>
            <w:r>
              <w:rPr>
                <w:rFonts w:ascii="Arial" w:cs="Arial" w:eastAsia="Arial" w:hAnsi="Arial"/>
                <w:sz w:val="8"/>
                <w:szCs w:val="8"/>
                <w:color w:val="auto"/>
              </w:rPr>
              <w:t>(186,333)</w:t>
            </w:r>
          </w:p>
        </w:tc>
        <w:tc>
          <w:tcPr>
            <w:tcW w:w="740" w:type="dxa"/>
            <w:vAlign w:val="bottom"/>
            <w:gridSpan w:val="2"/>
          </w:tcPr>
          <w:p>
            <w:pPr>
              <w:jc w:val="right"/>
              <w:ind w:right="40"/>
              <w:spacing w:after="0"/>
              <w:rPr>
                <w:sz w:val="20"/>
                <w:szCs w:val="20"/>
                <w:color w:val="auto"/>
              </w:rPr>
            </w:pPr>
            <w:r>
              <w:rPr>
                <w:rFonts w:ascii="Arial" w:cs="Arial" w:eastAsia="Arial" w:hAnsi="Arial"/>
                <w:sz w:val="8"/>
                <w:szCs w:val="8"/>
                <w:color w:val="auto"/>
              </w:rPr>
              <w:t>(113,833)</w:t>
            </w:r>
          </w:p>
        </w:tc>
        <w:tc>
          <w:tcPr>
            <w:tcW w:w="820" w:type="dxa"/>
            <w:vAlign w:val="bottom"/>
          </w:tcPr>
          <w:p>
            <w:pPr>
              <w:jc w:val="right"/>
              <w:spacing w:after="0"/>
              <w:rPr>
                <w:sz w:val="20"/>
                <w:szCs w:val="20"/>
                <w:color w:val="auto"/>
              </w:rPr>
            </w:pPr>
            <w:r>
              <w:rPr>
                <w:rFonts w:ascii="Arial" w:cs="Arial" w:eastAsia="Arial" w:hAnsi="Arial"/>
                <w:sz w:val="8"/>
                <w:szCs w:val="8"/>
                <w:color w:val="auto"/>
              </w:rPr>
              <w:t>326,121</w:t>
            </w:r>
          </w:p>
        </w:tc>
        <w:tc>
          <w:tcPr>
            <w:tcW w:w="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December 31,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11,941</w:t>
            </w:r>
          </w:p>
        </w:tc>
        <w:tc>
          <w:tcPr>
            <w:tcW w:w="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140,815</w:t>
            </w:r>
          </w:p>
        </w:tc>
        <w:tc>
          <w:tcPr>
            <w:tcW w:w="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732,577</w:t>
            </w: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103,135</w:t>
            </w:r>
          </w:p>
        </w:tc>
        <w:tc>
          <w:tcPr>
            <w:tcW w:w="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988,468</w:t>
            </w:r>
          </w:p>
        </w:tc>
        <w:tc>
          <w:tcPr>
            <w:tcW w:w="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1,247.22</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49"/>
        </w:trPr>
        <w:tc>
          <w:tcPr>
            <w:tcW w:w="3080" w:type="dxa"/>
            <w:vAlign w:val="bottom"/>
          </w:tcPr>
          <w:p>
            <w:pPr>
              <w:spacing w:after="0"/>
              <w:rPr>
                <w:sz w:val="20"/>
                <w:szCs w:val="20"/>
                <w:color w:val="auto"/>
              </w:rPr>
            </w:pPr>
            <w:r>
              <w:rPr>
                <w:rFonts w:ascii="Arial" w:cs="Arial" w:eastAsia="Arial" w:hAnsi="Arial"/>
                <w:sz w:val="8"/>
                <w:szCs w:val="8"/>
                <w:color w:val="auto"/>
              </w:rPr>
              <w:t>Exercisable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4,192</w:t>
            </w: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83,426</w:t>
            </w: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166,402</w:t>
            </w: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92,696</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346,716</w:t>
            </w: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935.60</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20"/>
                <w:szCs w:val="20"/>
                <w:color w:val="auto"/>
              </w:rPr>
            </w:pPr>
            <w:r>
              <w:rPr>
                <w:rFonts w:ascii="Arial" w:cs="Arial" w:eastAsia="Arial" w:hAnsi="Arial"/>
                <w:sz w:val="8"/>
                <w:szCs w:val="8"/>
                <w:color w:val="auto"/>
              </w:rPr>
              <w:t>Exercisable warrants in the money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4,192</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83,426</w:t>
            </w:r>
          </w:p>
        </w:tc>
        <w:tc>
          <w:tcPr>
            <w:tcW w:w="4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166,402</w:t>
            </w:r>
          </w:p>
        </w:tc>
        <w:tc>
          <w:tcPr>
            <w:tcW w:w="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92,696</w:t>
            </w:r>
          </w:p>
        </w:tc>
        <w:tc>
          <w:tcPr>
            <w:tcW w:w="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346,716</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935.60</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January 1, 2021</w:t>
            </w: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11,941</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8"/>
                <w:szCs w:val="8"/>
                <w:b w:val="1"/>
                <w:bCs w:val="1"/>
                <w:color w:val="auto"/>
              </w:rPr>
              <w:t>140,815</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732,577</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8"/>
                <w:szCs w:val="8"/>
                <w:b w:val="1"/>
                <w:bCs w:val="1"/>
                <w:color w:val="auto"/>
              </w:rPr>
              <w:t>103,135</w:t>
            </w: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988,468</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1,247.22</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Granted*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1,217</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1,287</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167,080</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6,400</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175,984</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2,282.35</w:t>
            </w:r>
          </w:p>
        </w:tc>
        <w:tc>
          <w:tcPr>
            <w:tcW w:w="6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2,439.80</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Exercised</w:t>
            </w:r>
          </w:p>
        </w:tc>
        <w:tc>
          <w:tcPr>
            <w:tcW w:w="6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(2,500)</w:t>
            </w:r>
          </w:p>
        </w:tc>
        <w:tc>
          <w:tcPr>
            <w:tcW w:w="8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(7,250)</w:t>
            </w: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(105,726)</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(57,232)</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(172,708)</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780.48</w:t>
            </w: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Expired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Cancelled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(477)</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(22,816)</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(23,293)</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1,956.91</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80" w:type="dxa"/>
            <w:vAlign w:val="bottom"/>
          </w:tcPr>
          <w:p>
            <w:pPr>
              <w:spacing w:after="0"/>
              <w:rPr>
                <w:sz w:val="20"/>
                <w:szCs w:val="20"/>
                <w:color w:val="auto"/>
              </w:rPr>
            </w:pPr>
            <w:r>
              <w:rPr>
                <w:rFonts w:ascii="Arial" w:cs="Arial" w:eastAsia="Arial" w:hAnsi="Arial"/>
                <w:sz w:val="8"/>
                <w:szCs w:val="8"/>
                <w:color w:val="auto"/>
              </w:rPr>
              <w:t>Transfers</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24,782</w:t>
            </w:r>
          </w:p>
        </w:tc>
        <w:tc>
          <w:tcPr>
            <w:tcW w:w="4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8"/>
                <w:szCs w:val="8"/>
                <w:color w:val="auto"/>
              </w:rPr>
              <w:t>(54,454)</w:t>
            </w:r>
          </w:p>
        </w:tc>
        <w:tc>
          <w:tcPr>
            <w:tcW w:w="820" w:type="dxa"/>
            <w:vAlign w:val="bottom"/>
          </w:tcPr>
          <w:p>
            <w:pPr>
              <w:jc w:val="right"/>
              <w:spacing w:after="0"/>
              <w:rPr>
                <w:sz w:val="20"/>
                <w:szCs w:val="20"/>
                <w:color w:val="auto"/>
              </w:rPr>
            </w:pPr>
            <w:r>
              <w:rPr>
                <w:rFonts w:ascii="Arial" w:cs="Arial" w:eastAsia="Arial" w:hAnsi="Arial"/>
                <w:sz w:val="8"/>
                <w:szCs w:val="8"/>
                <w:color w:val="auto"/>
              </w:rPr>
              <w:t>29,672</w:t>
            </w:r>
          </w:p>
        </w:tc>
        <w:tc>
          <w:tcPr>
            <w:tcW w:w="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10,658</w:t>
            </w:r>
          </w:p>
        </w:tc>
        <w:tc>
          <w:tcPr>
            <w:tcW w:w="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159,634</w:t>
            </w:r>
          </w:p>
        </w:tc>
        <w:tc>
          <w:tcPr>
            <w:tcW w:w="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739,000</w:t>
            </w: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59,159</w:t>
            </w:r>
          </w:p>
        </w:tc>
        <w:tc>
          <w:tcPr>
            <w:tcW w:w="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968,451</w:t>
            </w:r>
          </w:p>
        </w:tc>
        <w:tc>
          <w:tcPr>
            <w:tcW w:w="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1,501.49</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9"/>
        </w:trPr>
        <w:tc>
          <w:tcPr>
            <w:tcW w:w="3080" w:type="dxa"/>
            <w:vAlign w:val="bottom"/>
          </w:tcPr>
          <w:p>
            <w:pPr>
              <w:spacing w:after="0"/>
              <w:rPr>
                <w:sz w:val="20"/>
                <w:szCs w:val="20"/>
                <w:color w:val="auto"/>
              </w:rPr>
            </w:pPr>
            <w:r>
              <w:rPr>
                <w:rFonts w:ascii="Arial" w:cs="Arial" w:eastAsia="Arial" w:hAnsi="Arial"/>
                <w:sz w:val="8"/>
                <w:szCs w:val="8"/>
                <w:color w:val="auto"/>
              </w:rPr>
              <w:t>Exercisable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6,594</w:t>
            </w: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135,723</w:t>
            </w: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219,386</w:t>
            </w: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50,021</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411,724</w:t>
            </w: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1,058.41</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20"/>
                <w:szCs w:val="20"/>
                <w:color w:val="auto"/>
              </w:rPr>
            </w:pPr>
            <w:r>
              <w:rPr>
                <w:rFonts w:ascii="Arial" w:cs="Arial" w:eastAsia="Arial" w:hAnsi="Arial"/>
                <w:sz w:val="8"/>
                <w:szCs w:val="8"/>
                <w:color w:val="auto"/>
              </w:rPr>
              <w:t>Exercisable warrants in the money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6,594</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135,723</w:t>
            </w:r>
          </w:p>
        </w:tc>
        <w:tc>
          <w:tcPr>
            <w:tcW w:w="4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219,386</w:t>
            </w:r>
          </w:p>
        </w:tc>
        <w:tc>
          <w:tcPr>
            <w:tcW w:w="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50,021</w:t>
            </w:r>
          </w:p>
        </w:tc>
        <w:tc>
          <w:tcPr>
            <w:tcW w:w="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411,724</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1,058.41</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January 1, 2022</w:t>
            </w: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10,658</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8"/>
                <w:szCs w:val="8"/>
                <w:b w:val="1"/>
                <w:bCs w:val="1"/>
                <w:color w:val="auto"/>
              </w:rPr>
              <w:t>159,634</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739,000</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8"/>
                <w:szCs w:val="8"/>
                <w:b w:val="1"/>
                <w:bCs w:val="1"/>
                <w:color w:val="auto"/>
              </w:rPr>
              <w:t>59,159</w:t>
            </w: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968,451</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1,501.49</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Granted*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1,541</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250,005</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7,412</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258,958</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2,244.22</w:t>
            </w:r>
          </w:p>
        </w:tc>
        <w:tc>
          <w:tcPr>
            <w:tcW w:w="6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2,815.33</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Exercised</w:t>
            </w:r>
          </w:p>
        </w:tc>
        <w:tc>
          <w:tcPr>
            <w:tcW w:w="6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(1,558)</w:t>
            </w:r>
          </w:p>
        </w:tc>
        <w:tc>
          <w:tcPr>
            <w:tcW w:w="8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(29,836)</w:t>
            </w: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(176,948)</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(34,775)</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(243,117)</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1,154.95</w:t>
            </w: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Expired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80" w:type="dxa"/>
            <w:vAlign w:val="bottom"/>
          </w:tcPr>
          <w:p>
            <w:pPr>
              <w:spacing w:after="0" w:line="91" w:lineRule="exact"/>
              <w:rPr>
                <w:sz w:val="20"/>
                <w:szCs w:val="20"/>
                <w:color w:val="auto"/>
              </w:rPr>
            </w:pPr>
            <w:r>
              <w:rPr>
                <w:rFonts w:ascii="Arial" w:cs="Arial" w:eastAsia="Arial" w:hAnsi="Arial"/>
                <w:sz w:val="8"/>
                <w:szCs w:val="8"/>
                <w:color w:val="auto"/>
              </w:rPr>
              <w:t>Cancelled</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6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(13,670)</w:t>
            </w:r>
          </w:p>
        </w:tc>
        <w:tc>
          <w:tcPr>
            <w:tcW w:w="86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(32,654)</w:t>
            </w: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(46,324)</w:t>
            </w:r>
          </w:p>
        </w:tc>
        <w:tc>
          <w:tcPr>
            <w:tcW w:w="660" w:type="dxa"/>
            <w:vAlign w:val="bottom"/>
          </w:tcPr>
          <w:p>
            <w:pPr>
              <w:jc w:val="right"/>
              <w:spacing w:after="0" w:line="91" w:lineRule="exact"/>
              <w:rPr>
                <w:sz w:val="20"/>
                <w:szCs w:val="20"/>
                <w:color w:val="auto"/>
              </w:rPr>
            </w:pPr>
            <w:r>
              <w:rPr>
                <w:rFonts w:ascii="Arial" w:cs="Arial" w:eastAsia="Arial" w:hAnsi="Arial"/>
                <w:sz w:val="8"/>
                <w:szCs w:val="8"/>
                <w:color w:val="auto"/>
              </w:rPr>
              <w:t>2,029.00</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80" w:type="dxa"/>
            <w:vAlign w:val="bottom"/>
          </w:tcPr>
          <w:p>
            <w:pPr>
              <w:spacing w:after="0"/>
              <w:rPr>
                <w:sz w:val="20"/>
                <w:szCs w:val="20"/>
                <w:color w:val="auto"/>
              </w:rPr>
            </w:pPr>
            <w:r>
              <w:rPr>
                <w:rFonts w:ascii="Arial" w:cs="Arial" w:eastAsia="Arial" w:hAnsi="Arial"/>
                <w:sz w:val="8"/>
                <w:szCs w:val="8"/>
                <w:color w:val="auto"/>
              </w:rPr>
              <w:t>Transfers</w:t>
            </w:r>
          </w:p>
        </w:tc>
        <w:tc>
          <w:tcPr>
            <w:tcW w:w="680" w:type="dxa"/>
            <w:vAlign w:val="bottom"/>
            <w:gridSpan w:val="2"/>
          </w:tcPr>
          <w:p>
            <w:pPr>
              <w:jc w:val="right"/>
              <w:ind w:right="40"/>
              <w:spacing w:after="0"/>
              <w:rPr>
                <w:sz w:val="20"/>
                <w:szCs w:val="20"/>
                <w:color w:val="auto"/>
              </w:rPr>
            </w:pPr>
            <w:r>
              <w:rPr>
                <w:rFonts w:ascii="Arial" w:cs="Arial" w:eastAsia="Arial" w:hAnsi="Arial"/>
                <w:sz w:val="8"/>
                <w:szCs w:val="8"/>
                <w:color w:val="auto"/>
              </w:rPr>
              <w:t>(8,721)</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8"/>
                <w:szCs w:val="8"/>
                <w:color w:val="auto"/>
              </w:rPr>
              <w:t>(25,373)</w:t>
            </w:r>
          </w:p>
        </w:tc>
        <w:tc>
          <w:tcPr>
            <w:tcW w:w="820" w:type="dxa"/>
            <w:vAlign w:val="bottom"/>
          </w:tcPr>
          <w:p>
            <w:pPr>
              <w:jc w:val="right"/>
              <w:spacing w:after="0"/>
              <w:rPr>
                <w:sz w:val="20"/>
                <w:szCs w:val="20"/>
                <w:color w:val="auto"/>
              </w:rPr>
            </w:pPr>
            <w:r>
              <w:rPr>
                <w:rFonts w:ascii="Arial" w:cs="Arial" w:eastAsia="Arial" w:hAnsi="Arial"/>
                <w:sz w:val="8"/>
                <w:szCs w:val="8"/>
                <w:color w:val="auto"/>
              </w:rPr>
              <w:t>34,094</w:t>
            </w:r>
          </w:p>
        </w:tc>
        <w:tc>
          <w:tcPr>
            <w:tcW w:w="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20"/>
                <w:szCs w:val="20"/>
                <w:color w:val="auto"/>
              </w:rPr>
            </w:pPr>
            <w:r>
              <w:rPr>
                <w:rFonts w:ascii="Arial" w:cs="Arial" w:eastAsia="Arial" w:hAnsi="Arial"/>
                <w:sz w:val="8"/>
                <w:szCs w:val="8"/>
                <w:b w:val="1"/>
                <w:bCs w:val="1"/>
                <w:color w:val="auto"/>
              </w:rPr>
              <w:t>Outstanding at December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1,920</w:t>
            </w:r>
          </w:p>
        </w:tc>
        <w:tc>
          <w:tcPr>
            <w:tcW w:w="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129,798</w:t>
            </w:r>
          </w:p>
        </w:tc>
        <w:tc>
          <w:tcPr>
            <w:tcW w:w="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773,014</w:t>
            </w: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33,236</w:t>
            </w:r>
          </w:p>
        </w:tc>
        <w:tc>
          <w:tcPr>
            <w:tcW w:w="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937,968</w:t>
            </w:r>
          </w:p>
        </w:tc>
        <w:tc>
          <w:tcPr>
            <w:tcW w:w="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rPr>
              <w:t>1,770.31</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9"/>
        </w:trPr>
        <w:tc>
          <w:tcPr>
            <w:tcW w:w="3080" w:type="dxa"/>
            <w:vAlign w:val="bottom"/>
          </w:tcPr>
          <w:p>
            <w:pPr>
              <w:spacing w:after="0"/>
              <w:rPr>
                <w:sz w:val="20"/>
                <w:szCs w:val="20"/>
                <w:color w:val="auto"/>
              </w:rPr>
            </w:pPr>
            <w:r>
              <w:rPr>
                <w:rFonts w:ascii="Arial" w:cs="Arial" w:eastAsia="Arial" w:hAnsi="Arial"/>
                <w:sz w:val="8"/>
                <w:szCs w:val="8"/>
                <w:color w:val="auto"/>
              </w:rPr>
              <w:t>Exercisable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617</w:t>
            </w: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118,571</w:t>
            </w: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282,296</w:t>
            </w: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32,695</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434,179</w:t>
            </w: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1,265.68</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20"/>
                <w:szCs w:val="20"/>
                <w:color w:val="auto"/>
              </w:rPr>
            </w:pPr>
            <w:r>
              <w:rPr>
                <w:rFonts w:ascii="Arial" w:cs="Arial" w:eastAsia="Arial" w:hAnsi="Arial"/>
                <w:sz w:val="8"/>
                <w:szCs w:val="8"/>
                <w:color w:val="auto"/>
              </w:rPr>
              <w:t>Exercisable warrants in the money at year end</w:t>
            </w:r>
          </w:p>
        </w:tc>
        <w:tc>
          <w:tcPr>
            <w:tcW w:w="640" w:type="dxa"/>
            <w:vAlign w:val="bottom"/>
          </w:tcPr>
          <w:p>
            <w:pPr>
              <w:jc w:val="right"/>
              <w:spacing w:after="0"/>
              <w:rPr>
                <w:sz w:val="20"/>
                <w:szCs w:val="20"/>
                <w:color w:val="auto"/>
              </w:rPr>
            </w:pPr>
            <w:r>
              <w:rPr>
                <w:rFonts w:ascii="Arial" w:cs="Arial" w:eastAsia="Arial" w:hAnsi="Arial"/>
                <w:sz w:val="8"/>
                <w:szCs w:val="8"/>
                <w:color w:val="auto"/>
              </w:rPr>
              <w:t>617</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118,571</w:t>
            </w:r>
          </w:p>
        </w:tc>
        <w:tc>
          <w:tcPr>
            <w:tcW w:w="4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282,296</w:t>
            </w:r>
          </w:p>
        </w:tc>
        <w:tc>
          <w:tcPr>
            <w:tcW w:w="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32,695</w:t>
            </w:r>
          </w:p>
        </w:tc>
        <w:tc>
          <w:tcPr>
            <w:tcW w:w="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434,179</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1,265.68</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right="759" w:firstLine="2"/>
        <w:spacing w:after="0" w:line="525" w:lineRule="auto"/>
        <w:tabs>
          <w:tab w:leader="none" w:pos="134"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Warrants held by the Board of Directors include warrants granted to employee-elected Board Members as employees of Genmab A/S or its subsidiaries. </w:t>
      </w:r>
      <w:r>
        <w:rPr>
          <w:rFonts w:ascii="Arial" w:cs="Arial" w:eastAsia="Arial" w:hAnsi="Arial"/>
          <w:sz w:val="12"/>
          <w:szCs w:val="12"/>
          <w:color w:val="029C93"/>
        </w:rPr>
        <w:t>Refer to Note 5.1 for additional information regarding compensation of Executive Management and the Board of Directors.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8" w:name="page119"/>
    <w:bookmarkEnd w:id="11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4320" w:type="dxa"/>
            <w:vAlign w:val="bottom"/>
            <w:gridSpan w:val="6"/>
          </w:tcPr>
          <w:p>
            <w:pPr>
              <w:spacing w:after="0"/>
              <w:rPr>
                <w:sz w:val="20"/>
                <w:szCs w:val="20"/>
                <w:color w:val="auto"/>
              </w:rPr>
            </w:pPr>
            <w:r>
              <w:rPr>
                <w:rFonts w:ascii="Arial" w:cs="Arial" w:eastAsia="Arial" w:hAnsi="Arial"/>
                <w:sz w:val="12"/>
                <w:szCs w:val="12"/>
                <w:b w:val="1"/>
                <w:bCs w:val="1"/>
                <w:color w:val="auto"/>
              </w:rPr>
              <w:t>Weighted Average Outstanding Warrants at December 31, 2022</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9"/>
        </w:trPr>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color w:val="auto"/>
              </w:rPr>
              <w:t>Number of warrants</w:t>
            </w:r>
          </w:p>
        </w:tc>
        <w:tc>
          <w:tcPr>
            <w:tcW w:w="1920" w:type="dxa"/>
            <w:vAlign w:val="bottom"/>
            <w:gridSpan w:val="2"/>
          </w:tcPr>
          <w:p>
            <w:pPr>
              <w:jc w:val="center"/>
              <w:ind w:right="60"/>
              <w:spacing w:after="0"/>
              <w:rPr>
                <w:sz w:val="20"/>
                <w:szCs w:val="20"/>
                <w:color w:val="auto"/>
              </w:rPr>
            </w:pPr>
            <w:r>
              <w:rPr>
                <w:rFonts w:ascii="Arial" w:cs="Arial" w:eastAsia="Arial" w:hAnsi="Arial"/>
                <w:sz w:val="12"/>
                <w:szCs w:val="12"/>
                <w:color w:val="auto"/>
              </w:rPr>
              <w:t>Weighted average remaining</w:t>
            </w:r>
          </w:p>
        </w:tc>
        <w:tc>
          <w:tcPr>
            <w:tcW w:w="1240" w:type="dxa"/>
            <w:vAlign w:val="bottom"/>
          </w:tcPr>
          <w:p>
            <w:pPr>
              <w:jc w:val="right"/>
              <w:ind w:right="40"/>
              <w:spacing w:after="0"/>
              <w:rPr>
                <w:sz w:val="20"/>
                <w:szCs w:val="20"/>
                <w:color w:val="auto"/>
              </w:rPr>
            </w:pPr>
            <w:r>
              <w:rPr>
                <w:rFonts w:ascii="Arial" w:cs="Arial" w:eastAsia="Arial" w:hAnsi="Arial"/>
                <w:sz w:val="12"/>
                <w:szCs w:val="12"/>
                <w:color w:val="auto"/>
              </w:rPr>
              <w:t>Number of warrants</w:t>
            </w:r>
          </w:p>
        </w:tc>
      </w:tr>
      <w:tr>
        <w:trPr>
          <w:trHeight w:val="149"/>
        </w:trPr>
        <w:tc>
          <w:tcPr>
            <w:tcW w:w="1440" w:type="dxa"/>
            <w:vAlign w:val="bottom"/>
          </w:tcPr>
          <w:p>
            <w:pPr>
              <w:jc w:val="right"/>
              <w:ind w:right="280"/>
              <w:spacing w:after="0"/>
              <w:rPr>
                <w:sz w:val="20"/>
                <w:szCs w:val="20"/>
                <w:color w:val="auto"/>
              </w:rPr>
            </w:pPr>
            <w:r>
              <w:rPr>
                <w:rFonts w:ascii="Arial" w:cs="Arial" w:eastAsia="Arial" w:hAnsi="Arial"/>
                <w:sz w:val="12"/>
                <w:szCs w:val="12"/>
                <w:color w:val="auto"/>
              </w:rPr>
              <w:t>Exercise price</w:t>
            </w:r>
          </w:p>
        </w:tc>
        <w:tc>
          <w:tcPr>
            <w:tcW w:w="180" w:type="dxa"/>
            <w:vAlign w:val="bottom"/>
          </w:tcPr>
          <w:p>
            <w:pPr>
              <w:spacing w:after="0"/>
              <w:rPr>
                <w:sz w:val="12"/>
                <w:szCs w:val="12"/>
                <w:color w:val="auto"/>
              </w:rPr>
            </w:pPr>
          </w:p>
        </w:tc>
        <w:tc>
          <w:tcPr>
            <w:tcW w:w="2700" w:type="dxa"/>
            <w:vAlign w:val="bottom"/>
            <w:gridSpan w:val="4"/>
          </w:tcPr>
          <w:p>
            <w:pPr>
              <w:ind w:left="1020"/>
              <w:spacing w:after="0"/>
              <w:rPr>
                <w:sz w:val="20"/>
                <w:szCs w:val="20"/>
                <w:color w:val="auto"/>
              </w:rPr>
            </w:pPr>
            <w:r>
              <w:rPr>
                <w:rFonts w:ascii="Arial" w:cs="Arial" w:eastAsia="Arial" w:hAnsi="Arial"/>
                <w:sz w:val="12"/>
                <w:szCs w:val="12"/>
                <w:color w:val="auto"/>
              </w:rPr>
              <w:t>Grant Date</w:t>
            </w: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color w:val="auto"/>
                <w:w w:val="99"/>
              </w:rPr>
              <w:t>outstanding</w:t>
            </w:r>
          </w:p>
        </w:tc>
        <w:tc>
          <w:tcPr>
            <w:tcW w:w="1920" w:type="dxa"/>
            <w:vAlign w:val="bottom"/>
            <w:gridSpan w:val="2"/>
          </w:tcPr>
          <w:p>
            <w:pPr>
              <w:jc w:val="center"/>
              <w:ind w:right="80"/>
              <w:spacing w:after="0"/>
              <w:rPr>
                <w:sz w:val="20"/>
                <w:szCs w:val="20"/>
                <w:color w:val="auto"/>
              </w:rPr>
            </w:pPr>
            <w:r>
              <w:rPr>
                <w:rFonts w:ascii="Arial" w:cs="Arial" w:eastAsia="Arial" w:hAnsi="Arial"/>
                <w:sz w:val="12"/>
                <w:szCs w:val="12"/>
                <w:color w:val="auto"/>
              </w:rPr>
              <w:t>contractual life (in years)</w:t>
            </w:r>
          </w:p>
        </w:tc>
        <w:tc>
          <w:tcPr>
            <w:tcW w:w="1240" w:type="dxa"/>
            <w:vAlign w:val="bottom"/>
          </w:tcPr>
          <w:p>
            <w:pPr>
              <w:jc w:val="right"/>
              <w:ind w:right="260"/>
              <w:spacing w:after="0"/>
              <w:rPr>
                <w:sz w:val="20"/>
                <w:szCs w:val="20"/>
                <w:color w:val="auto"/>
              </w:rPr>
            </w:pPr>
            <w:r>
              <w:rPr>
                <w:rFonts w:ascii="Arial" w:cs="Arial" w:eastAsia="Arial" w:hAnsi="Arial"/>
                <w:sz w:val="12"/>
                <w:szCs w:val="12"/>
                <w:color w:val="auto"/>
              </w:rPr>
              <w:t>exercisable</w:t>
            </w:r>
          </w:p>
        </w:tc>
      </w:tr>
      <w:tr>
        <w:trPr>
          <w:trHeight w:val="112"/>
        </w:trPr>
        <w:tc>
          <w:tcPr>
            <w:tcW w:w="1440" w:type="dxa"/>
            <w:vAlign w:val="bottom"/>
            <w:tcBorders>
              <w:top w:val="single" w:sz="8" w:color="auto"/>
            </w:tcBorders>
          </w:tcPr>
          <w:p>
            <w:pPr>
              <w:jc w:val="right"/>
              <w:ind w:right="540"/>
              <w:spacing w:after="0" w:line="113" w:lineRule="exact"/>
              <w:rPr>
                <w:sz w:val="20"/>
                <w:szCs w:val="20"/>
                <w:color w:val="auto"/>
              </w:rPr>
            </w:pPr>
            <w:r>
              <w:rPr>
                <w:rFonts w:ascii="Arial" w:cs="Arial" w:eastAsia="Arial" w:hAnsi="Arial"/>
                <w:sz w:val="12"/>
                <w:szCs w:val="12"/>
                <w:color w:val="auto"/>
              </w:rPr>
              <w:t>DKK</w:t>
            </w:r>
          </w:p>
        </w:tc>
        <w:tc>
          <w:tcPr>
            <w:tcW w:w="18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815.50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17, 2016</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2,725</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0.21</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2,725</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962.00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7, 2018</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4,646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2.44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4,646</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1,025.00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w w:val="98"/>
              </w:rPr>
              <w:t>December 10, 2018</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109,918</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2.94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109,918</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1,032.00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w w:val="98"/>
              </w:rPr>
              <w:t>December 15,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63,230</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1.96</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63,230</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1,050.00</w:t>
            </w:r>
          </w:p>
        </w:tc>
        <w:tc>
          <w:tcPr>
            <w:tcW w:w="180" w:type="dxa"/>
            <w:vAlign w:val="bottom"/>
          </w:tcPr>
          <w:p>
            <w:pPr>
              <w:spacing w:after="0"/>
              <w:rPr>
                <w:sz w:val="11"/>
                <w:szCs w:val="11"/>
                <w:color w:val="auto"/>
              </w:rPr>
            </w:pPr>
          </w:p>
        </w:tc>
        <w:tc>
          <w:tcPr>
            <w:tcW w:w="2700" w:type="dxa"/>
            <w:vAlign w:val="bottom"/>
            <w:gridSpan w:val="4"/>
          </w:tcPr>
          <w:p>
            <w:pPr>
              <w:jc w:val="right"/>
              <w:ind w:right="120"/>
              <w:spacing w:after="0" w:line="136" w:lineRule="exact"/>
              <w:rPr>
                <w:sz w:val="20"/>
                <w:szCs w:val="20"/>
                <w:color w:val="auto"/>
              </w:rPr>
            </w:pPr>
            <w:r>
              <w:rPr>
                <w:rFonts w:ascii="Arial" w:cs="Arial" w:eastAsia="Arial" w:hAnsi="Arial"/>
                <w:sz w:val="12"/>
                <w:szCs w:val="12"/>
                <w:color w:val="auto"/>
              </w:rPr>
              <w:t>September 21, 2018</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14,024</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2.73</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14,024</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1,136.00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October 6, 2016</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2,695</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0.77</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2,695</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1,145.00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w w:val="98"/>
              </w:rPr>
              <w:t>December 15, 2016</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14,963</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0.96</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14,963</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1,147.50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6, 2019</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9,386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3.43</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9,386</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1,155.00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29, 2019</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5,509</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3.25</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5,509</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1,161.00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1, 2019</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10,128</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3.17</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10,128</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1,210.00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April 10, 2018</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7,090</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2.28</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7,090</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1,233.00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9, 2016</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3,681</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0.44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3,681</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1,334.50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October 11, 2019</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32,150</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3.78</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32,150</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1,362.50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26, 2020</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30,938</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4.24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1,402.00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28,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6,837</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6,837</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1,408.00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8,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954</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1.44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954</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1,424.00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February 10,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408</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1.11</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408</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1,427.00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29,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8,400</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1.25</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8,400</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1,432.00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October 5, 2017</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1,994</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1.76</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1,994</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1,615.00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December 5, 2019</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135,441</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3.93</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135,441</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1,948.00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3, 2020</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12,961</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4.43</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2,070.00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February 26,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90,968</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5.16</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2,103.00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9, 2022</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22,221</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6.44</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2,129.00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January 25, 2022</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15,986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6.07</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2,148.00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April 13,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15,097</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5.29</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2,175.00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February 25, 2022</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166,286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6.15</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2,317.00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October 7, 2020</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34,109</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4.77</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2,381.00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w w:val="98"/>
              </w:rPr>
              <w:t>December 15, 2020</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22,983</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4.96</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2,408.00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March 29, 2022</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13,459</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6.25</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2,492.00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January 28,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10,053</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5.08</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2,585.00</w:t>
            </w:r>
          </w:p>
        </w:tc>
        <w:tc>
          <w:tcPr>
            <w:tcW w:w="180" w:type="dxa"/>
            <w:vAlign w:val="bottom"/>
          </w:tcPr>
          <w:p>
            <w:pPr>
              <w:spacing w:after="0"/>
              <w:rPr>
                <w:sz w:val="11"/>
                <w:szCs w:val="11"/>
                <w:color w:val="auto"/>
              </w:rPr>
            </w:pPr>
          </w:p>
        </w:tc>
        <w:tc>
          <w:tcPr>
            <w:tcW w:w="2700" w:type="dxa"/>
            <w:vAlign w:val="bottom"/>
            <w:gridSpan w:val="4"/>
          </w:tcPr>
          <w:p>
            <w:pPr>
              <w:jc w:val="right"/>
              <w:ind w:right="120"/>
              <w:spacing w:after="0" w:line="136" w:lineRule="exact"/>
              <w:rPr>
                <w:sz w:val="20"/>
                <w:szCs w:val="20"/>
                <w:color w:val="auto"/>
              </w:rPr>
            </w:pPr>
            <w:r>
              <w:rPr>
                <w:rFonts w:ascii="Arial" w:cs="Arial" w:eastAsia="Arial" w:hAnsi="Arial"/>
                <w:sz w:val="12"/>
                <w:szCs w:val="12"/>
                <w:color w:val="auto"/>
              </w:rPr>
              <w:t>September 20, 2022</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19,644</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6.72</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2,641.00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w w:val="98"/>
              </w:rPr>
              <w:t>November 22,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6,456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5.89</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2,698.00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June 22,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14,216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5.48</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2,806.00</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auto"/>
              </w:rPr>
              <w:t>October 7, 2021</w:t>
            </w:r>
          </w:p>
        </w:tc>
        <w:tc>
          <w:tcPr>
            <w:tcW w:w="1360" w:type="dxa"/>
            <w:vAlign w:val="bottom"/>
          </w:tcPr>
          <w:p>
            <w:pPr>
              <w:jc w:val="right"/>
              <w:spacing w:after="0" w:line="136" w:lineRule="exact"/>
              <w:rPr>
                <w:sz w:val="20"/>
                <w:szCs w:val="20"/>
                <w:color w:val="auto"/>
              </w:rPr>
            </w:pPr>
            <w:r>
              <w:rPr>
                <w:rFonts w:ascii="Arial" w:cs="Arial" w:eastAsia="Arial" w:hAnsi="Arial"/>
                <w:sz w:val="12"/>
                <w:szCs w:val="12"/>
                <w:color w:val="auto"/>
              </w:rPr>
              <w:t>19,476</w:t>
            </w:r>
          </w:p>
        </w:tc>
        <w:tc>
          <w:tcPr>
            <w:tcW w:w="120" w:type="dxa"/>
            <w:vAlign w:val="bottom"/>
          </w:tcPr>
          <w:p>
            <w:pPr>
              <w:spacing w:after="0"/>
              <w:rPr>
                <w:sz w:val="11"/>
                <w:szCs w:val="11"/>
                <w:color w:val="auto"/>
              </w:rPr>
            </w:pPr>
          </w:p>
        </w:tc>
        <w:tc>
          <w:tcPr>
            <w:tcW w:w="1840" w:type="dxa"/>
            <w:vAlign w:val="bottom"/>
          </w:tcPr>
          <w:p>
            <w:pPr>
              <w:jc w:val="right"/>
              <w:spacing w:after="0" w:line="136" w:lineRule="exact"/>
              <w:rPr>
                <w:sz w:val="20"/>
                <w:szCs w:val="20"/>
                <w:color w:val="auto"/>
              </w:rPr>
            </w:pPr>
            <w:r>
              <w:rPr>
                <w:rFonts w:ascii="Arial" w:cs="Arial" w:eastAsia="Arial" w:hAnsi="Arial"/>
                <w:sz w:val="12"/>
                <w:szCs w:val="12"/>
                <w:color w:val="auto"/>
              </w:rPr>
              <w:t>5.77</w:t>
            </w:r>
          </w:p>
        </w:tc>
        <w:tc>
          <w:tcPr>
            <w:tcW w:w="8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59"/>
        </w:trPr>
        <w:tc>
          <w:tcPr>
            <w:tcW w:w="1440" w:type="dxa"/>
            <w:vAlign w:val="bottom"/>
          </w:tcPr>
          <w:p>
            <w:pPr>
              <w:jc w:val="right"/>
              <w:spacing w:after="0"/>
              <w:rPr>
                <w:sz w:val="20"/>
                <w:szCs w:val="20"/>
                <w:color w:val="auto"/>
              </w:rPr>
            </w:pPr>
            <w:r>
              <w:rPr>
                <w:rFonts w:ascii="Arial" w:cs="Arial" w:eastAsia="Arial" w:hAnsi="Arial"/>
                <w:sz w:val="12"/>
                <w:szCs w:val="12"/>
                <w:color w:val="auto"/>
              </w:rPr>
              <w:t>3,172.00</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w w:val="98"/>
              </w:rPr>
              <w:t>November 21, 2022</w:t>
            </w:r>
          </w:p>
        </w:tc>
        <w:tc>
          <w:tcPr>
            <w:tcW w:w="1360" w:type="dxa"/>
            <w:vAlign w:val="bottom"/>
          </w:tcPr>
          <w:p>
            <w:pPr>
              <w:jc w:val="right"/>
              <w:spacing w:after="0"/>
              <w:rPr>
                <w:sz w:val="20"/>
                <w:szCs w:val="20"/>
                <w:color w:val="auto"/>
              </w:rPr>
            </w:pPr>
            <w:r>
              <w:rPr>
                <w:rFonts w:ascii="Arial" w:cs="Arial" w:eastAsia="Arial" w:hAnsi="Arial"/>
                <w:sz w:val="12"/>
                <w:szCs w:val="12"/>
                <w:color w:val="auto"/>
              </w:rPr>
              <w:t>8,936</w:t>
            </w:r>
          </w:p>
        </w:tc>
        <w:tc>
          <w:tcPr>
            <w:tcW w:w="1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6.89</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1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125"/>
        </w:trPr>
        <w:tc>
          <w:tcPr>
            <w:tcW w:w="14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1,770.31</w:t>
            </w: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937,968</w:t>
            </w:r>
          </w:p>
        </w:tc>
        <w:tc>
          <w:tcPr>
            <w:tcW w:w="120" w:type="dxa"/>
            <w:vAlign w:val="bottom"/>
          </w:tcPr>
          <w:p>
            <w:pPr>
              <w:spacing w:after="0"/>
              <w:rPr>
                <w:sz w:val="10"/>
                <w:szCs w:val="10"/>
                <w:color w:val="auto"/>
              </w:rPr>
            </w:pPr>
          </w:p>
        </w:tc>
        <w:tc>
          <w:tcPr>
            <w:tcW w:w="18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4.40</w:t>
            </w:r>
          </w:p>
        </w:tc>
        <w:tc>
          <w:tcPr>
            <w:tcW w:w="80" w:type="dxa"/>
            <w:vAlign w:val="bottom"/>
          </w:tcPr>
          <w:p>
            <w:pPr>
              <w:spacing w:after="0"/>
              <w:rPr>
                <w:sz w:val="10"/>
                <w:szCs w:val="10"/>
                <w:color w:val="auto"/>
              </w:rPr>
            </w:pPr>
          </w:p>
        </w:tc>
        <w:tc>
          <w:tcPr>
            <w:tcW w:w="12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434,179</w:t>
            </w:r>
          </w:p>
        </w:tc>
      </w:tr>
      <w:tr>
        <w:trPr>
          <w:trHeight w:val="432"/>
        </w:trPr>
        <w:tc>
          <w:tcPr>
            <w:tcW w:w="4320" w:type="dxa"/>
            <w:vAlign w:val="bottom"/>
            <w:gridSpan w:val="6"/>
          </w:tcPr>
          <w:p>
            <w:pPr>
              <w:spacing w:after="0"/>
              <w:rPr>
                <w:sz w:val="20"/>
                <w:szCs w:val="20"/>
                <w:color w:val="auto"/>
              </w:rPr>
            </w:pPr>
            <w:r>
              <w:rPr>
                <w:rFonts w:ascii="Arial" w:cs="Arial" w:eastAsia="Arial" w:hAnsi="Arial"/>
                <w:sz w:val="12"/>
                <w:szCs w:val="12"/>
                <w:b w:val="1"/>
                <w:bCs w:val="1"/>
                <w:color w:val="auto"/>
              </w:rPr>
              <w:t>Weighted Average Outstanding Warrants at December 31, 2021</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8"/>
        </w:trPr>
        <w:tc>
          <w:tcPr>
            <w:tcW w:w="1440" w:type="dxa"/>
            <w:vAlign w:val="bottom"/>
          </w:tcPr>
          <w:p>
            <w:pPr>
              <w:spacing w:after="0"/>
              <w:rPr>
                <w:sz w:val="20"/>
                <w:szCs w:val="20"/>
                <w:color w:val="auto"/>
              </w:rPr>
            </w:pPr>
            <w:r>
              <w:rPr>
                <w:rFonts w:ascii="Arial" w:cs="Arial" w:eastAsia="Arial" w:hAnsi="Arial"/>
                <w:sz w:val="10"/>
                <w:szCs w:val="10"/>
                <w:color w:val="auto"/>
              </w:rPr>
              <w:t>Genmab A/S</w:t>
            </w:r>
          </w:p>
        </w:tc>
        <w:tc>
          <w:tcPr>
            <w:tcW w:w="180" w:type="dxa"/>
            <w:vAlign w:val="bottom"/>
          </w:tcPr>
          <w:p>
            <w:pPr>
              <w:spacing w:after="0"/>
              <w:rPr>
                <w:sz w:val="24"/>
                <w:szCs w:val="24"/>
                <w:color w:val="auto"/>
              </w:rPr>
            </w:pPr>
          </w:p>
        </w:tc>
        <w:tc>
          <w:tcPr>
            <w:tcW w:w="2700" w:type="dxa"/>
            <w:vAlign w:val="bottom"/>
            <w:gridSpan w:val="4"/>
          </w:tcPr>
          <w:p>
            <w:pPr>
              <w:ind w:left="1520"/>
              <w:spacing w:after="0"/>
              <w:rPr>
                <w:sz w:val="20"/>
                <w:szCs w:val="20"/>
                <w:color w:val="auto"/>
              </w:rPr>
            </w:pPr>
            <w:r>
              <w:rPr>
                <w:rFonts w:ascii="Arial" w:cs="Arial" w:eastAsia="Arial" w:hAnsi="Arial"/>
                <w:sz w:val="10"/>
                <w:szCs w:val="10"/>
                <w:color w:val="auto"/>
              </w:rPr>
              <w:t>Tel: +45 7020 2728</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3"/>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14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right"/>
              <w:spacing w:after="0" w:line="109" w:lineRule="exact"/>
              <w:rPr>
                <w:sz w:val="20"/>
                <w:szCs w:val="20"/>
                <w:color w:val="auto"/>
              </w:rPr>
            </w:pPr>
            <w:r>
              <w:rPr>
                <w:rFonts w:ascii="Arial" w:cs="Arial" w:eastAsia="Arial" w:hAnsi="Arial"/>
                <w:sz w:val="10"/>
                <w:szCs w:val="10"/>
                <w:color w:val="auto"/>
              </w:rPr>
              <w:t>Page 116/158</w:t>
            </w:r>
          </w:p>
        </w:tc>
      </w:tr>
      <w:tr>
        <w:trPr>
          <w:trHeight w:val="105"/>
        </w:trPr>
        <w:tc>
          <w:tcPr>
            <w:tcW w:w="14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80" w:type="dxa"/>
            <w:vAlign w:val="bottom"/>
          </w:tcPr>
          <w:p>
            <w:pPr>
              <w:spacing w:after="0"/>
              <w:rPr>
                <w:sz w:val="9"/>
                <w:szCs w:val="9"/>
                <w:color w:val="auto"/>
              </w:rPr>
            </w:pPr>
          </w:p>
        </w:tc>
        <w:tc>
          <w:tcPr>
            <w:tcW w:w="2700" w:type="dxa"/>
            <w:vAlign w:val="bottom"/>
            <w:gridSpan w:val="4"/>
          </w:tcPr>
          <w:p>
            <w:pPr>
              <w:ind w:left="1520"/>
              <w:spacing w:after="0" w:line="105" w:lineRule="exact"/>
              <w:rPr>
                <w:sz w:val="20"/>
                <w:szCs w:val="20"/>
                <w:color w:val="auto"/>
              </w:rPr>
            </w:pPr>
            <w:r>
              <w:rPr>
                <w:rFonts w:ascii="Arial" w:cs="Arial" w:eastAsia="Arial" w:hAnsi="Arial"/>
                <w:sz w:val="10"/>
                <w:szCs w:val="10"/>
                <w:color w:val="0000FF"/>
              </w:rPr>
              <w:t>www.genmab.com</w:t>
            </w: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19" w:name="page120"/>
    <w:bookmarkEnd w:id="11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2"/>
                <w:szCs w:val="12"/>
                <w:color w:val="auto"/>
              </w:rPr>
              <w:t>Weighted average</w:t>
            </w:r>
          </w:p>
        </w:tc>
        <w:tc>
          <w:tcPr>
            <w:tcW w:w="1480" w:type="dxa"/>
            <w:vAlign w:val="bottom"/>
          </w:tcPr>
          <w:p>
            <w:pPr>
              <w:spacing w:after="0"/>
              <w:rPr>
                <w:sz w:val="12"/>
                <w:szCs w:val="12"/>
                <w:color w:val="auto"/>
              </w:rPr>
            </w:pPr>
          </w:p>
        </w:tc>
      </w:tr>
      <w:tr>
        <w:trPr>
          <w:trHeight w:val="136"/>
        </w:trPr>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right="220"/>
              <w:spacing w:after="0" w:line="136" w:lineRule="exact"/>
              <w:rPr>
                <w:sz w:val="20"/>
                <w:szCs w:val="20"/>
                <w:color w:val="auto"/>
              </w:rPr>
            </w:pPr>
            <w:r>
              <w:rPr>
                <w:rFonts w:ascii="Arial" w:cs="Arial" w:eastAsia="Arial" w:hAnsi="Arial"/>
                <w:sz w:val="12"/>
                <w:szCs w:val="12"/>
                <w:color w:val="auto"/>
              </w:rPr>
              <w:t>Number of warrants</w:t>
            </w:r>
          </w:p>
        </w:tc>
        <w:tc>
          <w:tcPr>
            <w:tcW w:w="1660" w:type="dxa"/>
            <w:vAlign w:val="bottom"/>
            <w:gridSpan w:val="2"/>
          </w:tcPr>
          <w:p>
            <w:pPr>
              <w:jc w:val="center"/>
              <w:ind w:right="200"/>
              <w:spacing w:after="0" w:line="136" w:lineRule="exact"/>
              <w:rPr>
                <w:sz w:val="20"/>
                <w:szCs w:val="20"/>
                <w:color w:val="auto"/>
              </w:rPr>
            </w:pPr>
            <w:r>
              <w:rPr>
                <w:rFonts w:ascii="Arial" w:cs="Arial" w:eastAsia="Arial" w:hAnsi="Arial"/>
                <w:sz w:val="12"/>
                <w:szCs w:val="12"/>
                <w:color w:val="auto"/>
              </w:rPr>
              <w:t>remaining contractual life</w:t>
            </w:r>
          </w:p>
        </w:tc>
        <w:tc>
          <w:tcPr>
            <w:tcW w:w="1480" w:type="dxa"/>
            <w:vAlign w:val="bottom"/>
          </w:tcPr>
          <w:p>
            <w:pPr>
              <w:jc w:val="right"/>
              <w:ind w:right="140"/>
              <w:spacing w:after="0" w:line="136" w:lineRule="exact"/>
              <w:rPr>
                <w:sz w:val="20"/>
                <w:szCs w:val="20"/>
                <w:color w:val="auto"/>
              </w:rPr>
            </w:pPr>
            <w:r>
              <w:rPr>
                <w:rFonts w:ascii="Arial" w:cs="Arial" w:eastAsia="Arial" w:hAnsi="Arial"/>
                <w:sz w:val="12"/>
                <w:szCs w:val="12"/>
                <w:color w:val="auto"/>
              </w:rPr>
              <w:t>Number of warrants</w:t>
            </w:r>
          </w:p>
        </w:tc>
      </w:tr>
      <w:tr>
        <w:trPr>
          <w:trHeight w:val="149"/>
        </w:trPr>
        <w:tc>
          <w:tcPr>
            <w:tcW w:w="1480" w:type="dxa"/>
            <w:vAlign w:val="bottom"/>
          </w:tcPr>
          <w:p>
            <w:pPr>
              <w:jc w:val="right"/>
              <w:ind w:right="300"/>
              <w:spacing w:after="0"/>
              <w:rPr>
                <w:sz w:val="20"/>
                <w:szCs w:val="20"/>
                <w:color w:val="auto"/>
              </w:rPr>
            </w:pPr>
            <w:r>
              <w:rPr>
                <w:rFonts w:ascii="Arial" w:cs="Arial" w:eastAsia="Arial" w:hAnsi="Arial"/>
                <w:sz w:val="12"/>
                <w:szCs w:val="12"/>
                <w:color w:val="auto"/>
              </w:rPr>
              <w:t>Exercise price</w:t>
            </w:r>
          </w:p>
        </w:tc>
        <w:tc>
          <w:tcPr>
            <w:tcW w:w="200" w:type="dxa"/>
            <w:vAlign w:val="bottom"/>
          </w:tcPr>
          <w:p>
            <w:pPr>
              <w:spacing w:after="0"/>
              <w:rPr>
                <w:sz w:val="12"/>
                <w:szCs w:val="12"/>
                <w:color w:val="auto"/>
              </w:rPr>
            </w:pPr>
          </w:p>
        </w:tc>
        <w:tc>
          <w:tcPr>
            <w:tcW w:w="2460" w:type="dxa"/>
            <w:vAlign w:val="bottom"/>
            <w:gridSpan w:val="2"/>
          </w:tcPr>
          <w:p>
            <w:pPr>
              <w:ind w:left="820"/>
              <w:spacing w:after="0"/>
              <w:rPr>
                <w:sz w:val="20"/>
                <w:szCs w:val="20"/>
                <w:color w:val="auto"/>
              </w:rPr>
            </w:pPr>
            <w:r>
              <w:rPr>
                <w:rFonts w:ascii="Arial" w:cs="Arial" w:eastAsia="Arial" w:hAnsi="Arial"/>
                <w:sz w:val="12"/>
                <w:szCs w:val="12"/>
                <w:color w:val="auto"/>
              </w:rPr>
              <w:t>Grant Date</w:t>
            </w:r>
          </w:p>
        </w:tc>
        <w:tc>
          <w:tcPr>
            <w:tcW w:w="168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outstanding</w:t>
            </w:r>
          </w:p>
        </w:tc>
        <w:tc>
          <w:tcPr>
            <w:tcW w:w="166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(in years)</w:t>
            </w:r>
          </w:p>
        </w:tc>
        <w:tc>
          <w:tcPr>
            <w:tcW w:w="1480" w:type="dxa"/>
            <w:vAlign w:val="bottom"/>
          </w:tcPr>
          <w:p>
            <w:pPr>
              <w:jc w:val="right"/>
              <w:ind w:right="380"/>
              <w:spacing w:after="0"/>
              <w:rPr>
                <w:sz w:val="20"/>
                <w:szCs w:val="20"/>
                <w:color w:val="auto"/>
              </w:rPr>
            </w:pPr>
            <w:r>
              <w:rPr>
                <w:rFonts w:ascii="Arial" w:cs="Arial" w:eastAsia="Arial" w:hAnsi="Arial"/>
                <w:sz w:val="12"/>
                <w:szCs w:val="12"/>
                <w:color w:val="auto"/>
              </w:rPr>
              <w:t>exercisable</w:t>
            </w:r>
          </w:p>
        </w:tc>
      </w:tr>
      <w:tr>
        <w:trPr>
          <w:trHeight w:val="112"/>
        </w:trPr>
        <w:tc>
          <w:tcPr>
            <w:tcW w:w="1480" w:type="dxa"/>
            <w:vAlign w:val="bottom"/>
            <w:tcBorders>
              <w:top w:val="single" w:sz="8" w:color="auto"/>
            </w:tcBorders>
          </w:tcPr>
          <w:p>
            <w:pPr>
              <w:jc w:val="right"/>
              <w:ind w:right="560"/>
              <w:spacing w:after="0" w:line="113" w:lineRule="exact"/>
              <w:rPr>
                <w:sz w:val="20"/>
                <w:szCs w:val="20"/>
                <w:color w:val="auto"/>
              </w:rPr>
            </w:pPr>
            <w:r>
              <w:rPr>
                <w:rFonts w:ascii="Arial" w:cs="Arial" w:eastAsia="Arial" w:hAnsi="Arial"/>
                <w:sz w:val="12"/>
                <w:szCs w:val="12"/>
                <w:color w:val="auto"/>
              </w:rPr>
              <w:t>DKK</w:t>
            </w:r>
          </w:p>
        </w:tc>
        <w:tc>
          <w:tcPr>
            <w:tcW w:w="200" w:type="dxa"/>
            <w:vAlign w:val="bottom"/>
          </w:tcPr>
          <w:p>
            <w:pPr>
              <w:spacing w:after="0"/>
              <w:rPr>
                <w:sz w:val="9"/>
                <w:szCs w:val="9"/>
                <w:color w:val="auto"/>
              </w:rPr>
            </w:pPr>
          </w:p>
        </w:tc>
        <w:tc>
          <w:tcPr>
            <w:tcW w:w="22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466.20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26, 2015</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600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0.24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600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623.50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11, 2015</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650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0.45</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650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636.50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October 7, 2015</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7,700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0.77</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7,700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815.50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17, 2016</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5,301</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1.21</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5,301</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939.50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10, 2015</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20,612</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0.94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20,612</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962.00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7, 2018</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6,527</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3.44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6,527</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1,025.00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10, 2018</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169,565</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3.94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169,565</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1,032.00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15,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79,771</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2.96</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79,771</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1,050.00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September 21, 2018</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16,806</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3.73</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16,806</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1,136.00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October 6, 2016</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10,424</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1.77</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10,424</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1,145.00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15, 2016</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53,374</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1.96</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53,374</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1,147.50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6, 2019</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17,209</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4.43</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1,155.00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29, 2019</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7,662</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4.25</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1,161.00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1, 2019</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19,028</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4.17</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1,210.00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April 10, 2018</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10,189</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3.28</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10,189</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1,233.00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9, 2016</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9,030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1.44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9,030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1,334.50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October 11, 2019</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52,223</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4.78</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1,362.50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26, 2020</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32,054</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5.24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1,402.00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28,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7,110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2.24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7,110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1,408.00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8,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1,274</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2.44</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1,274</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1,424.00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February 10,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946</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2.11</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946</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1,427.00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March 29,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8,400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2.25</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8,400</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1,432.00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October 5, 2017</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3,445</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2.76</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3,445</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1,615.00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5, 2019</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183,240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4.93</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1,948.00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3, 2020</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14,898</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5.43</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2,070.00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February 26, 2021</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96,840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6.16</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2,148.00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April 13, 2021</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16,880</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6.29</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2,317.00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October 7, 2020</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36,949</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5.77</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2,381.00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December 15, 2020</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23,761</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5.96</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2,492.00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January 28, 2021</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12,329</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6.08</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2,641.00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November 22, 2021</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6,879</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6.89</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2,698.00</w:t>
            </w:r>
          </w:p>
        </w:tc>
        <w:tc>
          <w:tcPr>
            <w:tcW w:w="200" w:type="dxa"/>
            <w:vAlign w:val="bottom"/>
          </w:tcPr>
          <w:p>
            <w:pPr>
              <w:spacing w:after="0"/>
              <w:rPr>
                <w:sz w:val="11"/>
                <w:szCs w:val="11"/>
                <w:color w:val="auto"/>
              </w:rPr>
            </w:pPr>
          </w:p>
        </w:tc>
        <w:tc>
          <w:tcPr>
            <w:tcW w:w="2460" w:type="dxa"/>
            <w:vAlign w:val="bottom"/>
            <w:gridSpan w:val="2"/>
          </w:tcPr>
          <w:p>
            <w:pPr>
              <w:spacing w:after="0" w:line="136" w:lineRule="exact"/>
              <w:rPr>
                <w:sz w:val="20"/>
                <w:szCs w:val="20"/>
                <w:color w:val="auto"/>
              </w:rPr>
            </w:pPr>
            <w:r>
              <w:rPr>
                <w:rFonts w:ascii="Arial" w:cs="Arial" w:eastAsia="Arial" w:hAnsi="Arial"/>
                <w:sz w:val="12"/>
                <w:szCs w:val="12"/>
                <w:color w:val="auto"/>
              </w:rPr>
              <w:t>June 22, 2021</w:t>
            </w: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15,261</w:t>
            </w:r>
          </w:p>
        </w:tc>
        <w:tc>
          <w:tcPr>
            <w:tcW w:w="220" w:type="dxa"/>
            <w:vAlign w:val="bottom"/>
          </w:tcPr>
          <w:p>
            <w:pPr>
              <w:spacing w:after="0"/>
              <w:rPr>
                <w:sz w:val="11"/>
                <w:szCs w:val="11"/>
                <w:color w:val="auto"/>
              </w:rPr>
            </w:pPr>
          </w:p>
        </w:tc>
        <w:tc>
          <w:tcPr>
            <w:tcW w:w="1460" w:type="dxa"/>
            <w:vAlign w:val="bottom"/>
          </w:tcPr>
          <w:p>
            <w:pPr>
              <w:jc w:val="right"/>
              <w:spacing w:after="0" w:line="136" w:lineRule="exact"/>
              <w:rPr>
                <w:sz w:val="20"/>
                <w:szCs w:val="20"/>
                <w:color w:val="auto"/>
              </w:rPr>
            </w:pPr>
            <w:r>
              <w:rPr>
                <w:rFonts w:ascii="Arial" w:cs="Arial" w:eastAsia="Arial" w:hAnsi="Arial"/>
                <w:sz w:val="12"/>
                <w:szCs w:val="12"/>
                <w:color w:val="auto"/>
              </w:rPr>
              <w:t>6.48</w:t>
            </w:r>
          </w:p>
        </w:tc>
        <w:tc>
          <w:tcPr>
            <w:tcW w:w="20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59"/>
        </w:trPr>
        <w:tc>
          <w:tcPr>
            <w:tcW w:w="1480" w:type="dxa"/>
            <w:vAlign w:val="bottom"/>
          </w:tcPr>
          <w:p>
            <w:pPr>
              <w:jc w:val="right"/>
              <w:spacing w:after="0"/>
              <w:rPr>
                <w:sz w:val="20"/>
                <w:szCs w:val="20"/>
                <w:color w:val="auto"/>
              </w:rPr>
            </w:pPr>
            <w:r>
              <w:rPr>
                <w:rFonts w:ascii="Arial" w:cs="Arial" w:eastAsia="Arial" w:hAnsi="Arial"/>
                <w:sz w:val="12"/>
                <w:szCs w:val="12"/>
                <w:color w:val="auto"/>
              </w:rPr>
              <w:t>2,806.00</w:t>
            </w:r>
          </w:p>
        </w:tc>
        <w:tc>
          <w:tcPr>
            <w:tcW w:w="200" w:type="dxa"/>
            <w:vAlign w:val="bottom"/>
          </w:tcPr>
          <w:p>
            <w:pPr>
              <w:spacing w:after="0"/>
              <w:rPr>
                <w:sz w:val="13"/>
                <w:szCs w:val="13"/>
                <w:color w:val="auto"/>
              </w:rPr>
            </w:pPr>
          </w:p>
        </w:tc>
        <w:tc>
          <w:tcPr>
            <w:tcW w:w="2460" w:type="dxa"/>
            <w:vAlign w:val="bottom"/>
            <w:gridSpan w:val="2"/>
          </w:tcPr>
          <w:p>
            <w:pPr>
              <w:spacing w:after="0"/>
              <w:rPr>
                <w:sz w:val="20"/>
                <w:szCs w:val="20"/>
                <w:color w:val="auto"/>
              </w:rPr>
            </w:pPr>
            <w:r>
              <w:rPr>
                <w:rFonts w:ascii="Arial" w:cs="Arial" w:eastAsia="Arial" w:hAnsi="Arial"/>
                <w:sz w:val="12"/>
                <w:szCs w:val="12"/>
                <w:color w:val="auto"/>
              </w:rPr>
              <w:t>October 7, 2021</w:t>
            </w:r>
          </w:p>
        </w:tc>
        <w:tc>
          <w:tcPr>
            <w:tcW w:w="1460" w:type="dxa"/>
            <w:vAlign w:val="bottom"/>
          </w:tcPr>
          <w:p>
            <w:pPr>
              <w:jc w:val="right"/>
              <w:spacing w:after="0"/>
              <w:rPr>
                <w:sz w:val="20"/>
                <w:szCs w:val="20"/>
                <w:color w:val="auto"/>
              </w:rPr>
            </w:pPr>
            <w:r>
              <w:rPr>
                <w:rFonts w:ascii="Arial" w:cs="Arial" w:eastAsia="Arial" w:hAnsi="Arial"/>
                <w:sz w:val="12"/>
                <w:szCs w:val="12"/>
                <w:color w:val="auto"/>
              </w:rPr>
              <w:t>21,514</w:t>
            </w:r>
          </w:p>
        </w:tc>
        <w:tc>
          <w:tcPr>
            <w:tcW w:w="2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6.77</w:t>
            </w:r>
          </w:p>
        </w:tc>
        <w:tc>
          <w:tcPr>
            <w:tcW w:w="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1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125"/>
        </w:trPr>
        <w:tc>
          <w:tcPr>
            <w:tcW w:w="1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1,501.49</w:t>
            </w: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968,451</w:t>
            </w:r>
          </w:p>
        </w:tc>
        <w:tc>
          <w:tcPr>
            <w:tcW w:w="220" w:type="dxa"/>
            <w:vAlign w:val="bottom"/>
          </w:tcPr>
          <w:p>
            <w:pPr>
              <w:spacing w:after="0"/>
              <w:rPr>
                <w:sz w:val="10"/>
                <w:szCs w:val="10"/>
                <w:color w:val="auto"/>
              </w:rPr>
            </w:pPr>
          </w:p>
        </w:tc>
        <w:tc>
          <w:tcPr>
            <w:tcW w:w="1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4.39</w:t>
            </w:r>
          </w:p>
        </w:tc>
        <w:tc>
          <w:tcPr>
            <w:tcW w:w="200" w:type="dxa"/>
            <w:vAlign w:val="bottom"/>
          </w:tcPr>
          <w:p>
            <w:pPr>
              <w:spacing w:after="0"/>
              <w:rPr>
                <w:sz w:val="10"/>
                <w:szCs w:val="10"/>
                <w:color w:val="auto"/>
              </w:rPr>
            </w:pPr>
          </w:p>
        </w:tc>
        <w:tc>
          <w:tcPr>
            <w:tcW w:w="1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411,724</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SHARE-BASED COMPENSATION EXPENSES</w:t>
      </w:r>
    </w:p>
    <w:p>
      <w:pPr>
        <w:spacing w:after="0" w:line="10" w:lineRule="exact"/>
        <w:rPr>
          <w:sz w:val="20"/>
          <w:szCs w:val="20"/>
          <w:color w:val="auto"/>
        </w:rPr>
      </w:pPr>
    </w:p>
    <w:p>
      <w:pPr>
        <w:ind w:left="20" w:right="139"/>
        <w:spacing w:after="0" w:line="244" w:lineRule="auto"/>
        <w:rPr>
          <w:sz w:val="20"/>
          <w:szCs w:val="20"/>
          <w:color w:val="auto"/>
        </w:rPr>
      </w:pPr>
      <w:r>
        <w:rPr>
          <w:rFonts w:ascii="Arial" w:cs="Arial" w:eastAsia="Arial" w:hAnsi="Arial"/>
          <w:sz w:val="12"/>
          <w:szCs w:val="12"/>
          <w:color w:val="auto"/>
        </w:rPr>
        <w:t>Share-based compensation expense is recognized in the income statement based on the estimated fair value of the awards at grant date. Subsequently, the fair value is not remeasured. The expense recognized reflects an estimate of the number of awards expected to vest after taking into consideration an estimate of award forfeitures based on historical experience and is recognized on a straight-line basis over the requisite service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0" w:name="page121"/>
    <w:bookmarkEnd w:id="12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period, which is the vesting period. Genmab reassesses its estimate of the number of shares expected to vest periodically.</w:t>
      </w:r>
    </w:p>
    <w:p>
      <w:pPr>
        <w:spacing w:after="0" w:line="134" w:lineRule="exact"/>
        <w:rPr>
          <w:sz w:val="20"/>
          <w:szCs w:val="20"/>
          <w:color w:val="auto"/>
        </w:rPr>
      </w:pPr>
    </w:p>
    <w:p>
      <w:pPr>
        <w:ind w:left="20" w:right="159"/>
        <w:spacing w:after="0" w:line="245" w:lineRule="auto"/>
        <w:rPr>
          <w:sz w:val="20"/>
          <w:szCs w:val="20"/>
          <w:color w:val="auto"/>
        </w:rPr>
      </w:pPr>
      <w:r>
        <w:rPr>
          <w:rFonts w:ascii="Arial" w:cs="Arial" w:eastAsia="Arial" w:hAnsi="Arial"/>
          <w:sz w:val="12"/>
          <w:szCs w:val="12"/>
          <w:color w:val="auto"/>
        </w:rPr>
        <w:t>Management expectations related to the achievement of performance goals associated with performance based RSU grants is assessed periodically, and that assessment is used to determine whether such grants are expected to vest or if any revision to the current estimate is required. Genmab recognizes the impact of the revised estimate of the number of awards expected to vest, if any, as an adjustment to the income statement over the remaining vesting period. If performance-based milestones related to performance-based RSU grants are not met or not expected to be met, any share-based compensation expense recognized to date associated with grants that are not expected to vest will be reversed.</w:t>
      </w:r>
    </w:p>
    <w:p>
      <w:pPr>
        <w:spacing w:after="0" w:line="111" w:lineRule="exact"/>
        <w:rPr>
          <w:sz w:val="20"/>
          <w:szCs w:val="20"/>
          <w:color w:val="auto"/>
        </w:rPr>
      </w:pPr>
    </w:p>
    <w:p>
      <w:pPr>
        <w:ind w:left="20" w:right="279"/>
        <w:spacing w:after="0" w:line="255" w:lineRule="auto"/>
        <w:rPr>
          <w:sz w:val="20"/>
          <w:szCs w:val="20"/>
          <w:color w:val="auto"/>
        </w:rPr>
      </w:pPr>
      <w:r>
        <w:rPr>
          <w:rFonts w:ascii="Arial" w:cs="Arial" w:eastAsia="Arial" w:hAnsi="Arial"/>
          <w:sz w:val="12"/>
          <w:szCs w:val="12"/>
          <w:color w:val="auto"/>
        </w:rPr>
        <w:t>Share-based compensation expenses represent calculated values of warrants, RSUs and performance-based RSUs granted and do not represent actual cash expenditures. A corresponding amount is recognized in shareholders’ equity as the warrant, RSU and performance-based RSU programs are designated as equity-settled share-based payment transactions.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MANAGEMENT’S JUDGEMENTS AND ESTIMATES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SHARE-BASED COMPENSATION EXPENSES</w:t>
      </w:r>
    </w:p>
    <w:p>
      <w:pPr>
        <w:spacing w:after="0" w:line="10" w:lineRule="exact"/>
        <w:rPr>
          <w:sz w:val="20"/>
          <w:szCs w:val="20"/>
          <w:color w:val="auto"/>
        </w:rPr>
      </w:pPr>
    </w:p>
    <w:p>
      <w:pPr>
        <w:ind w:left="20" w:right="619"/>
        <w:spacing w:after="0" w:line="252" w:lineRule="auto"/>
        <w:rPr>
          <w:sz w:val="20"/>
          <w:szCs w:val="20"/>
          <w:color w:val="auto"/>
        </w:rPr>
      </w:pPr>
      <w:r>
        <w:rPr>
          <w:rFonts w:ascii="Arial" w:cs="Arial" w:eastAsia="Arial" w:hAnsi="Arial"/>
          <w:sz w:val="12"/>
          <w:szCs w:val="12"/>
          <w:color w:val="auto"/>
        </w:rPr>
        <w:t>The fair value of each warrant granted during the year is calculated using the Black-Scholes pricing model. This pricing model requires the input of subjective assumptions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81280</wp:posOffset>
            </wp:positionV>
            <wp:extent cx="4541520" cy="529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41520" cy="529590"/>
                    </a:xfrm>
                    <a:prstGeom prst="rect">
                      <a:avLst/>
                    </a:prstGeom>
                    <a:noFill/>
                  </pic:spPr>
                </pic:pic>
              </a:graphicData>
            </a:graphic>
          </wp:anchor>
        </w:drawing>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expected stock price volatility,</w:t>
      </w:r>
      <w:r>
        <w:rPr>
          <w:rFonts w:ascii="Arial" w:cs="Arial" w:eastAsia="Arial" w:hAnsi="Arial"/>
          <w:sz w:val="12"/>
          <w:szCs w:val="12"/>
          <w:color w:val="auto"/>
        </w:rPr>
        <w:t xml:space="preserve"> which is based upon the historical volatility of Genmab’s stock price;</w:t>
      </w:r>
    </w:p>
    <w:p>
      <w:pPr>
        <w:spacing w:after="0" w:line="43" w:lineRule="exact"/>
        <w:rPr>
          <w:sz w:val="20"/>
          <w:szCs w:val="20"/>
          <w:color w:val="auto"/>
        </w:rPr>
      </w:pPr>
    </w:p>
    <w:p>
      <w:pPr>
        <w:ind w:left="1000" w:right="1059"/>
        <w:spacing w:after="0" w:line="273"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risk-free interest rate,</w:t>
      </w:r>
      <w:r>
        <w:rPr>
          <w:rFonts w:ascii="Arial" w:cs="Arial" w:eastAsia="Arial" w:hAnsi="Arial"/>
          <w:sz w:val="12"/>
          <w:szCs w:val="12"/>
          <w:color w:val="auto"/>
        </w:rPr>
        <w:t xml:space="preserve"> which is determined as the interest rate on Danish government bonds (bullet issues) with a maturity of five years;</w:t>
      </w:r>
    </w:p>
    <w:p>
      <w:pPr>
        <w:spacing w:after="0" w:line="3" w:lineRule="exact"/>
        <w:rPr>
          <w:sz w:val="20"/>
          <w:szCs w:val="20"/>
          <w:color w:val="auto"/>
        </w:rPr>
      </w:pPr>
    </w:p>
    <w:p>
      <w:pPr>
        <w:ind w:left="1000" w:right="1239"/>
        <w:spacing w:after="0" w:line="273"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expected life of warrants,</w:t>
      </w:r>
      <w:r>
        <w:rPr>
          <w:rFonts w:ascii="Arial" w:cs="Arial" w:eastAsia="Arial" w:hAnsi="Arial"/>
          <w:sz w:val="12"/>
          <w:szCs w:val="12"/>
          <w:color w:val="auto"/>
        </w:rPr>
        <w:t xml:space="preserve"> which is based on vesting terms, expected rate of exercise and life terms in the current warrant program.</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assumptions can vary over time and can change the fair value of future warrants granted.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Valuation Assumptions for Warrants Granted in 2022, 2021 and 2020</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fair value of each warrant granted during the year is calculated using the Black-Scholes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97155</wp:posOffset>
            </wp:positionV>
            <wp:extent cx="5692140" cy="1110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92140" cy="1110615"/>
                    </a:xfrm>
                    <a:prstGeom prst="rect">
                      <a:avLst/>
                    </a:prstGeom>
                    <a:noFill/>
                  </pic:spPr>
                </pic:pic>
              </a:graphicData>
            </a:graphic>
          </wp:anchor>
        </w:drawing>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326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2"/>
                <w:szCs w:val="12"/>
                <w:b w:val="1"/>
                <w:bCs w:val="1"/>
                <w:color w:val="auto"/>
              </w:rPr>
              <w:t>Weighted average</w:t>
            </w:r>
          </w:p>
        </w:tc>
        <w:tc>
          <w:tcPr>
            <w:tcW w:w="2080" w:type="dxa"/>
            <w:vAlign w:val="bottom"/>
            <w:tcBorders>
              <w:top w:val="single" w:sz="8" w:color="auto"/>
              <w:bottom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2022</w:t>
            </w: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2021</w:t>
            </w: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2020</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Fair value per warrant on grant date</w:t>
            </w:r>
          </w:p>
        </w:tc>
        <w:tc>
          <w:tcPr>
            <w:tcW w:w="2080" w:type="dxa"/>
            <w:vAlign w:val="bottom"/>
            <w:tcBorders>
              <w:bottom w:val="single" w:sz="8" w:color="auto"/>
            </w:tcBorders>
          </w:tcPr>
          <w:p>
            <w:pPr>
              <w:jc w:val="center"/>
              <w:ind w:left="220"/>
              <w:spacing w:after="0" w:line="125" w:lineRule="exact"/>
              <w:rPr>
                <w:sz w:val="20"/>
                <w:szCs w:val="20"/>
                <w:color w:val="auto"/>
              </w:rPr>
            </w:pPr>
            <w:r>
              <w:rPr>
                <w:rFonts w:ascii="Arial" w:cs="Arial" w:eastAsia="Arial" w:hAnsi="Arial"/>
                <w:sz w:val="12"/>
                <w:szCs w:val="12"/>
                <w:color w:val="auto"/>
                <w:w w:val="97"/>
              </w:rPr>
              <w:t>664.08</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7"/>
              </w:rPr>
              <w:t>701.82</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7"/>
              </w:rPr>
              <w:t>631.51</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Share price</w:t>
            </w:r>
          </w:p>
        </w:tc>
        <w:tc>
          <w:tcPr>
            <w:tcW w:w="2080" w:type="dxa"/>
            <w:vAlign w:val="bottom"/>
            <w:tcBorders>
              <w:bottom w:val="single" w:sz="8" w:color="auto"/>
            </w:tcBorders>
          </w:tcPr>
          <w:p>
            <w:pPr>
              <w:jc w:val="center"/>
              <w:ind w:left="220"/>
              <w:spacing w:after="0" w:line="125" w:lineRule="exact"/>
              <w:rPr>
                <w:sz w:val="20"/>
                <w:szCs w:val="20"/>
                <w:color w:val="auto"/>
              </w:rPr>
            </w:pPr>
            <w:r>
              <w:rPr>
                <w:rFonts w:ascii="Arial" w:cs="Arial" w:eastAsia="Arial" w:hAnsi="Arial"/>
                <w:sz w:val="12"/>
                <w:szCs w:val="12"/>
                <w:color w:val="auto"/>
              </w:rPr>
              <w:t>2,244.22</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2,282.35</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2,009.79</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Exercise price</w:t>
            </w:r>
          </w:p>
        </w:tc>
        <w:tc>
          <w:tcPr>
            <w:tcW w:w="2080" w:type="dxa"/>
            <w:vAlign w:val="bottom"/>
            <w:tcBorders>
              <w:bottom w:val="single" w:sz="8" w:color="auto"/>
            </w:tcBorders>
          </w:tcPr>
          <w:p>
            <w:pPr>
              <w:jc w:val="center"/>
              <w:ind w:left="220"/>
              <w:spacing w:after="0" w:line="125" w:lineRule="exact"/>
              <w:rPr>
                <w:sz w:val="20"/>
                <w:szCs w:val="20"/>
                <w:color w:val="auto"/>
              </w:rPr>
            </w:pPr>
            <w:r>
              <w:rPr>
                <w:rFonts w:ascii="Arial" w:cs="Arial" w:eastAsia="Arial" w:hAnsi="Arial"/>
                <w:sz w:val="12"/>
                <w:szCs w:val="12"/>
                <w:color w:val="auto"/>
              </w:rPr>
              <w:t>2,244.22</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2,282.35</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2,009.79</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Expected dividend yield</w:t>
            </w:r>
          </w:p>
        </w:tc>
        <w:tc>
          <w:tcPr>
            <w:tcW w:w="2080" w:type="dxa"/>
            <w:vAlign w:val="bottom"/>
            <w:tcBorders>
              <w:bottom w:val="single" w:sz="8" w:color="auto"/>
            </w:tcBorders>
          </w:tcPr>
          <w:p>
            <w:pPr>
              <w:jc w:val="center"/>
              <w:ind w:left="240"/>
              <w:spacing w:after="0" w:line="125" w:lineRule="exact"/>
              <w:rPr>
                <w:sz w:val="20"/>
                <w:szCs w:val="20"/>
                <w:color w:val="auto"/>
              </w:rPr>
            </w:pPr>
            <w:r>
              <w:rPr>
                <w:rFonts w:ascii="Arial" w:cs="Arial" w:eastAsia="Arial" w:hAnsi="Arial"/>
                <w:sz w:val="12"/>
                <w:szCs w:val="12"/>
                <w:color w:val="auto"/>
              </w:rPr>
              <w:t>0%</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1"/>
              </w:rPr>
              <w:t>0%</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w w:val="91"/>
              </w:rPr>
              <w:t>0%</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Expected stock price volatility</w:t>
            </w:r>
          </w:p>
        </w:tc>
        <w:tc>
          <w:tcPr>
            <w:tcW w:w="2080" w:type="dxa"/>
            <w:vAlign w:val="bottom"/>
            <w:tcBorders>
              <w:bottom w:val="single" w:sz="8" w:color="auto"/>
            </w:tcBorders>
          </w:tcPr>
          <w:p>
            <w:pPr>
              <w:jc w:val="center"/>
              <w:ind w:left="240"/>
              <w:spacing w:after="0" w:line="125" w:lineRule="exact"/>
              <w:rPr>
                <w:sz w:val="20"/>
                <w:szCs w:val="20"/>
                <w:color w:val="auto"/>
              </w:rPr>
            </w:pPr>
            <w:r>
              <w:rPr>
                <w:rFonts w:ascii="Arial" w:cs="Arial" w:eastAsia="Arial" w:hAnsi="Arial"/>
                <w:sz w:val="12"/>
                <w:szCs w:val="12"/>
                <w:color w:val="auto"/>
                <w:w w:val="99"/>
              </w:rPr>
              <w:t>33.5%</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36.6%</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37.0%</w:t>
            </w:r>
          </w:p>
        </w:tc>
      </w:tr>
      <w:tr>
        <w:trPr>
          <w:trHeight w:val="125"/>
        </w:trPr>
        <w:tc>
          <w:tcPr>
            <w:tcW w:w="32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Risk-free interest rate</w:t>
            </w:r>
          </w:p>
        </w:tc>
        <w:tc>
          <w:tcPr>
            <w:tcW w:w="2080" w:type="dxa"/>
            <w:vAlign w:val="bottom"/>
            <w:tcBorders>
              <w:bottom w:val="single" w:sz="8" w:color="auto"/>
            </w:tcBorders>
          </w:tcPr>
          <w:p>
            <w:pPr>
              <w:jc w:val="center"/>
              <w:ind w:left="240"/>
              <w:spacing w:after="0" w:line="125" w:lineRule="exact"/>
              <w:rPr>
                <w:sz w:val="20"/>
                <w:szCs w:val="20"/>
                <w:color w:val="auto"/>
              </w:rPr>
            </w:pPr>
            <w:r>
              <w:rPr>
                <w:rFonts w:ascii="Arial" w:cs="Arial" w:eastAsia="Arial" w:hAnsi="Arial"/>
                <w:sz w:val="12"/>
                <w:szCs w:val="12"/>
                <w:color w:val="auto"/>
                <w:w w:val="99"/>
              </w:rPr>
              <w:t>0.15%</w:t>
            </w:r>
          </w:p>
        </w:tc>
        <w:tc>
          <w:tcPr>
            <w:tcW w:w="180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-0.54%</w:t>
            </w:r>
          </w:p>
        </w:tc>
        <w:tc>
          <w:tcPr>
            <w:tcW w:w="18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-0.58%</w:t>
            </w:r>
          </w:p>
        </w:tc>
      </w:tr>
      <w:tr>
        <w:trPr>
          <w:trHeight w:val="148"/>
        </w:trPr>
        <w:tc>
          <w:tcPr>
            <w:tcW w:w="3260" w:type="dxa"/>
            <w:vAlign w:val="bottom"/>
          </w:tcPr>
          <w:p>
            <w:pPr>
              <w:ind w:left="20"/>
              <w:spacing w:after="0"/>
              <w:rPr>
                <w:sz w:val="20"/>
                <w:szCs w:val="20"/>
                <w:color w:val="auto"/>
              </w:rPr>
            </w:pPr>
            <w:r>
              <w:rPr>
                <w:rFonts w:ascii="Arial" w:cs="Arial" w:eastAsia="Arial" w:hAnsi="Arial"/>
                <w:sz w:val="12"/>
                <w:szCs w:val="12"/>
                <w:color w:val="auto"/>
              </w:rPr>
              <w:t>Expected life of warrants</w:t>
            </w:r>
          </w:p>
        </w:tc>
        <w:tc>
          <w:tcPr>
            <w:tcW w:w="2080" w:type="dxa"/>
            <w:vAlign w:val="bottom"/>
          </w:tcPr>
          <w:p>
            <w:pPr>
              <w:ind w:left="980"/>
              <w:spacing w:after="0"/>
              <w:rPr>
                <w:sz w:val="20"/>
                <w:szCs w:val="20"/>
                <w:color w:val="auto"/>
              </w:rPr>
            </w:pPr>
            <w:r>
              <w:rPr>
                <w:rFonts w:ascii="Arial" w:cs="Arial" w:eastAsia="Arial" w:hAnsi="Arial"/>
                <w:sz w:val="12"/>
                <w:szCs w:val="12"/>
                <w:color w:val="auto"/>
              </w:rPr>
              <w:t>5 years</w:t>
            </w:r>
          </w:p>
        </w:tc>
        <w:tc>
          <w:tcPr>
            <w:tcW w:w="1800" w:type="dxa"/>
            <w:vAlign w:val="bottom"/>
          </w:tcPr>
          <w:p>
            <w:pPr>
              <w:ind w:left="680"/>
              <w:spacing w:after="0"/>
              <w:rPr>
                <w:sz w:val="20"/>
                <w:szCs w:val="20"/>
                <w:color w:val="auto"/>
              </w:rPr>
            </w:pPr>
            <w:r>
              <w:rPr>
                <w:rFonts w:ascii="Arial" w:cs="Arial" w:eastAsia="Arial" w:hAnsi="Arial"/>
                <w:sz w:val="12"/>
                <w:szCs w:val="12"/>
                <w:color w:val="auto"/>
              </w:rPr>
              <w:t>5 years</w:t>
            </w:r>
          </w:p>
        </w:tc>
        <w:tc>
          <w:tcPr>
            <w:tcW w:w="1820" w:type="dxa"/>
            <w:vAlign w:val="bottom"/>
          </w:tcPr>
          <w:p>
            <w:pPr>
              <w:ind w:left="720"/>
              <w:spacing w:after="0"/>
              <w:rPr>
                <w:sz w:val="20"/>
                <w:szCs w:val="20"/>
                <w:color w:val="auto"/>
              </w:rPr>
            </w:pPr>
            <w:r>
              <w:rPr>
                <w:rFonts w:ascii="Arial" w:cs="Arial" w:eastAsia="Arial" w:hAnsi="Arial"/>
                <w:sz w:val="12"/>
                <w:szCs w:val="12"/>
                <w:color w:val="auto"/>
              </w:rPr>
              <w:t>5 years</w:t>
            </w: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3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2"/>
                <w:szCs w:val="12"/>
                <w:b w:val="1"/>
                <w:bCs w:val="1"/>
                <w:color w:val="auto"/>
              </w:rPr>
              <w:t>Total Fair Value of Amounts Granted</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rPr>
              <w:t>2022</w:t>
            </w: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2021</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2"/>
                <w:szCs w:val="12"/>
                <w:color w:val="auto"/>
              </w:rPr>
            </w:pPr>
          </w:p>
        </w:tc>
      </w:tr>
      <w:tr>
        <w:trPr>
          <w:trHeight w:val="125"/>
        </w:trPr>
        <w:tc>
          <w:tcPr>
            <w:tcW w:w="300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Total fair value of warrants granted</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DKK 172 million</w:t>
            </w:r>
          </w:p>
        </w:tc>
        <w:tc>
          <w:tcPr>
            <w:tcW w:w="178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DKK 124 million</w:t>
            </w:r>
          </w:p>
        </w:tc>
        <w:tc>
          <w:tcPr>
            <w:tcW w:w="184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DKK 75 million</w:t>
            </w:r>
          </w:p>
        </w:tc>
        <w:tc>
          <w:tcPr>
            <w:tcW w:w="20" w:type="dxa"/>
            <w:vAlign w:val="bottom"/>
          </w:tcPr>
          <w:p>
            <w:pPr>
              <w:spacing w:after="0"/>
              <w:rPr>
                <w:sz w:val="10"/>
                <w:szCs w:val="10"/>
                <w:color w:val="auto"/>
              </w:rPr>
            </w:pPr>
          </w:p>
        </w:tc>
      </w:tr>
      <w:tr>
        <w:trPr>
          <w:trHeight w:val="125"/>
        </w:trPr>
        <w:tc>
          <w:tcPr>
            <w:tcW w:w="300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Total fair value of RSUs granted</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360"/>
              <w:spacing w:after="0" w:line="125" w:lineRule="exact"/>
              <w:rPr>
                <w:sz w:val="20"/>
                <w:szCs w:val="20"/>
                <w:color w:val="auto"/>
              </w:rPr>
            </w:pPr>
            <w:r>
              <w:rPr>
                <w:rFonts w:ascii="Arial" w:cs="Arial" w:eastAsia="Arial" w:hAnsi="Arial"/>
                <w:sz w:val="12"/>
                <w:szCs w:val="12"/>
                <w:color w:val="auto"/>
              </w:rPr>
              <w:t>DKK 612 million</w:t>
            </w:r>
          </w:p>
        </w:tc>
        <w:tc>
          <w:tcPr>
            <w:tcW w:w="178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DKK 416 million</w:t>
            </w:r>
          </w:p>
        </w:tc>
        <w:tc>
          <w:tcPr>
            <w:tcW w:w="184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color w:val="auto"/>
              </w:rPr>
              <w:t>DKK 90 million</w:t>
            </w:r>
          </w:p>
        </w:tc>
        <w:tc>
          <w:tcPr>
            <w:tcW w:w="20" w:type="dxa"/>
            <w:vAlign w:val="bottom"/>
          </w:tcPr>
          <w:p>
            <w:pPr>
              <w:spacing w:after="0"/>
              <w:rPr>
                <w:sz w:val="10"/>
                <w:szCs w:val="10"/>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0"/>
                <w:szCs w:val="10"/>
                <w:color w:val="auto"/>
              </w:rPr>
              <w:t>Genmab A/S</w:t>
            </w:r>
          </w:p>
        </w:tc>
        <w:tc>
          <w:tcPr>
            <w:tcW w:w="980" w:type="dxa"/>
            <w:vAlign w:val="bottom"/>
            <w:gridSpan w:val="3"/>
          </w:tcPr>
          <w:p>
            <w:pPr>
              <w:ind w:left="140"/>
              <w:spacing w:after="0"/>
              <w:rPr>
                <w:sz w:val="20"/>
                <w:szCs w:val="20"/>
                <w:color w:val="auto"/>
              </w:rPr>
            </w:pPr>
            <w:r>
              <w:rPr>
                <w:rFonts w:ascii="Arial" w:cs="Arial" w:eastAsia="Arial" w:hAnsi="Arial"/>
                <w:sz w:val="10"/>
                <w:szCs w:val="10"/>
                <w:color w:val="auto"/>
                <w:w w:val="94"/>
              </w:rPr>
              <w:t>Tel: +45 7020 2728</w:t>
            </w:r>
          </w:p>
        </w:tc>
        <w:tc>
          <w:tcPr>
            <w:tcW w:w="1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0"/>
                <w:szCs w:val="10"/>
                <w:color w:val="auto"/>
              </w:rPr>
              <w:t>Company Announcement no. 05</w:t>
            </w:r>
          </w:p>
        </w:tc>
      </w:tr>
      <w:tr>
        <w:trPr>
          <w:trHeight w:val="109"/>
        </w:trPr>
        <w:tc>
          <w:tcPr>
            <w:tcW w:w="30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Page 118/158</w:t>
            </w:r>
          </w:p>
        </w:tc>
      </w:tr>
      <w:tr>
        <w:trPr>
          <w:trHeight w:val="105"/>
        </w:trPr>
        <w:tc>
          <w:tcPr>
            <w:tcW w:w="30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980" w:type="dxa"/>
            <w:vAlign w:val="bottom"/>
            <w:gridSpan w:val="3"/>
          </w:tcPr>
          <w:p>
            <w:pPr>
              <w:ind w:left="140"/>
              <w:spacing w:after="0" w:line="105" w:lineRule="exact"/>
              <w:rPr>
                <w:sz w:val="20"/>
                <w:szCs w:val="20"/>
                <w:color w:val="auto"/>
              </w:rPr>
            </w:pPr>
            <w:r>
              <w:rPr>
                <w:rFonts w:ascii="Arial" w:cs="Arial" w:eastAsia="Arial" w:hAnsi="Arial"/>
                <w:sz w:val="10"/>
                <w:szCs w:val="10"/>
                <w:color w:val="0000FF"/>
                <w:w w:val="99"/>
              </w:rPr>
              <w:t>www.genmab.com</w:t>
            </w:r>
          </w:p>
        </w:tc>
        <w:tc>
          <w:tcPr>
            <w:tcW w:w="13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3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1" w:name="page122"/>
    <w:bookmarkEnd w:id="12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4.7 – Share Capital</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SHARE CAPITAL</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share capital comprises the nominal amount of Genmab A/S ordinary shares, each at a nominal value of DKK 1. All shares are fully paid.</w:t>
      </w:r>
    </w:p>
    <w:p>
      <w:pPr>
        <w:spacing w:after="0" w:line="131"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As of December 31, 2022, the share capital of Genmab A/S comprised 65,961,573 shares of DKK 1 each with one vote. There are no restrictions related to the transferability of the shares. All shares are regarded as negotiable instruments and do not confer any special rights upon the holder, and no shareholder shall be under an obligation to allow his/her shares to be redeemed.</w:t>
      </w:r>
    </w:p>
    <w:p>
      <w:pPr>
        <w:spacing w:after="0" w:line="113" w:lineRule="exact"/>
        <w:rPr>
          <w:sz w:val="20"/>
          <w:szCs w:val="20"/>
          <w:color w:val="auto"/>
        </w:rPr>
      </w:pPr>
    </w:p>
    <w:p>
      <w:pPr>
        <w:jc w:val="both"/>
        <w:ind w:left="20" w:right="179"/>
        <w:spacing w:after="0" w:line="255" w:lineRule="auto"/>
        <w:rPr>
          <w:sz w:val="20"/>
          <w:szCs w:val="20"/>
          <w:color w:val="auto"/>
        </w:rPr>
      </w:pPr>
      <w:r>
        <w:rPr>
          <w:rFonts w:ascii="Arial" w:cs="Arial" w:eastAsia="Arial" w:hAnsi="Arial"/>
          <w:sz w:val="12"/>
          <w:szCs w:val="12"/>
          <w:color w:val="auto"/>
        </w:rPr>
        <w:t>Genmab’s Board of Directors is authorized to increase the share capital by subscription of new shares, issue warrants to subscribe for shares and raise loans against bonds as well as other financial instruments of Genmab A/S as set out in articles 4A-5B of Genmab A/S’ Articles of Association. Further, Genmab’s share capital is in compliance with the capital requirements of the Danish Companies Act and the rules of Nasdaq Copenhagen.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table below for warrants issued and reissued and warrants available for reissue under active authorizations as of December 31, 2022:</w:t>
      </w:r>
    </w:p>
    <w:p>
      <w:pPr>
        <w:spacing w:after="0" w:line="150"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1460" w:type="dxa"/>
            <w:vAlign w:val="bottom"/>
          </w:tcPr>
          <w:p>
            <w:pPr>
              <w:spacing w:after="0"/>
              <w:rPr>
                <w:sz w:val="12"/>
                <w:szCs w:val="12"/>
                <w:color w:val="auto"/>
              </w:rPr>
            </w:pPr>
          </w:p>
        </w:tc>
        <w:tc>
          <w:tcPr>
            <w:tcW w:w="2260" w:type="dxa"/>
            <w:vAlign w:val="bottom"/>
          </w:tcPr>
          <w:p>
            <w:pPr>
              <w:jc w:val="right"/>
              <w:ind w:right="824"/>
              <w:spacing w:after="0"/>
              <w:rPr>
                <w:sz w:val="20"/>
                <w:szCs w:val="20"/>
                <w:color w:val="auto"/>
              </w:rPr>
            </w:pPr>
            <w:r>
              <w:rPr>
                <w:rFonts w:ascii="Arial" w:cs="Arial" w:eastAsia="Arial" w:hAnsi="Arial"/>
                <w:sz w:val="12"/>
                <w:szCs w:val="12"/>
                <w:b w:val="1"/>
                <w:bCs w:val="1"/>
                <w:color w:val="auto"/>
              </w:rPr>
              <w:t>April 13, 2021</w:t>
            </w:r>
          </w:p>
        </w:tc>
        <w:tc>
          <w:tcPr>
            <w:tcW w:w="2100" w:type="dxa"/>
            <w:vAlign w:val="bottom"/>
          </w:tcPr>
          <w:p>
            <w:pPr>
              <w:jc w:val="right"/>
              <w:ind w:right="844"/>
              <w:spacing w:after="0"/>
              <w:rPr>
                <w:sz w:val="20"/>
                <w:szCs w:val="20"/>
                <w:color w:val="auto"/>
              </w:rPr>
            </w:pPr>
            <w:r>
              <w:rPr>
                <w:rFonts w:ascii="Arial" w:cs="Arial" w:eastAsia="Arial" w:hAnsi="Arial"/>
                <w:sz w:val="12"/>
                <w:szCs w:val="12"/>
                <w:b w:val="1"/>
                <w:bCs w:val="1"/>
                <w:color w:val="auto"/>
              </w:rPr>
              <w:t>March 29, 2019</w:t>
            </w:r>
          </w:p>
        </w:tc>
        <w:tc>
          <w:tcPr>
            <w:tcW w:w="1820" w:type="dxa"/>
            <w:vAlign w:val="bottom"/>
          </w:tcPr>
          <w:p>
            <w:pPr>
              <w:jc w:val="right"/>
              <w:ind w:right="564"/>
              <w:spacing w:after="0"/>
              <w:rPr>
                <w:sz w:val="20"/>
                <w:szCs w:val="20"/>
                <w:color w:val="auto"/>
              </w:rPr>
            </w:pPr>
            <w:r>
              <w:rPr>
                <w:rFonts w:ascii="Arial" w:cs="Arial" w:eastAsia="Arial" w:hAnsi="Arial"/>
                <w:sz w:val="12"/>
                <w:szCs w:val="12"/>
                <w:b w:val="1"/>
                <w:bCs w:val="1"/>
                <w:color w:val="auto"/>
              </w:rPr>
              <w:t>March 28, 2017</w:t>
            </w:r>
          </w:p>
        </w:tc>
        <w:tc>
          <w:tcPr>
            <w:tcW w:w="0" w:type="dxa"/>
            <w:vAlign w:val="bottom"/>
          </w:tcPr>
          <w:p>
            <w:pPr>
              <w:spacing w:after="0"/>
              <w:rPr>
                <w:sz w:val="1"/>
                <w:szCs w:val="1"/>
                <w:color w:val="auto"/>
              </w:rPr>
            </w:pPr>
          </w:p>
        </w:tc>
      </w:tr>
      <w:tr>
        <w:trPr>
          <w:trHeight w:val="149"/>
        </w:trPr>
        <w:tc>
          <w:tcPr>
            <w:tcW w:w="1460" w:type="dxa"/>
            <w:vAlign w:val="bottom"/>
            <w:vMerge w:val="restart"/>
          </w:tcPr>
          <w:p>
            <w:pPr>
              <w:jc w:val="right"/>
              <w:spacing w:after="0"/>
              <w:rPr>
                <w:sz w:val="20"/>
                <w:szCs w:val="20"/>
                <w:color w:val="auto"/>
              </w:rPr>
            </w:pPr>
            <w:r>
              <w:rPr>
                <w:rFonts w:ascii="Arial" w:cs="Arial" w:eastAsia="Arial" w:hAnsi="Arial"/>
                <w:sz w:val="11"/>
                <w:szCs w:val="11"/>
                <w:color w:val="auto"/>
              </w:rPr>
              <w:t>Warrants issued</w:t>
            </w:r>
          </w:p>
        </w:tc>
        <w:tc>
          <w:tcPr>
            <w:tcW w:w="2260" w:type="dxa"/>
            <w:vAlign w:val="bottom"/>
            <w:tcBorders>
              <w:bottom w:val="single" w:sz="8" w:color="auto"/>
            </w:tcBorders>
          </w:tcPr>
          <w:p>
            <w:pPr>
              <w:jc w:val="right"/>
              <w:ind w:right="824"/>
              <w:spacing w:after="0"/>
              <w:rPr>
                <w:sz w:val="20"/>
                <w:szCs w:val="20"/>
                <w:color w:val="auto"/>
              </w:rPr>
            </w:pPr>
            <w:r>
              <w:rPr>
                <w:rFonts w:ascii="Arial" w:cs="Arial" w:eastAsia="Arial" w:hAnsi="Arial"/>
                <w:sz w:val="12"/>
                <w:szCs w:val="12"/>
                <w:b w:val="1"/>
                <w:bCs w:val="1"/>
                <w:color w:val="auto"/>
              </w:rPr>
              <w:t>Authorization</w:t>
            </w:r>
          </w:p>
        </w:tc>
        <w:tc>
          <w:tcPr>
            <w:tcW w:w="2100" w:type="dxa"/>
            <w:vAlign w:val="bottom"/>
            <w:tcBorders>
              <w:bottom w:val="single" w:sz="8" w:color="auto"/>
            </w:tcBorders>
          </w:tcPr>
          <w:p>
            <w:pPr>
              <w:jc w:val="right"/>
              <w:ind w:right="884"/>
              <w:spacing w:after="0"/>
              <w:rPr>
                <w:sz w:val="20"/>
                <w:szCs w:val="20"/>
                <w:color w:val="auto"/>
              </w:rPr>
            </w:pPr>
            <w:r>
              <w:rPr>
                <w:rFonts w:ascii="Arial" w:cs="Arial" w:eastAsia="Arial" w:hAnsi="Arial"/>
                <w:sz w:val="12"/>
                <w:szCs w:val="12"/>
                <w:b w:val="1"/>
                <w:bCs w:val="1"/>
                <w:color w:val="auto"/>
              </w:rPr>
              <w:t>Authorization</w:t>
            </w:r>
          </w:p>
        </w:tc>
        <w:tc>
          <w:tcPr>
            <w:tcW w:w="18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Authorization</w:t>
            </w:r>
          </w:p>
        </w:tc>
        <w:tc>
          <w:tcPr>
            <w:tcW w:w="0" w:type="dxa"/>
            <w:vAlign w:val="bottom"/>
          </w:tcPr>
          <w:p>
            <w:pPr>
              <w:spacing w:after="0"/>
              <w:rPr>
                <w:sz w:val="1"/>
                <w:szCs w:val="1"/>
                <w:color w:val="auto"/>
              </w:rPr>
            </w:pPr>
          </w:p>
        </w:tc>
      </w:tr>
      <w:tr>
        <w:trPr>
          <w:trHeight w:val="107"/>
        </w:trPr>
        <w:tc>
          <w:tcPr>
            <w:tcW w:w="1460" w:type="dxa"/>
            <w:vAlign w:val="bottom"/>
            <w:vMerge w:val="continue"/>
          </w:tcPr>
          <w:p>
            <w:pPr>
              <w:spacing w:after="0"/>
              <w:rPr>
                <w:sz w:val="9"/>
                <w:szCs w:val="9"/>
                <w:color w:val="auto"/>
              </w:rPr>
            </w:pPr>
          </w:p>
        </w:tc>
        <w:tc>
          <w:tcPr>
            <w:tcW w:w="2260" w:type="dxa"/>
            <w:vAlign w:val="bottom"/>
          </w:tcPr>
          <w:p>
            <w:pPr>
              <w:jc w:val="right"/>
              <w:ind w:right="264"/>
              <w:spacing w:after="0" w:line="107" w:lineRule="exact"/>
              <w:rPr>
                <w:sz w:val="20"/>
                <w:szCs w:val="20"/>
                <w:color w:val="auto"/>
              </w:rPr>
            </w:pPr>
            <w:r>
              <w:rPr>
                <w:rFonts w:ascii="Arial" w:cs="Arial" w:eastAsia="Arial" w:hAnsi="Arial"/>
                <w:sz w:val="11"/>
                <w:szCs w:val="11"/>
                <w:color w:val="auto"/>
              </w:rPr>
              <w:t>68,291</w:t>
            </w:r>
          </w:p>
        </w:tc>
        <w:tc>
          <w:tcPr>
            <w:tcW w:w="2100" w:type="dxa"/>
            <w:vAlign w:val="bottom"/>
          </w:tcPr>
          <w:p>
            <w:pPr>
              <w:jc w:val="right"/>
              <w:ind w:right="264"/>
              <w:spacing w:after="0" w:line="107" w:lineRule="exact"/>
              <w:rPr>
                <w:sz w:val="20"/>
                <w:szCs w:val="20"/>
                <w:color w:val="auto"/>
              </w:rPr>
            </w:pPr>
            <w:r>
              <w:rPr>
                <w:rFonts w:ascii="Arial" w:cs="Arial" w:eastAsia="Arial" w:hAnsi="Arial"/>
                <w:sz w:val="11"/>
                <w:szCs w:val="11"/>
                <w:color w:val="auto"/>
              </w:rPr>
              <w:t>500,000</w:t>
            </w:r>
          </w:p>
        </w:tc>
        <w:tc>
          <w:tcPr>
            <w:tcW w:w="1820" w:type="dxa"/>
            <w:vAlign w:val="bottom"/>
          </w:tcPr>
          <w:p>
            <w:pPr>
              <w:jc w:val="right"/>
              <w:spacing w:after="0" w:line="107" w:lineRule="exact"/>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127"/>
        </w:trPr>
        <w:tc>
          <w:tcPr>
            <w:tcW w:w="1460" w:type="dxa"/>
            <w:vAlign w:val="bottom"/>
          </w:tcPr>
          <w:p>
            <w:pPr>
              <w:jc w:val="right"/>
              <w:spacing w:after="0"/>
              <w:rPr>
                <w:sz w:val="20"/>
                <w:szCs w:val="20"/>
                <w:color w:val="auto"/>
              </w:rPr>
            </w:pPr>
            <w:r>
              <w:rPr>
                <w:rFonts w:ascii="Arial" w:cs="Arial" w:eastAsia="Arial" w:hAnsi="Arial"/>
                <w:sz w:val="11"/>
                <w:szCs w:val="11"/>
                <w:color w:val="auto"/>
              </w:rPr>
              <w:t>Warrants reissued</w:t>
            </w:r>
          </w:p>
        </w:tc>
        <w:tc>
          <w:tcPr>
            <w:tcW w:w="2260" w:type="dxa"/>
            <w:vAlign w:val="bottom"/>
          </w:tcPr>
          <w:p>
            <w:pPr>
              <w:jc w:val="right"/>
              <w:ind w:right="264"/>
              <w:spacing w:after="0"/>
              <w:rPr>
                <w:sz w:val="20"/>
                <w:szCs w:val="20"/>
                <w:color w:val="auto"/>
              </w:rPr>
            </w:pPr>
            <w:r>
              <w:rPr>
                <w:rFonts w:ascii="Arial" w:cs="Arial" w:eastAsia="Arial" w:hAnsi="Arial"/>
                <w:sz w:val="11"/>
                <w:szCs w:val="11"/>
                <w:color w:val="auto"/>
              </w:rPr>
              <w:t>1,333</w:t>
            </w:r>
          </w:p>
        </w:tc>
        <w:tc>
          <w:tcPr>
            <w:tcW w:w="2100" w:type="dxa"/>
            <w:vAlign w:val="bottom"/>
          </w:tcPr>
          <w:p>
            <w:pPr>
              <w:jc w:val="right"/>
              <w:ind w:right="264"/>
              <w:spacing w:after="0"/>
              <w:rPr>
                <w:sz w:val="20"/>
                <w:szCs w:val="20"/>
                <w:color w:val="auto"/>
              </w:rPr>
            </w:pPr>
            <w:r>
              <w:rPr>
                <w:rFonts w:ascii="Arial" w:cs="Arial" w:eastAsia="Arial" w:hAnsi="Arial"/>
                <w:sz w:val="11"/>
                <w:szCs w:val="11"/>
                <w:color w:val="auto"/>
              </w:rPr>
              <w:t>59,671</w:t>
            </w:r>
          </w:p>
        </w:tc>
        <w:tc>
          <w:tcPr>
            <w:tcW w:w="1820" w:type="dxa"/>
            <w:vAlign w:val="bottom"/>
          </w:tcPr>
          <w:p>
            <w:pPr>
              <w:jc w:val="right"/>
              <w:spacing w:after="0"/>
              <w:rPr>
                <w:sz w:val="20"/>
                <w:szCs w:val="20"/>
                <w:color w:val="auto"/>
              </w:rPr>
            </w:pPr>
            <w:r>
              <w:rPr>
                <w:rFonts w:ascii="Arial" w:cs="Arial" w:eastAsia="Arial" w:hAnsi="Arial"/>
                <w:sz w:val="11"/>
                <w:szCs w:val="11"/>
                <w:color w:val="auto"/>
              </w:rPr>
              <w:t>63,558</w:t>
            </w:r>
          </w:p>
        </w:tc>
        <w:tc>
          <w:tcPr>
            <w:tcW w:w="0" w:type="dxa"/>
            <w:vAlign w:val="bottom"/>
          </w:tcPr>
          <w:p>
            <w:pPr>
              <w:spacing w:after="0"/>
              <w:rPr>
                <w:sz w:val="1"/>
                <w:szCs w:val="1"/>
                <w:color w:val="auto"/>
              </w:rPr>
            </w:pPr>
          </w:p>
        </w:tc>
      </w:tr>
      <w:tr>
        <w:trPr>
          <w:trHeight w:val="127"/>
        </w:trPr>
        <w:tc>
          <w:tcPr>
            <w:tcW w:w="1460" w:type="dxa"/>
            <w:vAlign w:val="bottom"/>
          </w:tcPr>
          <w:p>
            <w:pPr>
              <w:jc w:val="right"/>
              <w:spacing w:after="0"/>
              <w:rPr>
                <w:sz w:val="20"/>
                <w:szCs w:val="20"/>
                <w:color w:val="auto"/>
              </w:rPr>
            </w:pPr>
            <w:r>
              <w:rPr>
                <w:rFonts w:ascii="Arial" w:cs="Arial" w:eastAsia="Arial" w:hAnsi="Arial"/>
                <w:sz w:val="11"/>
                <w:szCs w:val="11"/>
                <w:color w:val="auto"/>
              </w:rPr>
              <w:t>Warrants available for issue</w:t>
            </w:r>
          </w:p>
        </w:tc>
        <w:tc>
          <w:tcPr>
            <w:tcW w:w="2260" w:type="dxa"/>
            <w:vAlign w:val="bottom"/>
          </w:tcPr>
          <w:p>
            <w:pPr>
              <w:jc w:val="right"/>
              <w:ind w:right="264"/>
              <w:spacing w:after="0"/>
              <w:rPr>
                <w:sz w:val="20"/>
                <w:szCs w:val="20"/>
                <w:color w:val="auto"/>
              </w:rPr>
            </w:pPr>
            <w:r>
              <w:rPr>
                <w:rFonts w:ascii="Arial" w:cs="Arial" w:eastAsia="Arial" w:hAnsi="Arial"/>
                <w:sz w:val="11"/>
                <w:szCs w:val="11"/>
                <w:color w:val="auto"/>
              </w:rPr>
              <w:t>681,709</w:t>
            </w:r>
          </w:p>
        </w:tc>
        <w:tc>
          <w:tcPr>
            <w:tcW w:w="2100" w:type="dxa"/>
            <w:vAlign w:val="bottom"/>
          </w:tcPr>
          <w:p>
            <w:pPr>
              <w:jc w:val="right"/>
              <w:ind w:right="264"/>
              <w:spacing w:after="0"/>
              <w:rPr>
                <w:sz w:val="20"/>
                <w:szCs w:val="20"/>
                <w:color w:val="auto"/>
              </w:rPr>
            </w:pPr>
            <w:r>
              <w:rPr>
                <w:rFonts w:ascii="Arial" w:cs="Arial" w:eastAsia="Arial" w:hAnsi="Arial"/>
                <w:sz w:val="11"/>
                <w:szCs w:val="11"/>
                <w:color w:val="auto"/>
              </w:rPr>
              <w:t>-</w:t>
            </w:r>
          </w:p>
        </w:tc>
        <w:tc>
          <w:tcPr>
            <w:tcW w:w="1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460" w:type="dxa"/>
            <w:vAlign w:val="bottom"/>
          </w:tcPr>
          <w:p>
            <w:pPr>
              <w:jc w:val="right"/>
              <w:spacing w:after="0"/>
              <w:rPr>
                <w:sz w:val="20"/>
                <w:szCs w:val="20"/>
                <w:color w:val="auto"/>
              </w:rPr>
            </w:pPr>
            <w:r>
              <w:rPr>
                <w:rFonts w:ascii="Arial" w:cs="Arial" w:eastAsia="Arial" w:hAnsi="Arial"/>
                <w:sz w:val="11"/>
                <w:szCs w:val="11"/>
                <w:color w:val="auto"/>
                <w:w w:val="96"/>
              </w:rPr>
              <w:t>Warrants available for reissue</w:t>
            </w:r>
          </w:p>
        </w:tc>
        <w:tc>
          <w:tcPr>
            <w:tcW w:w="2260" w:type="dxa"/>
            <w:vAlign w:val="bottom"/>
          </w:tcPr>
          <w:p>
            <w:pPr>
              <w:jc w:val="right"/>
              <w:ind w:right="264"/>
              <w:spacing w:after="0"/>
              <w:rPr>
                <w:sz w:val="20"/>
                <w:szCs w:val="20"/>
                <w:color w:val="auto"/>
              </w:rPr>
            </w:pPr>
            <w:r>
              <w:rPr>
                <w:rFonts w:ascii="Arial" w:cs="Arial" w:eastAsia="Arial" w:hAnsi="Arial"/>
                <w:sz w:val="11"/>
                <w:szCs w:val="11"/>
                <w:color w:val="auto"/>
              </w:rPr>
              <w:t>1,254</w:t>
            </w:r>
          </w:p>
        </w:tc>
        <w:tc>
          <w:tcPr>
            <w:tcW w:w="2100" w:type="dxa"/>
            <w:vAlign w:val="bottom"/>
          </w:tcPr>
          <w:p>
            <w:pPr>
              <w:jc w:val="right"/>
              <w:ind w:right="264"/>
              <w:spacing w:after="0"/>
              <w:rPr>
                <w:sz w:val="20"/>
                <w:szCs w:val="20"/>
                <w:color w:val="auto"/>
              </w:rPr>
            </w:pPr>
            <w:r>
              <w:rPr>
                <w:rFonts w:ascii="Arial" w:cs="Arial" w:eastAsia="Arial" w:hAnsi="Arial"/>
                <w:sz w:val="11"/>
                <w:szCs w:val="11"/>
                <w:color w:val="auto"/>
              </w:rPr>
              <w:t>10,661</w:t>
            </w:r>
          </w:p>
        </w:tc>
        <w:tc>
          <w:tcPr>
            <w:tcW w:w="1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SHARE PREMIUM</w:t>
      </w:r>
    </w:p>
    <w:p>
      <w:pPr>
        <w:spacing w:after="0" w:line="10" w:lineRule="exact"/>
        <w:rPr>
          <w:sz w:val="20"/>
          <w:szCs w:val="20"/>
          <w:color w:val="auto"/>
        </w:rPr>
      </w:pPr>
    </w:p>
    <w:p>
      <w:pPr>
        <w:ind w:left="20" w:right="379"/>
        <w:spacing w:after="0" w:line="252" w:lineRule="auto"/>
        <w:rPr>
          <w:sz w:val="20"/>
          <w:szCs w:val="20"/>
          <w:color w:val="auto"/>
        </w:rPr>
      </w:pPr>
      <w:r>
        <w:rPr>
          <w:rFonts w:ascii="Arial" w:cs="Arial" w:eastAsia="Arial" w:hAnsi="Arial"/>
          <w:sz w:val="12"/>
          <w:szCs w:val="12"/>
          <w:color w:val="auto"/>
        </w:rPr>
        <w:t>The share premium reserve is comprised of the amount received, attributable to shareholders’ equity, in excess of the nominal amount of the shares issued at the parent company’s offerings, reduced by any external expenses directly attributable to the offerings. The share premium reserve can be distributed.</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119/158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2" w:name="page123"/>
    <w:bookmarkEnd w:id="12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CHANGES IN SHARE CAPITAL DURING 2020 TO 2022</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share capital of DKK 66 million at December 31, 2022 is divided into 65,961,573 shares at a nominal value of DKK 1 each.</w:t>
      </w:r>
    </w:p>
    <w:p>
      <w:pPr>
        <w:spacing w:after="0" w:line="108" w:lineRule="exact"/>
        <w:rPr>
          <w:sz w:val="20"/>
          <w:szCs w:val="20"/>
          <w:color w:val="auto"/>
        </w:rPr>
      </w:pPr>
    </w:p>
    <w:tbl>
      <w:tblPr>
        <w:tblLayout w:type="fixed"/>
        <w:tblInd w:w="32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 of shares</w:t>
            </w:r>
          </w:p>
        </w:tc>
        <w:tc>
          <w:tcPr>
            <w:tcW w:w="120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 capital</w:t>
            </w:r>
          </w:p>
        </w:tc>
        <w:tc>
          <w:tcPr>
            <w:tcW w:w="8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1"/>
                <w:szCs w:val="11"/>
                <w:b w:val="1"/>
                <w:bCs w:val="1"/>
                <w:color w:val="auto"/>
                <w:w w:val="96"/>
              </w:rPr>
              <w:t>Share Price Ranges</w:t>
            </w:r>
            <w:r>
              <w:rPr>
                <w:rFonts w:ascii="Arial" w:cs="Arial" w:eastAsia="Arial" w:hAnsi="Arial"/>
                <w:sz w:val="16"/>
                <w:szCs w:val="16"/>
                <w:b w:val="1"/>
                <w:bCs w:val="1"/>
                <w:color w:val="auto"/>
                <w:w w:val="96"/>
                <w:vertAlign w:val="superscript"/>
              </w:rPr>
              <w:t>1</w:t>
            </w:r>
          </w:p>
        </w:tc>
      </w:tr>
      <w:tr>
        <w:trPr>
          <w:trHeight w:val="132"/>
        </w:trPr>
        <w:tc>
          <w:tcPr>
            <w:tcW w:w="10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color w:val="auto"/>
              </w:rPr>
              <w:t>(DKK million)</w:t>
            </w:r>
          </w:p>
        </w:tc>
        <w:tc>
          <w:tcPr>
            <w:tcW w:w="8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r>
      <w:tr>
        <w:trPr>
          <w:trHeight w:val="238"/>
        </w:trPr>
        <w:tc>
          <w:tcPr>
            <w:tcW w:w="1020" w:type="dxa"/>
            <w:vAlign w:val="bottom"/>
          </w:tcPr>
          <w:p>
            <w:pPr>
              <w:spacing w:after="0"/>
              <w:rPr>
                <w:sz w:val="20"/>
                <w:szCs w:val="20"/>
                <w:color w:val="auto"/>
              </w:rPr>
            </w:pPr>
            <w:r>
              <w:rPr>
                <w:rFonts w:ascii="Arial" w:cs="Arial" w:eastAsia="Arial" w:hAnsi="Arial"/>
                <w:sz w:val="11"/>
                <w:szCs w:val="11"/>
                <w:b w:val="1"/>
                <w:bCs w:val="1"/>
                <w:color w:val="auto"/>
              </w:rPr>
              <w:t>December 31, 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65,074,502</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65.1</w:t>
            </w: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1"/>
                <w:szCs w:val="11"/>
                <w:color w:val="auto"/>
              </w:rPr>
              <w:t>Exercise of warrants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471,246</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1"/>
                <w:szCs w:val="11"/>
                <w:color w:val="auto"/>
                <w:w w:val="99"/>
              </w:rPr>
              <w:t>DKK 31.75 to DKK 1,432.00</w:t>
            </w:r>
          </w:p>
        </w:tc>
      </w:tr>
      <w:tr>
        <w:trPr>
          <w:trHeight w:val="243"/>
        </w:trPr>
        <w:tc>
          <w:tcPr>
            <w:tcW w:w="1020" w:type="dxa"/>
            <w:vAlign w:val="bottom"/>
          </w:tcPr>
          <w:p>
            <w:pPr>
              <w:spacing w:after="0"/>
              <w:rPr>
                <w:sz w:val="20"/>
                <w:szCs w:val="20"/>
                <w:color w:val="auto"/>
              </w:rPr>
            </w:pPr>
            <w:r>
              <w:rPr>
                <w:rFonts w:ascii="Arial" w:cs="Arial" w:eastAsia="Arial" w:hAnsi="Arial"/>
                <w:sz w:val="11"/>
                <w:szCs w:val="11"/>
                <w:b w:val="1"/>
                <w:bCs w:val="1"/>
                <w:color w:val="auto"/>
              </w:rPr>
              <w:t>December 31,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65,545,748</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65.5</w:t>
            </w:r>
          </w:p>
        </w:tc>
        <w:tc>
          <w:tcPr>
            <w:tcW w:w="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1"/>
                <w:szCs w:val="11"/>
                <w:color w:val="auto"/>
              </w:rPr>
              <w:t>Exercise of warrants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172,708</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1"/>
                <w:szCs w:val="11"/>
                <w:color w:val="auto"/>
                <w:w w:val="99"/>
              </w:rPr>
              <w:t>DKK 31.75 to DKK 1,432.00</w:t>
            </w:r>
          </w:p>
        </w:tc>
      </w:tr>
      <w:tr>
        <w:trPr>
          <w:trHeight w:val="243"/>
        </w:trPr>
        <w:tc>
          <w:tcPr>
            <w:tcW w:w="1020" w:type="dxa"/>
            <w:vAlign w:val="bottom"/>
          </w:tcPr>
          <w:p>
            <w:pPr>
              <w:spacing w:after="0"/>
              <w:rPr>
                <w:sz w:val="20"/>
                <w:szCs w:val="20"/>
                <w:color w:val="auto"/>
              </w:rPr>
            </w:pPr>
            <w:r>
              <w:rPr>
                <w:rFonts w:ascii="Arial" w:cs="Arial" w:eastAsia="Arial" w:hAnsi="Arial"/>
                <w:sz w:val="11"/>
                <w:szCs w:val="11"/>
                <w:b w:val="1"/>
                <w:bCs w:val="1"/>
                <w:color w:val="auto"/>
              </w:rPr>
              <w:t>December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65,718,456</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65.7</w:t>
            </w:r>
          </w:p>
        </w:tc>
        <w:tc>
          <w:tcPr>
            <w:tcW w:w="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1"/>
                <w:szCs w:val="11"/>
                <w:color w:val="auto"/>
              </w:rPr>
              <w:t>Exercise of warrants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243,117</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1"/>
                <w:szCs w:val="11"/>
                <w:color w:val="auto"/>
                <w:w w:val="99"/>
              </w:rPr>
              <w:t>DKK 466.20 to DKK 1,615.00</w:t>
            </w:r>
          </w:p>
        </w:tc>
      </w:tr>
      <w:tr>
        <w:trPr>
          <w:trHeight w:val="243"/>
        </w:trPr>
        <w:tc>
          <w:tcPr>
            <w:tcW w:w="1020" w:type="dxa"/>
            <w:vAlign w:val="bottom"/>
          </w:tcPr>
          <w:p>
            <w:pPr>
              <w:spacing w:after="0"/>
              <w:rPr>
                <w:sz w:val="20"/>
                <w:szCs w:val="20"/>
                <w:color w:val="auto"/>
              </w:rPr>
            </w:pPr>
            <w:r>
              <w:rPr>
                <w:rFonts w:ascii="Arial" w:cs="Arial" w:eastAsia="Arial" w:hAnsi="Arial"/>
                <w:sz w:val="11"/>
                <w:szCs w:val="11"/>
                <w:b w:val="1"/>
                <w:bCs w:val="1"/>
                <w:color w:val="auto"/>
              </w:rPr>
              <w:t>December 31, 2022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65,961,573</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66.0</w:t>
            </w:r>
          </w:p>
        </w:tc>
        <w:tc>
          <w:tcPr>
            <w:tcW w:w="8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spacing w:after="0" w:line="276" w:lineRule="exact"/>
        <w:rPr>
          <w:sz w:val="20"/>
          <w:szCs w:val="20"/>
          <w:color w:val="auto"/>
        </w:rPr>
      </w:pPr>
    </w:p>
    <w:p>
      <w:pPr>
        <w:ind w:left="20"/>
        <w:spacing w:after="0"/>
        <w:rPr>
          <w:sz w:val="20"/>
          <w:szCs w:val="20"/>
          <w:color w:val="auto"/>
        </w:rPr>
      </w:pPr>
      <w:r>
        <w:rPr>
          <w:rFonts w:ascii="Arial" w:cs="Arial" w:eastAsia="Arial" w:hAnsi="Arial"/>
          <w:sz w:val="10"/>
          <w:szCs w:val="10"/>
          <w:i w:val="1"/>
          <w:iCs w:val="1"/>
          <w:color w:val="auto"/>
        </w:rPr>
        <w:t>1 - New shares were subscribed at share prices in connection with the exercise of warrants under Genmab’s warrant program.</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600" w:type="dxa"/>
            <w:vAlign w:val="bottom"/>
          </w:tcPr>
          <w:p>
            <w:pPr>
              <w:spacing w:after="0"/>
              <w:rPr>
                <w:sz w:val="20"/>
                <w:szCs w:val="20"/>
                <w:color w:val="auto"/>
              </w:rPr>
            </w:pPr>
            <w:r>
              <w:rPr>
                <w:rFonts w:ascii="Arial" w:cs="Arial" w:eastAsia="Arial" w:hAnsi="Arial"/>
                <w:sz w:val="12"/>
                <w:szCs w:val="12"/>
                <w:b w:val="1"/>
                <w:bCs w:val="1"/>
                <w:color w:val="029C93"/>
              </w:rPr>
              <w:t>TREASURY SHARES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9"/>
              </w:rPr>
              <w:t>Proportion of share</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Arial" w:cs="Arial" w:eastAsia="Arial" w:hAnsi="Arial"/>
                <w:sz w:val="12"/>
                <w:szCs w:val="12"/>
                <w:color w:val="auto"/>
              </w:rPr>
              <w:t>Number of shares</w:t>
            </w: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Share capital</w:t>
            </w:r>
          </w:p>
        </w:tc>
        <w:tc>
          <w:tcPr>
            <w:tcW w:w="1300" w:type="dxa"/>
            <w:vAlign w:val="bottom"/>
            <w:gridSpan w:val="2"/>
          </w:tcPr>
          <w:p>
            <w:pPr>
              <w:jc w:val="center"/>
              <w:ind w:right="60"/>
              <w:spacing w:after="0"/>
              <w:rPr>
                <w:sz w:val="20"/>
                <w:szCs w:val="20"/>
                <w:color w:val="auto"/>
              </w:rPr>
            </w:pPr>
            <w:r>
              <w:rPr>
                <w:rFonts w:ascii="Arial" w:cs="Arial" w:eastAsia="Arial" w:hAnsi="Arial"/>
                <w:sz w:val="12"/>
                <w:szCs w:val="12"/>
                <w:color w:val="auto"/>
              </w:rPr>
              <w:t>capital</w:t>
            </w:r>
          </w:p>
        </w:tc>
        <w:tc>
          <w:tcPr>
            <w:tcW w:w="1300" w:type="dxa"/>
            <w:vAlign w:val="bottom"/>
            <w:gridSpan w:val="2"/>
          </w:tcPr>
          <w:p>
            <w:pPr>
              <w:jc w:val="right"/>
              <w:ind w:right="540"/>
              <w:spacing w:after="0"/>
              <w:rPr>
                <w:sz w:val="20"/>
                <w:szCs w:val="20"/>
                <w:color w:val="auto"/>
              </w:rPr>
            </w:pPr>
            <w:r>
              <w:rPr>
                <w:rFonts w:ascii="Arial" w:cs="Arial" w:eastAsia="Arial" w:hAnsi="Arial"/>
                <w:sz w:val="12"/>
                <w:szCs w:val="12"/>
                <w:color w:val="auto"/>
              </w:rPr>
              <w:t>Cost</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(DKK million)</w:t>
            </w:r>
          </w:p>
        </w:tc>
        <w:tc>
          <w:tcPr>
            <w:tcW w:w="60" w:type="dxa"/>
            <w:vAlign w:val="bottom"/>
          </w:tcPr>
          <w:p>
            <w:pPr>
              <w:spacing w:after="0"/>
              <w:rPr>
                <w:sz w:val="12"/>
                <w:szCs w:val="12"/>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w:t>
            </w:r>
          </w:p>
        </w:tc>
        <w:tc>
          <w:tcPr>
            <w:tcW w:w="40" w:type="dxa"/>
            <w:vAlign w:val="bottom"/>
          </w:tcPr>
          <w:p>
            <w:pPr>
              <w:spacing w:after="0"/>
              <w:rPr>
                <w:sz w:val="12"/>
                <w:szCs w:val="12"/>
                <w:color w:val="auto"/>
              </w:rPr>
            </w:pPr>
          </w:p>
        </w:tc>
        <w:tc>
          <w:tcPr>
            <w:tcW w:w="1280" w:type="dxa"/>
            <w:vAlign w:val="bottom"/>
            <w:tcBorders>
              <w:top w:val="single" w:sz="8" w:color="auto"/>
            </w:tcBorders>
          </w:tcPr>
          <w:p>
            <w:pPr>
              <w:jc w:val="right"/>
              <w:ind w:right="221"/>
              <w:spacing w:after="0"/>
              <w:rPr>
                <w:sz w:val="20"/>
                <w:szCs w:val="20"/>
                <w:color w:val="auto"/>
              </w:rPr>
            </w:pPr>
            <w:r>
              <w:rPr>
                <w:rFonts w:ascii="Arial" w:cs="Arial" w:eastAsia="Arial" w:hAnsi="Arial"/>
                <w:sz w:val="12"/>
                <w:szCs w:val="12"/>
                <w:color w:val="auto"/>
              </w:rPr>
              <w:t>(DKK million)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2600" w:type="dxa"/>
            <w:vAlign w:val="bottom"/>
          </w:tcPr>
          <w:p>
            <w:pPr>
              <w:spacing w:after="0"/>
              <w:rPr>
                <w:sz w:val="20"/>
                <w:szCs w:val="20"/>
                <w:color w:val="auto"/>
              </w:rPr>
            </w:pPr>
            <w:r>
              <w:rPr>
                <w:rFonts w:ascii="Arial" w:cs="Arial" w:eastAsia="Arial" w:hAnsi="Arial"/>
                <w:sz w:val="12"/>
                <w:szCs w:val="12"/>
                <w:b w:val="1"/>
                <w:bCs w:val="1"/>
                <w:color w:val="auto"/>
              </w:rPr>
              <w:t>Shareholding at December 31, 2019</w:t>
            </w:r>
          </w:p>
        </w:tc>
        <w:tc>
          <w:tcPr>
            <w:tcW w:w="1160" w:type="dxa"/>
            <w:vAlign w:val="bottom"/>
            <w:gridSpan w:val="2"/>
          </w:tcPr>
          <w:p>
            <w:pPr>
              <w:spacing w:after="0"/>
              <w:rPr>
                <w:sz w:val="24"/>
                <w:szCs w:val="24"/>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163,921</w:t>
            </w:r>
          </w:p>
        </w:tc>
        <w:tc>
          <w:tcPr>
            <w:tcW w:w="4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0.2</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0.3</w:t>
            </w:r>
          </w:p>
        </w:tc>
        <w:tc>
          <w:tcPr>
            <w:tcW w:w="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600" w:type="dxa"/>
            <w:vAlign w:val="bottom"/>
          </w:tcPr>
          <w:p>
            <w:pPr>
              <w:spacing w:after="0"/>
              <w:rPr>
                <w:sz w:val="20"/>
                <w:szCs w:val="20"/>
                <w:color w:val="auto"/>
              </w:rPr>
            </w:pPr>
            <w:r>
              <w:rPr>
                <w:rFonts w:ascii="Arial" w:cs="Arial" w:eastAsia="Arial" w:hAnsi="Arial"/>
                <w:sz w:val="12"/>
                <w:szCs w:val="12"/>
                <w:color w:val="auto"/>
              </w:rPr>
              <w:t>Shares used for funding RSU program</w:t>
            </w:r>
          </w:p>
        </w:tc>
        <w:tc>
          <w:tcPr>
            <w:tcW w:w="1160" w:type="dxa"/>
            <w:vAlign w:val="bottom"/>
            <w:gridSpan w:val="2"/>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(31,815)</w:t>
            </w:r>
          </w:p>
        </w:tc>
        <w:tc>
          <w:tcPr>
            <w:tcW w:w="4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(0.1)</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c>
          <w:tcPr>
            <w:tcW w:w="130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61"/>
        </w:trPr>
        <w:tc>
          <w:tcPr>
            <w:tcW w:w="2600" w:type="dxa"/>
            <w:vAlign w:val="bottom"/>
          </w:tcPr>
          <w:p>
            <w:pPr>
              <w:spacing w:after="0"/>
              <w:rPr>
                <w:sz w:val="20"/>
                <w:szCs w:val="20"/>
                <w:color w:val="auto"/>
              </w:rPr>
            </w:pPr>
            <w:r>
              <w:rPr>
                <w:rFonts w:ascii="Arial" w:cs="Arial" w:eastAsia="Arial" w:hAnsi="Arial"/>
                <w:sz w:val="12"/>
                <w:szCs w:val="12"/>
                <w:b w:val="1"/>
                <w:bCs w:val="1"/>
                <w:color w:val="auto"/>
              </w:rPr>
              <w:t>Shareholding at December 31, 2020</w:t>
            </w:r>
          </w:p>
        </w:tc>
        <w:tc>
          <w:tcPr>
            <w:tcW w:w="1160" w:type="dxa"/>
            <w:vAlign w:val="bottom"/>
            <w:gridSpan w:val="2"/>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132,106</w:t>
            </w:r>
          </w:p>
        </w:tc>
        <w:tc>
          <w:tcPr>
            <w:tcW w:w="4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0.1</w:t>
            </w:r>
          </w:p>
        </w:tc>
        <w:tc>
          <w:tcPr>
            <w:tcW w:w="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0.2</w:t>
            </w:r>
          </w:p>
        </w:tc>
        <w:tc>
          <w:tcPr>
            <w:tcW w:w="4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Arial" w:cs="Arial" w:eastAsia="Arial" w:hAnsi="Arial"/>
                <w:sz w:val="12"/>
                <w:szCs w:val="12"/>
                <w:color w:val="auto"/>
              </w:rPr>
              <w:t>Purchase of treasury shares</w:t>
            </w:r>
          </w:p>
        </w:tc>
        <w:tc>
          <w:tcPr>
            <w:tcW w:w="2420" w:type="dxa"/>
            <w:vAlign w:val="bottom"/>
            <w:gridSpan w:val="4"/>
          </w:tcPr>
          <w:p>
            <w:pPr>
              <w:jc w:val="right"/>
              <w:ind w:right="40"/>
              <w:spacing w:after="0"/>
              <w:rPr>
                <w:sz w:val="20"/>
                <w:szCs w:val="20"/>
                <w:color w:val="auto"/>
              </w:rPr>
            </w:pPr>
            <w:r>
              <w:rPr>
                <w:rFonts w:ascii="Arial" w:cs="Arial" w:eastAsia="Arial" w:hAnsi="Arial"/>
                <w:sz w:val="12"/>
                <w:szCs w:val="12"/>
                <w:color w:val="auto"/>
              </w:rPr>
              <w:t>200,000</w:t>
            </w:r>
          </w:p>
        </w:tc>
        <w:tc>
          <w:tcPr>
            <w:tcW w:w="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0.3</w:t>
            </w:r>
          </w:p>
        </w:tc>
        <w:tc>
          <w:tcPr>
            <w:tcW w:w="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20"/>
                <w:szCs w:val="20"/>
                <w:color w:val="auto"/>
              </w:rPr>
            </w:pPr>
            <w:r>
              <w:rPr>
                <w:rFonts w:ascii="Arial" w:cs="Arial" w:eastAsia="Arial" w:hAnsi="Arial"/>
                <w:sz w:val="12"/>
                <w:szCs w:val="12"/>
                <w:color w:val="auto"/>
              </w:rPr>
              <w:t>Shares used for funding RSU program</w:t>
            </w:r>
          </w:p>
        </w:tc>
        <w:tc>
          <w:tcPr>
            <w:tcW w:w="1160" w:type="dxa"/>
            <w:vAlign w:val="bottom"/>
            <w:gridSpan w:val="2"/>
          </w:tcPr>
          <w:p>
            <w:pPr>
              <w:spacing w:after="0"/>
              <w:rPr>
                <w:sz w:val="12"/>
                <w:szCs w:val="1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(43,781)</w:t>
            </w:r>
          </w:p>
        </w:tc>
        <w:tc>
          <w:tcPr>
            <w:tcW w:w="4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600" w:type="dxa"/>
            <w:vAlign w:val="bottom"/>
          </w:tcPr>
          <w:p>
            <w:pPr>
              <w:spacing w:after="0"/>
              <w:rPr>
                <w:sz w:val="20"/>
                <w:szCs w:val="20"/>
                <w:color w:val="auto"/>
              </w:rPr>
            </w:pPr>
            <w:r>
              <w:rPr>
                <w:rFonts w:ascii="Arial" w:cs="Arial" w:eastAsia="Arial" w:hAnsi="Arial"/>
                <w:sz w:val="12"/>
                <w:szCs w:val="12"/>
                <w:b w:val="1"/>
                <w:bCs w:val="1"/>
                <w:color w:val="auto"/>
              </w:rPr>
              <w:t>Shareholding at December 31, 2021</w:t>
            </w:r>
          </w:p>
        </w:tc>
        <w:tc>
          <w:tcPr>
            <w:tcW w:w="1160" w:type="dxa"/>
            <w:vAlign w:val="bottom"/>
            <w:gridSpan w:val="2"/>
          </w:tcPr>
          <w:p>
            <w:pPr>
              <w:spacing w:after="0"/>
              <w:rPr>
                <w:sz w:val="22"/>
                <w:szCs w:val="22"/>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288,325</w:t>
            </w:r>
          </w:p>
        </w:tc>
        <w:tc>
          <w:tcPr>
            <w:tcW w:w="4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0.3</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0.4</w:t>
            </w:r>
          </w:p>
        </w:tc>
        <w:tc>
          <w:tcPr>
            <w:tcW w:w="4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Arial" w:cs="Arial" w:eastAsia="Arial" w:hAnsi="Arial"/>
                <w:sz w:val="12"/>
                <w:szCs w:val="12"/>
                <w:color w:val="auto"/>
              </w:rPr>
              <w:t>Purchase of treasury shares</w:t>
            </w:r>
          </w:p>
        </w:tc>
        <w:tc>
          <w:tcPr>
            <w:tcW w:w="2420" w:type="dxa"/>
            <w:vAlign w:val="bottom"/>
            <w:gridSpan w:val="4"/>
          </w:tcPr>
          <w:p>
            <w:pPr>
              <w:jc w:val="right"/>
              <w:ind w:right="40"/>
              <w:spacing w:after="0"/>
              <w:rPr>
                <w:sz w:val="20"/>
                <w:szCs w:val="20"/>
                <w:color w:val="auto"/>
              </w:rPr>
            </w:pPr>
            <w:r>
              <w:rPr>
                <w:rFonts w:ascii="Arial" w:cs="Arial" w:eastAsia="Arial" w:hAnsi="Arial"/>
                <w:sz w:val="12"/>
                <w:szCs w:val="12"/>
                <w:color w:val="auto"/>
              </w:rPr>
              <w:t>370,000</w:t>
            </w:r>
          </w:p>
        </w:tc>
        <w:tc>
          <w:tcPr>
            <w:tcW w:w="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0.6</w:t>
            </w:r>
          </w:p>
        </w:tc>
        <w:tc>
          <w:tcPr>
            <w:tcW w:w="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20"/>
                <w:szCs w:val="20"/>
                <w:color w:val="auto"/>
              </w:rPr>
            </w:pPr>
            <w:r>
              <w:rPr>
                <w:rFonts w:ascii="Arial" w:cs="Arial" w:eastAsia="Arial" w:hAnsi="Arial"/>
                <w:sz w:val="12"/>
                <w:szCs w:val="12"/>
                <w:color w:val="auto"/>
              </w:rPr>
              <w:t>Shares used for funding RSU program</w:t>
            </w:r>
          </w:p>
        </w:tc>
        <w:tc>
          <w:tcPr>
            <w:tcW w:w="1160" w:type="dxa"/>
            <w:vAlign w:val="bottom"/>
            <w:gridSpan w:val="2"/>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(68,377)</w:t>
            </w:r>
          </w:p>
        </w:tc>
        <w:tc>
          <w:tcPr>
            <w:tcW w:w="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(0.1)</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c>
          <w:tcPr>
            <w:tcW w:w="1300" w:type="dxa"/>
            <w:vAlign w:val="bottom"/>
            <w:gridSpan w:val="2"/>
          </w:tcPr>
          <w:p>
            <w:pPr>
              <w:jc w:val="right"/>
              <w:ind w:right="2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261"/>
        </w:trPr>
        <w:tc>
          <w:tcPr>
            <w:tcW w:w="2600" w:type="dxa"/>
            <w:vAlign w:val="bottom"/>
          </w:tcPr>
          <w:p>
            <w:pPr>
              <w:spacing w:after="0"/>
              <w:rPr>
                <w:sz w:val="20"/>
                <w:szCs w:val="20"/>
                <w:color w:val="auto"/>
              </w:rPr>
            </w:pPr>
            <w:r>
              <w:rPr>
                <w:rFonts w:ascii="Arial" w:cs="Arial" w:eastAsia="Arial" w:hAnsi="Arial"/>
                <w:sz w:val="12"/>
                <w:szCs w:val="12"/>
                <w:b w:val="1"/>
                <w:bCs w:val="1"/>
                <w:color w:val="auto"/>
              </w:rPr>
              <w:t>Shareholding at December 31, 2022</w:t>
            </w:r>
          </w:p>
        </w:tc>
        <w:tc>
          <w:tcPr>
            <w:tcW w:w="1160" w:type="dxa"/>
            <w:vAlign w:val="bottom"/>
            <w:gridSpan w:val="2"/>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589,948</w:t>
            </w:r>
          </w:p>
        </w:tc>
        <w:tc>
          <w:tcPr>
            <w:tcW w:w="4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0.6</w:t>
            </w:r>
          </w:p>
        </w:tc>
        <w:tc>
          <w:tcPr>
            <w:tcW w:w="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0.9</w:t>
            </w:r>
          </w:p>
        </w:tc>
        <w:tc>
          <w:tcPr>
            <w:tcW w:w="4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2600" w:type="dxa"/>
            <w:vAlign w:val="bottom"/>
          </w:tcPr>
          <w:p>
            <w:pPr>
              <w:spacing w:after="0"/>
              <w:rPr>
                <w:sz w:val="20"/>
                <w:szCs w:val="20"/>
                <w:color w:val="auto"/>
              </w:rPr>
            </w:pPr>
            <w:r>
              <w:rPr>
                <w:rFonts w:ascii="Arial" w:cs="Arial" w:eastAsia="Arial" w:hAnsi="Arial"/>
                <w:sz w:val="12"/>
                <w:szCs w:val="12"/>
                <w:b w:val="1"/>
                <w:bCs w:val="1"/>
                <w:color w:val="029C93"/>
              </w:rPr>
              <w:t>SHARE REPURCHASES</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600" w:type="dxa"/>
            <w:vAlign w:val="bottom"/>
          </w:tcPr>
          <w:p>
            <w:pPr>
              <w:spacing w:after="0"/>
              <w:rPr>
                <w:sz w:val="20"/>
                <w:szCs w:val="20"/>
                <w:color w:val="auto"/>
              </w:rPr>
            </w:pPr>
            <w:r>
              <w:rPr>
                <w:rFonts w:ascii="Arial" w:cs="Arial" w:eastAsia="Arial" w:hAnsi="Arial"/>
                <w:sz w:val="10"/>
                <w:szCs w:val="10"/>
                <w:color w:val="auto"/>
              </w:rPr>
              <w:t>Genmab A/S</w:t>
            </w:r>
          </w:p>
        </w:tc>
        <w:tc>
          <w:tcPr>
            <w:tcW w:w="2460" w:type="dxa"/>
            <w:vAlign w:val="bottom"/>
            <w:gridSpan w:val="5"/>
          </w:tcPr>
          <w:p>
            <w:pPr>
              <w:ind w:left="540"/>
              <w:spacing w:after="0"/>
              <w:rPr>
                <w:sz w:val="20"/>
                <w:szCs w:val="20"/>
                <w:color w:val="auto"/>
              </w:rPr>
            </w:pPr>
            <w:r>
              <w:rPr>
                <w:rFonts w:ascii="Arial" w:cs="Arial" w:eastAsia="Arial" w:hAnsi="Arial"/>
                <w:sz w:val="10"/>
                <w:szCs w:val="10"/>
                <w:color w:val="auto"/>
              </w:rPr>
              <w:t>Tel: +45 7020 2728</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gridSpan w:val="4"/>
          </w:tcPr>
          <w:p>
            <w:pPr>
              <w:jc w:val="right"/>
              <w:ind w:right="20"/>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26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Page 120/158</w:t>
            </w:r>
          </w:p>
        </w:tc>
        <w:tc>
          <w:tcPr>
            <w:tcW w:w="0" w:type="dxa"/>
            <w:vAlign w:val="bottom"/>
          </w:tcPr>
          <w:p>
            <w:pPr>
              <w:spacing w:after="0"/>
              <w:rPr>
                <w:sz w:val="1"/>
                <w:szCs w:val="1"/>
                <w:color w:val="auto"/>
              </w:rPr>
            </w:pPr>
          </w:p>
        </w:tc>
      </w:tr>
      <w:tr>
        <w:trPr>
          <w:trHeight w:val="105"/>
        </w:trPr>
        <w:tc>
          <w:tcPr>
            <w:tcW w:w="26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460" w:type="dxa"/>
            <w:vAlign w:val="bottom"/>
            <w:gridSpan w:val="5"/>
          </w:tcPr>
          <w:p>
            <w:pPr>
              <w:ind w:left="540"/>
              <w:spacing w:after="0" w:line="105" w:lineRule="exact"/>
              <w:rPr>
                <w:sz w:val="20"/>
                <w:szCs w:val="20"/>
                <w:color w:val="auto"/>
              </w:rPr>
            </w:pPr>
            <w:r>
              <w:rPr>
                <w:rFonts w:ascii="Arial" w:cs="Arial" w:eastAsia="Arial" w:hAnsi="Arial"/>
                <w:sz w:val="10"/>
                <w:szCs w:val="10"/>
                <w:color w:val="0000FF"/>
              </w:rPr>
              <w:t>www.genmab.com</w:t>
            </w: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2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top w:val="single" w:sz="8" w:color="0000FF"/>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23" w:name="page124"/>
    <w:bookmarkEnd w:id="12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Genmab intends to purchase its own shares primarily to cover obligations in relation to the share-based remuneration programs and reduce the dilution effect of share capital increases resulting from future exercises of warrants.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4820" w:type="dxa"/>
            <w:vAlign w:val="bottom"/>
          </w:tcPr>
          <w:p>
            <w:pPr>
              <w:spacing w:after="0"/>
              <w:rPr>
                <w:sz w:val="11"/>
                <w:szCs w:val="11"/>
                <w:color w:val="auto"/>
              </w:rPr>
            </w:pPr>
          </w:p>
        </w:tc>
        <w:tc>
          <w:tcPr>
            <w:tcW w:w="1460" w:type="dxa"/>
            <w:vAlign w:val="bottom"/>
          </w:tcPr>
          <w:p>
            <w:pPr>
              <w:jc w:val="right"/>
              <w:ind w:right="686"/>
              <w:spacing w:after="0"/>
              <w:rPr>
                <w:sz w:val="20"/>
                <w:szCs w:val="20"/>
                <w:color w:val="auto"/>
              </w:rPr>
            </w:pPr>
            <w:r>
              <w:rPr>
                <w:rFonts w:ascii="Arial" w:cs="Arial" w:eastAsia="Arial" w:hAnsi="Arial"/>
                <w:sz w:val="11"/>
                <w:szCs w:val="11"/>
                <w:b w:val="1"/>
                <w:bCs w:val="1"/>
                <w:color w:val="auto"/>
              </w:rPr>
              <w:t>2021</w:t>
            </w:r>
          </w:p>
        </w:tc>
        <w:tc>
          <w:tcPr>
            <w:tcW w:w="1440" w:type="dxa"/>
            <w:vAlign w:val="bottom"/>
          </w:tcPr>
          <w:p>
            <w:pPr>
              <w:jc w:val="right"/>
              <w:ind w:right="686"/>
              <w:spacing w:after="0"/>
              <w:rPr>
                <w:sz w:val="20"/>
                <w:szCs w:val="20"/>
                <w:color w:val="auto"/>
              </w:rPr>
            </w:pPr>
            <w:r>
              <w:rPr>
                <w:rFonts w:ascii="Arial" w:cs="Arial" w:eastAsia="Arial" w:hAnsi="Arial"/>
                <w:sz w:val="11"/>
                <w:szCs w:val="11"/>
                <w:b w:val="1"/>
                <w:bCs w:val="1"/>
                <w:color w:val="auto"/>
              </w:rPr>
              <w:t>2019</w:t>
            </w:r>
          </w:p>
        </w:tc>
        <w:tc>
          <w:tcPr>
            <w:tcW w:w="12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2016</w:t>
            </w:r>
          </w:p>
        </w:tc>
      </w:tr>
      <w:tr>
        <w:trPr>
          <w:trHeight w:val="136"/>
        </w:trPr>
        <w:tc>
          <w:tcPr>
            <w:tcW w:w="4820" w:type="dxa"/>
            <w:vAlign w:val="bottom"/>
          </w:tcPr>
          <w:p>
            <w:pPr>
              <w:spacing w:after="0"/>
              <w:rPr>
                <w:sz w:val="11"/>
                <w:szCs w:val="11"/>
                <w:color w:val="auto"/>
              </w:rPr>
            </w:pPr>
          </w:p>
        </w:tc>
        <w:tc>
          <w:tcPr>
            <w:tcW w:w="14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Authorization</w:t>
            </w:r>
          </w:p>
        </w:tc>
        <w:tc>
          <w:tcPr>
            <w:tcW w:w="14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Authorization</w:t>
            </w:r>
          </w:p>
        </w:tc>
        <w:tc>
          <w:tcPr>
            <w:tcW w:w="12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Authorization</w:t>
            </w:r>
          </w:p>
        </w:tc>
      </w:tr>
      <w:tr>
        <w:trPr>
          <w:trHeight w:val="171"/>
        </w:trPr>
        <w:tc>
          <w:tcPr>
            <w:tcW w:w="4820" w:type="dxa"/>
            <w:vAlign w:val="bottom"/>
          </w:tcPr>
          <w:p>
            <w:pPr>
              <w:spacing w:after="0" w:line="171" w:lineRule="exact"/>
              <w:rPr>
                <w:sz w:val="20"/>
                <w:szCs w:val="20"/>
                <w:color w:val="auto"/>
              </w:rPr>
            </w:pPr>
            <w:r>
              <w:rPr>
                <w:rFonts w:ascii="Arial" w:cs="Arial" w:eastAsia="Arial" w:hAnsi="Arial"/>
                <w:sz w:val="11"/>
                <w:szCs w:val="11"/>
                <w:color w:val="auto"/>
              </w:rPr>
              <w:t>Number of shares authorized for repurchase</w:t>
            </w:r>
            <w:r>
              <w:rPr>
                <w:rFonts w:ascii="Arial" w:cs="Arial" w:eastAsia="Arial" w:hAnsi="Arial"/>
                <w:sz w:val="16"/>
                <w:szCs w:val="16"/>
                <w:color w:val="auto"/>
                <w:vertAlign w:val="superscript"/>
              </w:rPr>
              <w:t>1</w:t>
            </w:r>
          </w:p>
        </w:tc>
        <w:tc>
          <w:tcPr>
            <w:tcW w:w="1460" w:type="dxa"/>
            <w:vAlign w:val="bottom"/>
          </w:tcPr>
          <w:p>
            <w:pPr>
              <w:jc w:val="right"/>
              <w:ind w:right="206"/>
              <w:spacing w:after="0"/>
              <w:rPr>
                <w:sz w:val="20"/>
                <w:szCs w:val="20"/>
                <w:color w:val="auto"/>
              </w:rPr>
            </w:pPr>
            <w:r>
              <w:rPr>
                <w:rFonts w:ascii="Arial" w:cs="Arial" w:eastAsia="Arial" w:hAnsi="Arial"/>
                <w:sz w:val="11"/>
                <w:szCs w:val="11"/>
                <w:color w:val="auto"/>
              </w:rPr>
              <w:t>500,000</w:t>
            </w:r>
          </w:p>
        </w:tc>
        <w:tc>
          <w:tcPr>
            <w:tcW w:w="1440" w:type="dxa"/>
            <w:vAlign w:val="bottom"/>
          </w:tcPr>
          <w:p>
            <w:pPr>
              <w:jc w:val="right"/>
              <w:ind w:right="206"/>
              <w:spacing w:after="0"/>
              <w:rPr>
                <w:sz w:val="20"/>
                <w:szCs w:val="20"/>
                <w:color w:val="auto"/>
              </w:rPr>
            </w:pPr>
            <w:r>
              <w:rPr>
                <w:rFonts w:ascii="Arial" w:cs="Arial" w:eastAsia="Arial" w:hAnsi="Arial"/>
                <w:sz w:val="11"/>
                <w:szCs w:val="11"/>
                <w:color w:val="auto"/>
              </w:rPr>
              <w:t>500,000</w:t>
            </w:r>
          </w:p>
        </w:tc>
        <w:tc>
          <w:tcPr>
            <w:tcW w:w="1240" w:type="dxa"/>
            <w:vAlign w:val="bottom"/>
          </w:tcPr>
          <w:p>
            <w:pPr>
              <w:jc w:val="right"/>
              <w:spacing w:after="0"/>
              <w:rPr>
                <w:sz w:val="20"/>
                <w:szCs w:val="20"/>
                <w:color w:val="auto"/>
              </w:rPr>
            </w:pPr>
            <w:r>
              <w:rPr>
                <w:rFonts w:ascii="Arial" w:cs="Arial" w:eastAsia="Arial" w:hAnsi="Arial"/>
                <w:sz w:val="11"/>
                <w:szCs w:val="11"/>
                <w:color w:val="auto"/>
              </w:rPr>
              <w:t>500,000</w:t>
            </w:r>
          </w:p>
        </w:tc>
      </w:tr>
      <w:tr>
        <w:trPr>
          <w:trHeight w:val="142"/>
        </w:trPr>
        <w:tc>
          <w:tcPr>
            <w:tcW w:w="4820" w:type="dxa"/>
            <w:vAlign w:val="bottom"/>
          </w:tcPr>
          <w:p>
            <w:pPr>
              <w:spacing w:after="0"/>
              <w:rPr>
                <w:sz w:val="20"/>
                <w:szCs w:val="20"/>
                <w:color w:val="auto"/>
              </w:rPr>
            </w:pPr>
            <w:r>
              <w:rPr>
                <w:rFonts w:ascii="Arial" w:cs="Arial" w:eastAsia="Arial" w:hAnsi="Arial"/>
                <w:sz w:val="11"/>
                <w:szCs w:val="11"/>
                <w:color w:val="auto"/>
              </w:rPr>
              <w:t>Actual shares repurchased under authorization</w:t>
            </w:r>
          </w:p>
        </w:tc>
        <w:tc>
          <w:tcPr>
            <w:tcW w:w="1460" w:type="dxa"/>
            <w:vAlign w:val="bottom"/>
          </w:tcPr>
          <w:p>
            <w:pPr>
              <w:jc w:val="right"/>
              <w:ind w:right="206"/>
              <w:spacing w:after="0"/>
              <w:rPr>
                <w:sz w:val="20"/>
                <w:szCs w:val="20"/>
                <w:color w:val="auto"/>
              </w:rPr>
            </w:pPr>
            <w:r>
              <w:rPr>
                <w:rFonts w:ascii="Arial" w:cs="Arial" w:eastAsia="Arial" w:hAnsi="Arial"/>
                <w:sz w:val="11"/>
                <w:szCs w:val="11"/>
                <w:color w:val="auto"/>
              </w:rPr>
              <w:t>40,000</w:t>
            </w:r>
          </w:p>
        </w:tc>
        <w:tc>
          <w:tcPr>
            <w:tcW w:w="1440" w:type="dxa"/>
            <w:vAlign w:val="bottom"/>
          </w:tcPr>
          <w:p>
            <w:pPr>
              <w:jc w:val="right"/>
              <w:ind w:right="206"/>
              <w:spacing w:after="0"/>
              <w:rPr>
                <w:sz w:val="20"/>
                <w:szCs w:val="20"/>
                <w:color w:val="auto"/>
              </w:rPr>
            </w:pPr>
            <w:r>
              <w:rPr>
                <w:rFonts w:ascii="Arial" w:cs="Arial" w:eastAsia="Arial" w:hAnsi="Arial"/>
                <w:sz w:val="11"/>
                <w:szCs w:val="11"/>
                <w:color w:val="auto"/>
              </w:rPr>
              <w:t>500,000</w:t>
            </w:r>
          </w:p>
        </w:tc>
        <w:tc>
          <w:tcPr>
            <w:tcW w:w="1240" w:type="dxa"/>
            <w:vAlign w:val="bottom"/>
          </w:tcPr>
          <w:p>
            <w:pPr>
              <w:jc w:val="right"/>
              <w:spacing w:after="0"/>
              <w:rPr>
                <w:sz w:val="20"/>
                <w:szCs w:val="20"/>
                <w:color w:val="auto"/>
              </w:rPr>
            </w:pPr>
            <w:r>
              <w:rPr>
                <w:rFonts w:ascii="Arial" w:cs="Arial" w:eastAsia="Arial" w:hAnsi="Arial"/>
                <w:sz w:val="11"/>
                <w:szCs w:val="11"/>
                <w:color w:val="auto"/>
              </w:rPr>
              <w:t>255,000</w:t>
            </w:r>
          </w:p>
        </w:tc>
      </w:tr>
      <w:tr>
        <w:trPr>
          <w:trHeight w:val="156"/>
        </w:trPr>
        <w:tc>
          <w:tcPr>
            <w:tcW w:w="4820" w:type="dxa"/>
            <w:vAlign w:val="bottom"/>
          </w:tcPr>
          <w:p>
            <w:pPr>
              <w:spacing w:after="0"/>
              <w:rPr>
                <w:sz w:val="20"/>
                <w:szCs w:val="20"/>
                <w:color w:val="auto"/>
              </w:rPr>
            </w:pPr>
            <w:r>
              <w:rPr>
                <w:rFonts w:ascii="Arial" w:cs="Arial" w:eastAsia="Arial" w:hAnsi="Arial"/>
                <w:sz w:val="11"/>
                <w:szCs w:val="11"/>
                <w:color w:val="auto"/>
              </w:rPr>
              <w:t>Shares available for repurchase as of December 31, 2022</w:t>
            </w:r>
          </w:p>
        </w:tc>
        <w:tc>
          <w:tcPr>
            <w:tcW w:w="14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460,000</w:t>
            </w:r>
          </w:p>
        </w:tc>
        <w:tc>
          <w:tcPr>
            <w:tcW w:w="14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129" w:lineRule="exact"/>
        <w:rPr>
          <w:sz w:val="20"/>
          <w:szCs w:val="20"/>
          <w:color w:val="auto"/>
        </w:rPr>
      </w:pPr>
    </w:p>
    <w:p>
      <w:pPr>
        <w:ind w:left="80" w:hanging="58"/>
        <w:spacing w:after="0"/>
        <w:tabs>
          <w:tab w:leader="none" w:pos="80" w:val="left"/>
        </w:tabs>
        <w:numPr>
          <w:ilvl w:val="0"/>
          <w:numId w:val="90"/>
        </w:numPr>
        <w:rPr>
          <w:rFonts w:ascii="Arial" w:cs="Arial" w:eastAsia="Arial" w:hAnsi="Arial"/>
          <w:sz w:val="15"/>
          <w:szCs w:val="15"/>
          <w:color w:val="auto"/>
          <w:vertAlign w:val="superscript"/>
        </w:rPr>
      </w:pPr>
      <w:r>
        <w:rPr>
          <w:rFonts w:ascii="Arial" w:cs="Arial" w:eastAsia="Arial" w:hAnsi="Arial"/>
          <w:sz w:val="10"/>
          <w:szCs w:val="10"/>
          <w:color w:val="auto"/>
        </w:rPr>
        <w:t>Nominal value of DKK 500,000</w:t>
      </w:r>
    </w:p>
    <w:p>
      <w:pPr>
        <w:spacing w:after="0" w:line="266" w:lineRule="exact"/>
        <w:rPr>
          <w:sz w:val="20"/>
          <w:szCs w:val="20"/>
          <w:color w:val="auto"/>
        </w:rPr>
      </w:pPr>
    </w:p>
    <w:p>
      <w:pPr>
        <w:ind w:left="20" w:right="139"/>
        <w:spacing w:after="0" w:line="245" w:lineRule="auto"/>
        <w:rPr>
          <w:sz w:val="20"/>
          <w:szCs w:val="20"/>
          <w:color w:val="auto"/>
        </w:rPr>
      </w:pPr>
      <w:r>
        <w:rPr>
          <w:rFonts w:ascii="Arial" w:cs="Arial" w:eastAsia="Arial" w:hAnsi="Arial"/>
          <w:sz w:val="12"/>
          <w:szCs w:val="12"/>
          <w:color w:val="auto"/>
        </w:rPr>
        <w:t>As announced on June 17, 2022, Genmab initiated a share buy-back program. During 2022, Genmab acquired 370,000 of its own shares, representing approximately 0.6% of share capital as of December 31, 2021. The total amount paid to acquire the shares, including directly attributable costs, was DKK 908 million and was recognized as a deduction to shareholders’ equity. During 2021, Genmab acquired 200,000 of its own shares, representing approximately 0.3% of share capital as of December 31, 2020. The total amount paid to acquire the shares, including directly attributable costs, was DKK 447 million and was recognized as a deduction to shareholders’ equity. These shares are classified as treasury shares and are presented within retained earnings on the balance sheet as of December 31, 2022.</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of December 31, 2022, 589,948 treasury shares were held by Genmab.</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Section 5 – Other Disclosures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This section is comprised of various statutory disclosures or notes that are of secondary importance for the understanding of Genmab’s financials.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5.1 – Remuneration of the Board of Directors and Executive Management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4900" w:type="dxa"/>
            <w:vAlign w:val="bottom"/>
            <w:gridSpan w:val="2"/>
          </w:tcPr>
          <w:p>
            <w:pPr>
              <w:spacing w:after="0"/>
              <w:rPr>
                <w:sz w:val="20"/>
                <w:szCs w:val="20"/>
                <w:color w:val="auto"/>
              </w:rPr>
            </w:pPr>
            <w:r>
              <w:rPr>
                <w:rFonts w:ascii="Arial" w:cs="Arial" w:eastAsia="Arial" w:hAnsi="Arial"/>
                <w:sz w:val="12"/>
                <w:szCs w:val="12"/>
                <w:color w:val="auto"/>
              </w:rPr>
              <w:t>The total remuneration of the Board of Directors and Executive Management is as follows: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9"/>
        </w:trPr>
        <w:tc>
          <w:tcPr>
            <w:tcW w:w="438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2"/>
                <w:szCs w:val="12"/>
                <w:color w:val="auto"/>
              </w:rPr>
            </w:pPr>
          </w:p>
        </w:tc>
        <w:tc>
          <w:tcPr>
            <w:tcW w:w="14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15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r>
      <w:tr>
        <w:trPr>
          <w:trHeight w:val="384"/>
        </w:trPr>
        <w:tc>
          <w:tcPr>
            <w:tcW w:w="4900" w:type="dxa"/>
            <w:vAlign w:val="bottom"/>
            <w:gridSpan w:val="2"/>
          </w:tcPr>
          <w:p>
            <w:pPr>
              <w:spacing w:after="0"/>
              <w:rPr>
                <w:sz w:val="20"/>
                <w:szCs w:val="20"/>
                <w:color w:val="auto"/>
              </w:rPr>
            </w:pPr>
            <w:r>
              <w:rPr>
                <w:rFonts w:ascii="Arial" w:cs="Arial" w:eastAsia="Arial" w:hAnsi="Arial"/>
                <w:sz w:val="12"/>
                <w:szCs w:val="12"/>
                <w:color w:val="auto"/>
              </w:rPr>
              <w:t>Wages and salaries</w:t>
            </w:r>
          </w:p>
        </w:tc>
        <w:tc>
          <w:tcPr>
            <w:tcW w:w="960" w:type="dxa"/>
            <w:vAlign w:val="bottom"/>
          </w:tcPr>
          <w:p>
            <w:pPr>
              <w:jc w:val="right"/>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36"/>
        </w:trPr>
        <w:tc>
          <w:tcPr>
            <w:tcW w:w="4900" w:type="dxa"/>
            <w:vAlign w:val="bottom"/>
            <w:gridSpan w:val="2"/>
          </w:tcPr>
          <w:p>
            <w:pPr>
              <w:spacing w:after="0" w:line="136" w:lineRule="exact"/>
              <w:rPr>
                <w:sz w:val="20"/>
                <w:szCs w:val="20"/>
                <w:color w:val="auto"/>
              </w:rPr>
            </w:pPr>
            <w:r>
              <w:rPr>
                <w:rFonts w:ascii="Arial" w:cs="Arial" w:eastAsia="Arial" w:hAnsi="Arial"/>
                <w:sz w:val="12"/>
                <w:szCs w:val="12"/>
                <w:color w:val="auto"/>
              </w:rPr>
              <w:t>Share-based compensation expenses</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70</w:t>
            </w:r>
          </w:p>
        </w:tc>
        <w:tc>
          <w:tcPr>
            <w:tcW w:w="6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60" w:type="dxa"/>
            <w:vAlign w:val="bottom"/>
          </w:tcPr>
          <w:p>
            <w:pPr>
              <w:spacing w:after="0"/>
              <w:rPr>
                <w:sz w:val="11"/>
                <w:szCs w:val="11"/>
                <w:color w:val="auto"/>
              </w:rPr>
            </w:pPr>
          </w:p>
        </w:tc>
        <w:tc>
          <w:tcPr>
            <w:tcW w:w="1500" w:type="dxa"/>
            <w:vAlign w:val="bottom"/>
          </w:tcPr>
          <w:p>
            <w:pPr>
              <w:jc w:val="right"/>
              <w:spacing w:after="0" w:line="136" w:lineRule="exact"/>
              <w:rPr>
                <w:sz w:val="20"/>
                <w:szCs w:val="20"/>
                <w:color w:val="auto"/>
              </w:rPr>
            </w:pPr>
            <w:r>
              <w:rPr>
                <w:rFonts w:ascii="Arial" w:cs="Arial" w:eastAsia="Arial" w:hAnsi="Arial"/>
                <w:sz w:val="12"/>
                <w:szCs w:val="12"/>
                <w:color w:val="auto"/>
              </w:rPr>
              <w:t>43</w:t>
            </w:r>
          </w:p>
        </w:tc>
      </w:tr>
      <w:tr>
        <w:trPr>
          <w:trHeight w:val="149"/>
        </w:trPr>
        <w:tc>
          <w:tcPr>
            <w:tcW w:w="4380" w:type="dxa"/>
            <w:vAlign w:val="bottom"/>
          </w:tcPr>
          <w:p>
            <w:pPr>
              <w:spacing w:after="0"/>
              <w:rPr>
                <w:sz w:val="20"/>
                <w:szCs w:val="20"/>
                <w:color w:val="auto"/>
              </w:rPr>
            </w:pPr>
            <w:r>
              <w:rPr>
                <w:rFonts w:ascii="Arial" w:cs="Arial" w:eastAsia="Arial" w:hAnsi="Arial"/>
                <w:sz w:val="12"/>
                <w:szCs w:val="12"/>
                <w:color w:val="auto"/>
              </w:rPr>
              <w:t>Defined contribution plans</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261"/>
        </w:trPr>
        <w:tc>
          <w:tcPr>
            <w:tcW w:w="438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127</w:t>
            </w:r>
          </w:p>
        </w:tc>
        <w:tc>
          <w:tcPr>
            <w:tcW w:w="6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111</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93</w:t>
            </w:r>
          </w:p>
        </w:tc>
      </w:tr>
    </w:tbl>
    <w:p>
      <w:pPr>
        <w:spacing w:after="0" w:line="123" w:lineRule="exact"/>
        <w:rPr>
          <w:sz w:val="20"/>
          <w:szCs w:val="20"/>
          <w:color w:val="auto"/>
        </w:rPr>
      </w:pPr>
    </w:p>
    <w:p>
      <w:pPr>
        <w:ind w:left="20" w:right="479"/>
        <w:spacing w:after="0" w:line="255" w:lineRule="auto"/>
        <w:rPr>
          <w:sz w:val="20"/>
          <w:szCs w:val="20"/>
          <w:color w:val="auto"/>
        </w:rPr>
      </w:pPr>
      <w:r>
        <w:rPr>
          <w:rFonts w:ascii="Arial" w:cs="Arial" w:eastAsia="Arial" w:hAnsi="Arial"/>
          <w:sz w:val="12"/>
          <w:szCs w:val="12"/>
          <w:color w:val="auto"/>
        </w:rPr>
        <w:t>The remuneration packages for the Board of Directors and Executive Management are described in further detail in Genmab’s 2022 Compensation Report. The remuneration packages are denominated in DKK, EUR, or USD. The Compensation Committee of the Board of Directors performs an annual review of the remuneration packages. All incentive and variable remuneration is considered and adopted at the Company’s Annual General Meeting.</w:t>
      </w:r>
    </w:p>
    <w:p>
      <w:pPr>
        <w:spacing w:after="0" w:line="113" w:lineRule="exact"/>
        <w:rPr>
          <w:sz w:val="20"/>
          <w:szCs w:val="20"/>
          <w:color w:val="auto"/>
        </w:rPr>
      </w:pPr>
    </w:p>
    <w:p>
      <w:pPr>
        <w:ind w:left="20" w:right="299"/>
        <w:spacing w:after="0" w:line="273" w:lineRule="auto"/>
        <w:rPr>
          <w:sz w:val="20"/>
          <w:szCs w:val="20"/>
          <w:color w:val="auto"/>
        </w:rPr>
      </w:pPr>
      <w:r>
        <w:rPr>
          <w:rFonts w:ascii="Arial" w:cs="Arial" w:eastAsia="Arial" w:hAnsi="Arial"/>
          <w:sz w:val="12"/>
          <w:szCs w:val="12"/>
          <w:color w:val="auto"/>
        </w:rPr>
        <w:t xml:space="preserve">Share-based compensation is included in the income statement and reported in the table above. Share-based compensation expense represents the estimated fair value of the awards at grant date and does not represent actual cash compensation received by the Board Members or Executive Management. </w:t>
      </w:r>
      <w:r>
        <w:rPr>
          <w:rFonts w:ascii="Arial" w:cs="Arial" w:eastAsia="Arial" w:hAnsi="Arial"/>
          <w:sz w:val="12"/>
          <w:szCs w:val="12"/>
          <w:color w:val="029C93"/>
        </w:rPr>
        <w:t>Refer to</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4" w:name="page125"/>
    <w:bookmarkEnd w:id="12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Note 4.6 for additional information regarding Genmab’s share-based compensation programs and 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REMUNERATION TO THE BOARD OF DIRECTORS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82"/>
        </w:trPr>
        <w:tc>
          <w:tcPr>
            <w:tcW w:w="2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jc w:val="right"/>
              <w:ind w:right="104"/>
              <w:spacing w:after="0"/>
              <w:rPr>
                <w:sz w:val="20"/>
                <w:szCs w:val="20"/>
                <w:color w:val="auto"/>
              </w:rPr>
            </w:pPr>
            <w:r>
              <w:rPr>
                <w:rFonts w:ascii="Arial" w:cs="Arial" w:eastAsia="Arial" w:hAnsi="Arial"/>
                <w:sz w:val="7"/>
                <w:szCs w:val="7"/>
                <w:b w:val="1"/>
                <w:bCs w:val="1"/>
                <w:color w:val="auto"/>
              </w:rPr>
              <w:t>Committee</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jc w:val="right"/>
              <w:ind w:right="44"/>
              <w:spacing w:after="0"/>
              <w:rPr>
                <w:sz w:val="20"/>
                <w:szCs w:val="20"/>
                <w:color w:val="auto"/>
              </w:rPr>
            </w:pPr>
            <w:r>
              <w:rPr>
                <w:rFonts w:ascii="Arial" w:cs="Arial" w:eastAsia="Arial" w:hAnsi="Arial"/>
                <w:sz w:val="7"/>
                <w:szCs w:val="7"/>
                <w:b w:val="1"/>
                <w:bCs w:val="1"/>
                <w:color w:val="auto"/>
                <w:w w:val="98"/>
              </w:rPr>
              <w:t>Base Board Fee</w:t>
            </w: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jc w:val="right"/>
              <w:ind w:right="204"/>
              <w:spacing w:after="0"/>
              <w:rPr>
                <w:sz w:val="20"/>
                <w:szCs w:val="20"/>
                <w:color w:val="auto"/>
              </w:rPr>
            </w:pPr>
            <w:r>
              <w:rPr>
                <w:rFonts w:ascii="Arial" w:cs="Arial" w:eastAsia="Arial" w:hAnsi="Arial"/>
                <w:sz w:val="7"/>
                <w:szCs w:val="7"/>
                <w:b w:val="1"/>
                <w:bCs w:val="1"/>
                <w:color w:val="auto"/>
              </w:rPr>
              <w:t>Fees</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7"/>
                <w:szCs w:val="7"/>
                <w:b w:val="1"/>
                <w:bCs w:val="1"/>
                <w:color w:val="auto"/>
              </w:rPr>
              <w:t>Share-Based Compensation Expenses</w:t>
            </w:r>
          </w:p>
        </w:tc>
        <w:tc>
          <w:tcPr>
            <w:tcW w:w="520" w:type="dxa"/>
            <w:vAlign w:val="bottom"/>
          </w:tcPr>
          <w:p>
            <w:pPr>
              <w:spacing w:after="0"/>
              <w:rPr>
                <w:sz w:val="7"/>
                <w:szCs w:val="7"/>
                <w:color w:val="auto"/>
              </w:rPr>
            </w:pPr>
          </w:p>
        </w:tc>
        <w:tc>
          <w:tcPr>
            <w:tcW w:w="580" w:type="dxa"/>
            <w:vAlign w:val="bottom"/>
          </w:tcPr>
          <w:p>
            <w:pPr>
              <w:jc w:val="right"/>
              <w:ind w:right="204"/>
              <w:spacing w:after="0"/>
              <w:rPr>
                <w:sz w:val="20"/>
                <w:szCs w:val="20"/>
                <w:color w:val="auto"/>
              </w:rPr>
            </w:pPr>
            <w:r>
              <w:rPr>
                <w:rFonts w:ascii="Arial" w:cs="Arial" w:eastAsia="Arial" w:hAnsi="Arial"/>
                <w:sz w:val="7"/>
                <w:szCs w:val="7"/>
                <w:b w:val="1"/>
                <w:bCs w:val="1"/>
                <w:color w:val="auto"/>
              </w:rPr>
              <w:t>Total</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rPr>
                <w:sz w:val="20"/>
                <w:szCs w:val="20"/>
                <w:color w:val="auto"/>
              </w:rPr>
            </w:pPr>
            <w:r>
              <w:rPr>
                <w:rFonts w:ascii="Arial" w:cs="Arial" w:eastAsia="Arial" w:hAnsi="Arial"/>
                <w:sz w:val="7"/>
                <w:szCs w:val="7"/>
                <w:b w:val="1"/>
                <w:bCs w:val="1"/>
                <w:color w:val="auto"/>
              </w:rPr>
              <w:t>(DKK million)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2022</w:t>
            </w: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2021</w:t>
            </w:r>
          </w:p>
        </w:tc>
        <w:tc>
          <w:tcPr>
            <w:tcW w:w="4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2020</w:t>
            </w:r>
          </w:p>
        </w:tc>
        <w:tc>
          <w:tcPr>
            <w:tcW w:w="140" w:type="dxa"/>
            <w:vAlign w:val="bottom"/>
          </w:tcPr>
          <w:p>
            <w:pPr>
              <w:spacing w:after="0"/>
              <w:rPr>
                <w:sz w:val="7"/>
                <w:szCs w:val="7"/>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2021</w:t>
            </w:r>
          </w:p>
        </w:tc>
        <w:tc>
          <w:tcPr>
            <w:tcW w:w="4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2020</w:t>
            </w:r>
          </w:p>
        </w:tc>
        <w:tc>
          <w:tcPr>
            <w:tcW w:w="160" w:type="dxa"/>
            <w:vAlign w:val="bottom"/>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2022</w:t>
            </w: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2021</w:t>
            </w:r>
          </w:p>
        </w:tc>
        <w:tc>
          <w:tcPr>
            <w:tcW w:w="4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2020</w:t>
            </w:r>
          </w:p>
        </w:tc>
        <w:tc>
          <w:tcPr>
            <w:tcW w:w="160" w:type="dxa"/>
            <w:vAlign w:val="bottom"/>
          </w:tcPr>
          <w:p>
            <w:pPr>
              <w:spacing w:after="0"/>
              <w:rPr>
                <w:sz w:val="7"/>
                <w:szCs w:val="7"/>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2021</w:t>
            </w:r>
          </w:p>
        </w:tc>
        <w:tc>
          <w:tcPr>
            <w:tcW w:w="46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2020</w:t>
            </w:r>
          </w:p>
        </w:tc>
        <w:tc>
          <w:tcPr>
            <w:tcW w:w="0" w:type="dxa"/>
            <w:vAlign w:val="bottom"/>
          </w:tcPr>
          <w:p>
            <w:pPr>
              <w:spacing w:after="0"/>
              <w:rPr>
                <w:sz w:val="1"/>
                <w:szCs w:val="1"/>
                <w:color w:val="auto"/>
              </w:rPr>
            </w:pPr>
          </w:p>
        </w:tc>
      </w:tr>
      <w:tr>
        <w:trPr>
          <w:trHeight w:val="71"/>
        </w:trPr>
        <w:tc>
          <w:tcPr>
            <w:tcW w:w="2140" w:type="dxa"/>
            <w:vAlign w:val="bottom"/>
            <w:vMerge w:val="restart"/>
          </w:tcPr>
          <w:p>
            <w:pPr>
              <w:spacing w:after="0"/>
              <w:rPr>
                <w:sz w:val="20"/>
                <w:szCs w:val="20"/>
                <w:color w:val="auto"/>
              </w:rPr>
            </w:pPr>
            <w:r>
              <w:rPr>
                <w:rFonts w:ascii="Arial" w:cs="Arial" w:eastAsia="Arial" w:hAnsi="Arial"/>
                <w:sz w:val="7"/>
                <w:szCs w:val="7"/>
                <w:color w:val="auto"/>
              </w:rPr>
              <w:t>Deirdre P. Connelly</w:t>
            </w:r>
          </w:p>
        </w:tc>
        <w:tc>
          <w:tcPr>
            <w:tcW w:w="500" w:type="dxa"/>
            <w:vAlign w:val="bottom"/>
          </w:tcPr>
          <w:p>
            <w:pPr>
              <w:spacing w:after="0"/>
              <w:rPr>
                <w:sz w:val="6"/>
                <w:szCs w:val="6"/>
                <w:color w:val="auto"/>
              </w:rPr>
            </w:pPr>
          </w:p>
        </w:tc>
        <w:tc>
          <w:tcPr>
            <w:tcW w:w="620" w:type="dxa"/>
            <w:vAlign w:val="bottom"/>
            <w:vMerge w:val="restart"/>
          </w:tcPr>
          <w:p>
            <w:pPr>
              <w:jc w:val="right"/>
              <w:ind w:right="104"/>
              <w:spacing w:after="0"/>
              <w:rPr>
                <w:sz w:val="20"/>
                <w:szCs w:val="20"/>
                <w:color w:val="auto"/>
              </w:rPr>
            </w:pPr>
            <w:r>
              <w:rPr>
                <w:rFonts w:ascii="Arial" w:cs="Arial" w:eastAsia="Arial" w:hAnsi="Arial"/>
                <w:sz w:val="7"/>
                <w:szCs w:val="7"/>
                <w:color w:val="auto"/>
              </w:rPr>
              <w:t>1.2</w:t>
            </w:r>
          </w:p>
        </w:tc>
        <w:tc>
          <w:tcPr>
            <w:tcW w:w="420" w:type="dxa"/>
            <w:vAlign w:val="bottom"/>
            <w:vMerge w:val="restart"/>
          </w:tcPr>
          <w:p>
            <w:pPr>
              <w:jc w:val="right"/>
              <w:ind w:right="4"/>
              <w:spacing w:after="0"/>
              <w:rPr>
                <w:sz w:val="20"/>
                <w:szCs w:val="20"/>
                <w:color w:val="auto"/>
              </w:rPr>
            </w:pPr>
            <w:r>
              <w:rPr>
                <w:rFonts w:ascii="Arial" w:cs="Arial" w:eastAsia="Arial" w:hAnsi="Arial"/>
                <w:sz w:val="7"/>
                <w:szCs w:val="7"/>
                <w:color w:val="auto"/>
              </w:rPr>
              <w:t>1.1</w:t>
            </w:r>
          </w:p>
        </w:tc>
        <w:tc>
          <w:tcPr>
            <w:tcW w:w="14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right"/>
              <w:ind w:right="64"/>
              <w:spacing w:after="0"/>
              <w:rPr>
                <w:sz w:val="20"/>
                <w:szCs w:val="20"/>
                <w:color w:val="auto"/>
              </w:rPr>
            </w:pPr>
            <w:r>
              <w:rPr>
                <w:rFonts w:ascii="Arial" w:cs="Arial" w:eastAsia="Arial" w:hAnsi="Arial"/>
                <w:sz w:val="7"/>
                <w:szCs w:val="7"/>
                <w:color w:val="auto"/>
              </w:rPr>
              <w:t>0.5</w:t>
            </w:r>
          </w:p>
        </w:tc>
        <w:tc>
          <w:tcPr>
            <w:tcW w:w="440" w:type="dxa"/>
            <w:vAlign w:val="bottom"/>
            <w:vMerge w:val="restart"/>
          </w:tcPr>
          <w:p>
            <w:pPr>
              <w:jc w:val="right"/>
              <w:spacing w:after="0"/>
              <w:rPr>
                <w:sz w:val="20"/>
                <w:szCs w:val="20"/>
                <w:color w:val="auto"/>
              </w:rPr>
            </w:pPr>
            <w:r>
              <w:rPr>
                <w:rFonts w:ascii="Arial" w:cs="Arial" w:eastAsia="Arial" w:hAnsi="Arial"/>
                <w:sz w:val="7"/>
                <w:szCs w:val="7"/>
                <w:color w:val="auto"/>
              </w:rPr>
              <w:t>0.5</w:t>
            </w:r>
          </w:p>
        </w:tc>
        <w:tc>
          <w:tcPr>
            <w:tcW w:w="16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vMerge w:val="restart"/>
          </w:tcPr>
          <w:p>
            <w:pPr>
              <w:jc w:val="right"/>
              <w:ind w:right="84"/>
              <w:spacing w:after="0"/>
              <w:rPr>
                <w:sz w:val="20"/>
                <w:szCs w:val="20"/>
                <w:color w:val="auto"/>
              </w:rPr>
            </w:pPr>
            <w:r>
              <w:rPr>
                <w:rFonts w:ascii="Arial" w:cs="Arial" w:eastAsia="Arial" w:hAnsi="Arial"/>
                <w:sz w:val="7"/>
                <w:szCs w:val="7"/>
                <w:color w:val="auto"/>
              </w:rPr>
              <w:t>0.7</w:t>
            </w:r>
          </w:p>
        </w:tc>
        <w:tc>
          <w:tcPr>
            <w:tcW w:w="440" w:type="dxa"/>
            <w:vAlign w:val="bottom"/>
            <w:vMerge w:val="restart"/>
          </w:tcPr>
          <w:p>
            <w:pPr>
              <w:jc w:val="right"/>
              <w:spacing w:after="0"/>
              <w:rPr>
                <w:sz w:val="20"/>
                <w:szCs w:val="20"/>
                <w:color w:val="auto"/>
              </w:rPr>
            </w:pPr>
            <w:r>
              <w:rPr>
                <w:rFonts w:ascii="Arial" w:cs="Arial" w:eastAsia="Arial" w:hAnsi="Arial"/>
                <w:sz w:val="7"/>
                <w:szCs w:val="7"/>
                <w:color w:val="auto"/>
              </w:rPr>
              <w:t>0.7</w:t>
            </w:r>
          </w:p>
        </w:tc>
        <w:tc>
          <w:tcPr>
            <w:tcW w:w="16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right"/>
              <w:ind w:right="64"/>
              <w:spacing w:after="0"/>
              <w:rPr>
                <w:sz w:val="20"/>
                <w:szCs w:val="20"/>
                <w:color w:val="auto"/>
              </w:rPr>
            </w:pPr>
            <w:r>
              <w:rPr>
                <w:rFonts w:ascii="Arial" w:cs="Arial" w:eastAsia="Arial" w:hAnsi="Arial"/>
                <w:sz w:val="7"/>
                <w:szCs w:val="7"/>
                <w:color w:val="auto"/>
              </w:rPr>
              <w:t>2.4</w:t>
            </w:r>
          </w:p>
        </w:tc>
        <w:tc>
          <w:tcPr>
            <w:tcW w:w="460" w:type="dxa"/>
            <w:vAlign w:val="bottom"/>
            <w:vMerge w:val="restart"/>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73"/>
        </w:trPr>
        <w:tc>
          <w:tcPr>
            <w:tcW w:w="2140" w:type="dxa"/>
            <w:vAlign w:val="bottom"/>
            <w:vMerge w:val="continue"/>
          </w:tcPr>
          <w:p>
            <w:pPr>
              <w:spacing w:after="0"/>
              <w:rPr>
                <w:sz w:val="6"/>
                <w:szCs w:val="6"/>
                <w:color w:val="auto"/>
              </w:rPr>
            </w:pPr>
          </w:p>
        </w:tc>
        <w:tc>
          <w:tcPr>
            <w:tcW w:w="500" w:type="dxa"/>
            <w:vAlign w:val="bottom"/>
            <w:tcBorders>
              <w:right w:val="single" w:sz="8" w:color="F2F2F2"/>
            </w:tcBorders>
            <w:shd w:val="clear" w:color="auto" w:fill="F2F2F2"/>
          </w:tcPr>
          <w:p>
            <w:pPr>
              <w:jc w:val="right"/>
              <w:spacing w:after="0" w:line="74" w:lineRule="exact"/>
              <w:rPr>
                <w:sz w:val="20"/>
                <w:szCs w:val="20"/>
                <w:color w:val="auto"/>
              </w:rPr>
            </w:pPr>
            <w:r>
              <w:rPr>
                <w:rFonts w:ascii="Arial" w:cs="Arial" w:eastAsia="Arial" w:hAnsi="Arial"/>
                <w:sz w:val="7"/>
                <w:szCs w:val="7"/>
                <w:color w:val="auto"/>
              </w:rPr>
              <w:t>1.2</w:t>
            </w:r>
          </w:p>
        </w:tc>
        <w:tc>
          <w:tcPr>
            <w:tcW w:w="6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shd w:val="clear" w:color="auto" w:fill="F2F2F2"/>
          </w:tcPr>
          <w:p>
            <w:pPr>
              <w:jc w:val="right"/>
              <w:ind w:right="4"/>
              <w:spacing w:after="0" w:line="74" w:lineRule="exact"/>
              <w:rPr>
                <w:sz w:val="20"/>
                <w:szCs w:val="20"/>
                <w:color w:val="auto"/>
              </w:rPr>
            </w:pPr>
            <w:r>
              <w:rPr>
                <w:rFonts w:ascii="Arial" w:cs="Arial" w:eastAsia="Arial" w:hAnsi="Arial"/>
                <w:sz w:val="7"/>
                <w:szCs w:val="7"/>
                <w:color w:val="auto"/>
              </w:rPr>
              <w:t>0.5</w:t>
            </w:r>
          </w:p>
        </w:tc>
        <w:tc>
          <w:tcPr>
            <w:tcW w:w="5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20" w:type="dxa"/>
            <w:vAlign w:val="bottom"/>
            <w:shd w:val="clear" w:color="auto" w:fill="F2F2F2"/>
          </w:tcPr>
          <w:p>
            <w:pPr>
              <w:jc w:val="right"/>
              <w:spacing w:after="0" w:line="74" w:lineRule="exact"/>
              <w:rPr>
                <w:sz w:val="20"/>
                <w:szCs w:val="20"/>
                <w:color w:val="auto"/>
              </w:rPr>
            </w:pPr>
            <w:r>
              <w:rPr>
                <w:rFonts w:ascii="Arial" w:cs="Arial" w:eastAsia="Arial" w:hAnsi="Arial"/>
                <w:sz w:val="7"/>
                <w:szCs w:val="7"/>
                <w:color w:val="auto"/>
              </w:rPr>
              <w:t>0.9</w:t>
            </w:r>
          </w:p>
        </w:tc>
        <w:tc>
          <w:tcPr>
            <w:tcW w:w="6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20" w:type="dxa"/>
            <w:vAlign w:val="bottom"/>
            <w:shd w:val="clear" w:color="auto" w:fill="F2F2F2"/>
          </w:tcPr>
          <w:p>
            <w:pPr>
              <w:jc w:val="right"/>
              <w:ind w:right="4"/>
              <w:spacing w:after="0" w:line="74" w:lineRule="exact"/>
              <w:rPr>
                <w:sz w:val="20"/>
                <w:szCs w:val="20"/>
                <w:color w:val="auto"/>
              </w:rPr>
            </w:pPr>
            <w:r>
              <w:rPr>
                <w:rFonts w:ascii="Arial" w:cs="Arial" w:eastAsia="Arial" w:hAnsi="Arial"/>
                <w:sz w:val="7"/>
                <w:szCs w:val="7"/>
                <w:color w:val="auto"/>
              </w:rPr>
              <w:t>2.6</w:t>
            </w:r>
          </w:p>
        </w:tc>
        <w:tc>
          <w:tcPr>
            <w:tcW w:w="5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140" w:type="dxa"/>
            <w:vAlign w:val="bottom"/>
          </w:tcPr>
          <w:p>
            <w:pPr>
              <w:spacing w:after="0"/>
              <w:rPr>
                <w:sz w:val="20"/>
                <w:szCs w:val="20"/>
                <w:color w:val="auto"/>
              </w:rPr>
            </w:pPr>
            <w:r>
              <w:rPr>
                <w:rFonts w:ascii="Arial" w:cs="Arial" w:eastAsia="Arial" w:hAnsi="Arial"/>
                <w:sz w:val="7"/>
                <w:szCs w:val="7"/>
                <w:color w:val="auto"/>
              </w:rPr>
              <w:t>Pernille Erenbjerg</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0.9</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0.9</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0.7</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0.4</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0.7</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0.5</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2.0</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1.8</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1.5</w:t>
            </w:r>
          </w:p>
        </w:tc>
        <w:tc>
          <w:tcPr>
            <w:tcW w:w="0" w:type="dxa"/>
            <w:vAlign w:val="bottom"/>
          </w:tcPr>
          <w:p>
            <w:pPr>
              <w:spacing w:after="0"/>
              <w:rPr>
                <w:sz w:val="1"/>
                <w:szCs w:val="1"/>
                <w:color w:val="auto"/>
              </w:rPr>
            </w:pPr>
          </w:p>
        </w:tc>
      </w:tr>
      <w:tr>
        <w:trPr>
          <w:trHeight w:val="82"/>
        </w:trPr>
        <w:tc>
          <w:tcPr>
            <w:tcW w:w="2140" w:type="dxa"/>
            <w:vAlign w:val="bottom"/>
          </w:tcPr>
          <w:p>
            <w:pPr>
              <w:spacing w:after="0"/>
              <w:rPr>
                <w:sz w:val="20"/>
                <w:szCs w:val="20"/>
                <w:color w:val="auto"/>
              </w:rPr>
            </w:pPr>
            <w:r>
              <w:rPr>
                <w:rFonts w:ascii="Arial" w:cs="Arial" w:eastAsia="Arial" w:hAnsi="Arial"/>
                <w:sz w:val="7"/>
                <w:szCs w:val="7"/>
                <w:color w:val="auto"/>
              </w:rPr>
              <w:t>Anders Gersel Pedersen</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0.6</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0.4</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0.4</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0.5</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1.5</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82"/>
        </w:trPr>
        <w:tc>
          <w:tcPr>
            <w:tcW w:w="2140" w:type="dxa"/>
            <w:vAlign w:val="bottom"/>
          </w:tcPr>
          <w:p>
            <w:pPr>
              <w:spacing w:after="0"/>
              <w:rPr>
                <w:sz w:val="20"/>
                <w:szCs w:val="20"/>
                <w:color w:val="auto"/>
              </w:rPr>
            </w:pPr>
            <w:r>
              <w:rPr>
                <w:rFonts w:ascii="Arial" w:cs="Arial" w:eastAsia="Arial" w:hAnsi="Arial"/>
                <w:sz w:val="7"/>
                <w:szCs w:val="7"/>
                <w:color w:val="auto"/>
              </w:rPr>
              <w:t>Paolo Paoletti</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0.6</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0.4</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0.3</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40" w:type="dxa"/>
            <w:vAlign w:val="bottom"/>
          </w:tcPr>
          <w:p>
            <w:pPr>
              <w:jc w:val="right"/>
              <w:spacing w:after="0"/>
              <w:rPr>
                <w:sz w:val="20"/>
                <w:szCs w:val="20"/>
                <w:color w:val="auto"/>
              </w:rPr>
            </w:pPr>
            <w:r>
              <w:rPr>
                <w:rFonts w:ascii="Arial" w:cs="Arial" w:eastAsia="Arial" w:hAnsi="Arial"/>
                <w:sz w:val="7"/>
                <w:szCs w:val="7"/>
                <w:color w:val="auto"/>
              </w:rPr>
              <w:t>0.3</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1.4</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1.1</w:t>
            </w:r>
          </w:p>
        </w:tc>
        <w:tc>
          <w:tcPr>
            <w:tcW w:w="0" w:type="dxa"/>
            <w:vAlign w:val="bottom"/>
          </w:tcPr>
          <w:p>
            <w:pPr>
              <w:spacing w:after="0"/>
              <w:rPr>
                <w:sz w:val="1"/>
                <w:szCs w:val="1"/>
                <w:color w:val="auto"/>
              </w:rPr>
            </w:pPr>
          </w:p>
        </w:tc>
      </w:tr>
      <w:tr>
        <w:trPr>
          <w:trHeight w:val="82"/>
        </w:trPr>
        <w:tc>
          <w:tcPr>
            <w:tcW w:w="2140" w:type="dxa"/>
            <w:vAlign w:val="bottom"/>
          </w:tcPr>
          <w:p>
            <w:pPr>
              <w:spacing w:after="0"/>
              <w:rPr>
                <w:sz w:val="20"/>
                <w:szCs w:val="20"/>
                <w:color w:val="auto"/>
              </w:rPr>
            </w:pPr>
            <w:r>
              <w:rPr>
                <w:rFonts w:ascii="Arial" w:cs="Arial" w:eastAsia="Arial" w:hAnsi="Arial"/>
                <w:sz w:val="7"/>
                <w:szCs w:val="7"/>
                <w:color w:val="auto"/>
              </w:rPr>
              <w:t>Rolf Hoffmann</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0.6</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0.4</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0.3</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0.3</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0.5</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1.4</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Elizabeth O’Farrell</w:t>
            </w:r>
            <w:r>
              <w:rPr>
                <w:rFonts w:ascii="Arial" w:cs="Arial" w:eastAsia="Arial" w:hAnsi="Arial"/>
                <w:sz w:val="9"/>
                <w:szCs w:val="9"/>
                <w:color w:val="auto"/>
                <w:vertAlign w:val="superscript"/>
              </w:rPr>
              <w:t>1</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0.2</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0.6</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1.3</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Jonathan Peacock</w:t>
            </w:r>
            <w:r>
              <w:rPr>
                <w:rFonts w:ascii="Arial" w:cs="Arial" w:eastAsia="Arial" w:hAnsi="Arial"/>
                <w:sz w:val="9"/>
                <w:szCs w:val="9"/>
                <w:color w:val="auto"/>
                <w:vertAlign w:val="superscript"/>
              </w:rPr>
              <w:t>2</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0.5</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0.3</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0.3</w:t>
            </w:r>
          </w:p>
        </w:tc>
        <w:tc>
          <w:tcPr>
            <w:tcW w:w="440" w:type="dxa"/>
            <w:vAlign w:val="bottom"/>
          </w:tcPr>
          <w:p>
            <w:pPr>
              <w:jc w:val="right"/>
              <w:spacing w:after="0"/>
              <w:rPr>
                <w:sz w:val="20"/>
                <w:szCs w:val="20"/>
                <w:color w:val="auto"/>
              </w:rPr>
            </w:pPr>
            <w:r>
              <w:rPr>
                <w:rFonts w:ascii="Arial" w:cs="Arial" w:eastAsia="Arial" w:hAnsi="Arial"/>
                <w:sz w:val="7"/>
                <w:szCs w:val="7"/>
                <w:color w:val="auto"/>
              </w:rPr>
              <w:t>0.3</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0.6</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Mats Pettersson</w:t>
            </w:r>
            <w:r>
              <w:rPr>
                <w:rFonts w:ascii="Arial" w:cs="Arial" w:eastAsia="Arial" w:hAnsi="Arial"/>
                <w:sz w:val="9"/>
                <w:szCs w:val="9"/>
                <w:color w:val="auto"/>
                <w:vertAlign w:val="superscript"/>
              </w:rPr>
              <w:t>3</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0.3</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0.1</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1.6</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2.0</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Mijke Zachariasse</w:t>
            </w:r>
            <w:r>
              <w:rPr>
                <w:rFonts w:ascii="Arial" w:cs="Arial" w:eastAsia="Arial" w:hAnsi="Arial"/>
                <w:sz w:val="9"/>
                <w:szCs w:val="9"/>
                <w:color w:val="auto"/>
                <w:vertAlign w:val="superscript"/>
              </w:rPr>
              <w:t>4</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0.6</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0.4</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0.4</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0.3</w:t>
            </w:r>
          </w:p>
        </w:tc>
        <w:tc>
          <w:tcPr>
            <w:tcW w:w="440" w:type="dxa"/>
            <w:vAlign w:val="bottom"/>
          </w:tcPr>
          <w:p>
            <w:pPr>
              <w:jc w:val="right"/>
              <w:spacing w:after="0"/>
              <w:rPr>
                <w:sz w:val="20"/>
                <w:szCs w:val="20"/>
                <w:color w:val="auto"/>
              </w:rPr>
            </w:pPr>
            <w:r>
              <w:rPr>
                <w:rFonts w:ascii="Arial" w:cs="Arial" w:eastAsia="Arial" w:hAnsi="Arial"/>
                <w:sz w:val="7"/>
                <w:szCs w:val="7"/>
                <w:color w:val="auto"/>
              </w:rPr>
              <w:t>0.1</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1.0</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0.5</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Martin Schultz</w:t>
            </w:r>
            <w:r>
              <w:rPr>
                <w:rFonts w:ascii="Arial" w:cs="Arial" w:eastAsia="Arial" w:hAnsi="Arial"/>
                <w:sz w:val="9"/>
                <w:szCs w:val="9"/>
                <w:color w:val="auto"/>
                <w:vertAlign w:val="superscript"/>
              </w:rPr>
              <w:t>4</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0.5</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Takahiro Hamatani</w:t>
            </w:r>
            <w:r>
              <w:rPr>
                <w:rFonts w:ascii="Arial" w:cs="Arial" w:eastAsia="Arial" w:hAnsi="Arial"/>
                <w:sz w:val="9"/>
                <w:szCs w:val="9"/>
                <w:color w:val="auto"/>
                <w:vertAlign w:val="superscript"/>
              </w:rPr>
              <w:t>4</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0.5</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0.5</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Peter Storm Kristensen</w:t>
            </w:r>
            <w:r>
              <w:rPr>
                <w:rFonts w:ascii="Arial" w:cs="Arial" w:eastAsia="Arial" w:hAnsi="Arial"/>
                <w:sz w:val="9"/>
                <w:szCs w:val="9"/>
                <w:color w:val="auto"/>
                <w:vertAlign w:val="superscript"/>
              </w:rPr>
              <w:t>5</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0.1</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0.4</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0.1</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0.4</w:t>
            </w:r>
          </w:p>
        </w:tc>
        <w:tc>
          <w:tcPr>
            <w:tcW w:w="440" w:type="dxa"/>
            <w:vAlign w:val="bottom"/>
          </w:tcPr>
          <w:p>
            <w:pPr>
              <w:jc w:val="right"/>
              <w:spacing w:after="0"/>
              <w:rPr>
                <w:sz w:val="20"/>
                <w:szCs w:val="20"/>
                <w:color w:val="auto"/>
              </w:rPr>
            </w:pPr>
            <w:r>
              <w:rPr>
                <w:rFonts w:ascii="Arial" w:cs="Arial" w:eastAsia="Arial" w:hAnsi="Arial"/>
                <w:sz w:val="7"/>
                <w:szCs w:val="7"/>
                <w:color w:val="auto"/>
              </w:rPr>
              <w:t>0.4</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0.2</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0.8</w:t>
            </w:r>
          </w:p>
        </w:tc>
        <w:tc>
          <w:tcPr>
            <w:tcW w:w="0" w:type="dxa"/>
            <w:vAlign w:val="bottom"/>
          </w:tcPr>
          <w:p>
            <w:pPr>
              <w:spacing w:after="0"/>
              <w:rPr>
                <w:sz w:val="1"/>
                <w:szCs w:val="1"/>
                <w:color w:val="auto"/>
              </w:rPr>
            </w:pPr>
          </w:p>
        </w:tc>
      </w:tr>
      <w:tr>
        <w:trPr>
          <w:trHeight w:val="82"/>
        </w:trPr>
        <w:tc>
          <w:tcPr>
            <w:tcW w:w="2140" w:type="dxa"/>
            <w:vAlign w:val="bottom"/>
          </w:tcPr>
          <w:p>
            <w:pPr>
              <w:spacing w:after="0" w:line="82" w:lineRule="exact"/>
              <w:rPr>
                <w:sz w:val="20"/>
                <w:szCs w:val="20"/>
                <w:color w:val="auto"/>
              </w:rPr>
            </w:pPr>
            <w:r>
              <w:rPr>
                <w:rFonts w:ascii="Arial" w:cs="Arial" w:eastAsia="Arial" w:hAnsi="Arial"/>
                <w:sz w:val="7"/>
                <w:szCs w:val="7"/>
                <w:color w:val="auto"/>
              </w:rPr>
              <w:t>Rima Bawarshi Nassar</w:t>
            </w:r>
            <w:r>
              <w:rPr>
                <w:rFonts w:ascii="Arial" w:cs="Arial" w:eastAsia="Arial" w:hAnsi="Arial"/>
                <w:sz w:val="9"/>
                <w:szCs w:val="9"/>
                <w:color w:val="auto"/>
                <w:vertAlign w:val="superscript"/>
              </w:rPr>
              <w:t>5,6</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0.1</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0.6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0.1</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0.1</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0.2</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0.2</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0.1</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7"/>
                <w:szCs w:val="7"/>
                <w:color w:val="auto"/>
              </w:rPr>
              <w:t>Daniel J. Bruno</w:t>
            </w:r>
            <w:r>
              <w:rPr>
                <w:rFonts w:ascii="Arial" w:cs="Arial" w:eastAsia="Arial" w:hAnsi="Arial"/>
                <w:sz w:val="10"/>
                <w:szCs w:val="10"/>
                <w:color w:val="auto"/>
                <w:vertAlign w:val="superscript"/>
              </w:rPr>
              <w:t>6</w:t>
            </w:r>
          </w:p>
        </w:tc>
        <w:tc>
          <w:tcPr>
            <w:tcW w:w="50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0.3</w:t>
            </w:r>
          </w:p>
        </w:tc>
        <w:tc>
          <w:tcPr>
            <w:tcW w:w="140" w:type="dxa"/>
            <w:vAlign w:val="bottom"/>
          </w:tcPr>
          <w:p>
            <w:pPr>
              <w:spacing w:after="0"/>
              <w:rPr>
                <w:sz w:val="7"/>
                <w:szCs w:val="7"/>
                <w:color w:val="auto"/>
              </w:rPr>
            </w:pP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520" w:type="dxa"/>
            <w:vAlign w:val="bottom"/>
            <w:shd w:val="clear" w:color="auto" w:fill="F2F2F2"/>
          </w:tcPr>
          <w:p>
            <w:pPr>
              <w:jc w:val="right"/>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7"/>
                <w:szCs w:val="7"/>
                <w:color w:val="auto"/>
              </w:rPr>
              <w:t>(0.4)</w:t>
            </w:r>
          </w:p>
        </w:tc>
        <w:tc>
          <w:tcPr>
            <w:tcW w:w="520" w:type="dxa"/>
            <w:vAlign w:val="bottom"/>
            <w:shd w:val="clear" w:color="auto" w:fill="F2F2F2"/>
          </w:tcPr>
          <w:p>
            <w:pPr>
              <w:jc w:val="right"/>
              <w:ind w:right="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460" w:type="dxa"/>
            <w:vAlign w:val="bottom"/>
          </w:tcPr>
          <w:p>
            <w:pPr>
              <w:jc w:val="right"/>
              <w:spacing w:after="0"/>
              <w:rPr>
                <w:sz w:val="20"/>
                <w:szCs w:val="20"/>
                <w:color w:val="auto"/>
              </w:rPr>
            </w:pPr>
            <w:r>
              <w:rPr>
                <w:rFonts w:ascii="Arial" w:cs="Arial" w:eastAsia="Arial" w:hAnsi="Arial"/>
                <w:sz w:val="7"/>
                <w:szCs w:val="7"/>
                <w:color w:val="auto"/>
              </w:rPr>
              <w:t>(0.1)</w:t>
            </w:r>
          </w:p>
        </w:tc>
        <w:tc>
          <w:tcPr>
            <w:tcW w:w="0" w:type="dxa"/>
            <w:vAlign w:val="bottom"/>
          </w:tcPr>
          <w:p>
            <w:pPr>
              <w:spacing w:after="0"/>
              <w:rPr>
                <w:sz w:val="1"/>
                <w:szCs w:val="1"/>
                <w:color w:val="auto"/>
              </w:rPr>
            </w:pPr>
          </w:p>
        </w:tc>
      </w:tr>
      <w:tr>
        <w:trPr>
          <w:trHeight w:val="152"/>
        </w:trPr>
        <w:tc>
          <w:tcPr>
            <w:tcW w:w="2140" w:type="dxa"/>
            <w:vAlign w:val="bottom"/>
          </w:tcPr>
          <w:p>
            <w:pPr>
              <w:spacing w:after="0"/>
              <w:rPr>
                <w:sz w:val="20"/>
                <w:szCs w:val="20"/>
                <w:color w:val="auto"/>
              </w:rPr>
            </w:pPr>
            <w:r>
              <w:rPr>
                <w:rFonts w:ascii="Arial" w:cs="Arial" w:eastAsia="Arial" w:hAnsi="Arial"/>
                <w:sz w:val="7"/>
                <w:szCs w:val="7"/>
                <w:b w:val="1"/>
                <w:bCs w:val="1"/>
                <w:color w:val="auto"/>
              </w:rPr>
              <w:t>Total</w:t>
            </w:r>
          </w:p>
        </w:tc>
        <w:tc>
          <w:tcPr>
            <w:tcW w:w="500" w:type="dxa"/>
            <w:vAlign w:val="bottom"/>
            <w:tcBorders>
              <w:top w:val="single" w:sz="8" w:color="auto"/>
              <w:bottom w:val="single" w:sz="8" w:color="auto"/>
              <w:right w:val="single" w:sz="8" w:color="F2F2F2"/>
            </w:tcBorders>
            <w:shd w:val="clear" w:color="auto" w:fill="F2F2F2"/>
          </w:tcPr>
          <w:p>
            <w:pPr>
              <w:jc w:val="right"/>
              <w:spacing w:after="0"/>
              <w:rPr>
                <w:sz w:val="20"/>
                <w:szCs w:val="20"/>
                <w:color w:val="auto"/>
              </w:rPr>
            </w:pPr>
            <w:r>
              <w:rPr>
                <w:rFonts w:ascii="Arial" w:cs="Arial" w:eastAsia="Arial" w:hAnsi="Arial"/>
                <w:sz w:val="7"/>
                <w:szCs w:val="7"/>
                <w:b w:val="1"/>
                <w:bCs w:val="1"/>
                <w:color w:val="auto"/>
              </w:rPr>
              <w:t>6.2</w:t>
            </w:r>
          </w:p>
        </w:tc>
        <w:tc>
          <w:tcPr>
            <w:tcW w:w="62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6.2</w:t>
            </w:r>
          </w:p>
        </w:tc>
        <w:tc>
          <w:tcPr>
            <w:tcW w:w="4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4.8</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shd w:val="clear" w:color="auto" w:fill="F2F2F2"/>
          </w:tcPr>
          <w:p>
            <w:pPr>
              <w:jc w:val="right"/>
              <w:ind w:right="4"/>
              <w:spacing w:after="0"/>
              <w:rPr>
                <w:sz w:val="20"/>
                <w:szCs w:val="20"/>
                <w:color w:val="auto"/>
              </w:rPr>
            </w:pPr>
            <w:r>
              <w:rPr>
                <w:rFonts w:ascii="Arial" w:cs="Arial" w:eastAsia="Arial" w:hAnsi="Arial"/>
                <w:sz w:val="7"/>
                <w:szCs w:val="7"/>
                <w:b w:val="1"/>
                <w:bCs w:val="1"/>
                <w:color w:val="auto"/>
              </w:rPr>
              <w:t>2.1</w:t>
            </w:r>
          </w:p>
        </w:tc>
        <w:tc>
          <w:tcPr>
            <w:tcW w:w="5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2.3</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2.3</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7"/>
                <w:szCs w:val="7"/>
                <w:b w:val="1"/>
                <w:bCs w:val="1"/>
                <w:color w:val="auto"/>
              </w:rPr>
              <w:t>4.3</w:t>
            </w:r>
          </w:p>
        </w:tc>
        <w:tc>
          <w:tcPr>
            <w:tcW w:w="6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3.9</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4.6</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shd w:val="clear" w:color="auto" w:fill="F2F2F2"/>
          </w:tcPr>
          <w:p>
            <w:pPr>
              <w:jc w:val="right"/>
              <w:ind w:right="4"/>
              <w:spacing w:after="0"/>
              <w:rPr>
                <w:sz w:val="20"/>
                <w:szCs w:val="20"/>
                <w:color w:val="auto"/>
              </w:rPr>
            </w:pPr>
            <w:r>
              <w:rPr>
                <w:rFonts w:ascii="Arial" w:cs="Arial" w:eastAsia="Arial" w:hAnsi="Arial"/>
                <w:sz w:val="7"/>
                <w:szCs w:val="7"/>
                <w:b w:val="1"/>
                <w:bCs w:val="1"/>
                <w:color w:val="auto"/>
              </w:rPr>
              <w:t>12.6</w:t>
            </w:r>
          </w:p>
        </w:tc>
        <w:tc>
          <w:tcPr>
            <w:tcW w:w="5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12.4</w:t>
            </w:r>
          </w:p>
        </w:tc>
        <w:tc>
          <w:tcPr>
            <w:tcW w:w="4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11.7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0"/>
        <w:spacing w:after="0"/>
        <w:rPr>
          <w:sz w:val="20"/>
          <w:szCs w:val="20"/>
          <w:color w:val="auto"/>
        </w:rPr>
      </w:pPr>
      <w:r>
        <w:rPr>
          <w:rFonts w:ascii="Arial" w:cs="Arial" w:eastAsia="Arial" w:hAnsi="Arial"/>
          <w:sz w:val="8"/>
          <w:szCs w:val="8"/>
          <w:color w:val="auto"/>
        </w:rPr>
        <w:t>1 – Elizabeth O’Farrell was newly elected to the Board of Directors at the Annual General Meeting in March 2022.</w:t>
      </w:r>
    </w:p>
    <w:p>
      <w:pPr>
        <w:spacing w:after="0" w:line="3" w:lineRule="exact"/>
        <w:rPr>
          <w:sz w:val="20"/>
          <w:szCs w:val="20"/>
          <w:color w:val="auto"/>
        </w:rPr>
      </w:pPr>
    </w:p>
    <w:p>
      <w:pPr>
        <w:ind w:left="20"/>
        <w:spacing w:after="0"/>
        <w:rPr>
          <w:sz w:val="20"/>
          <w:szCs w:val="20"/>
          <w:color w:val="auto"/>
        </w:rPr>
      </w:pPr>
      <w:r>
        <w:rPr>
          <w:rFonts w:ascii="Arial" w:cs="Arial" w:eastAsia="Arial" w:hAnsi="Arial"/>
          <w:sz w:val="8"/>
          <w:szCs w:val="8"/>
          <w:color w:val="auto"/>
        </w:rPr>
        <w:t>2 – Jonathan Peacock stepped down from the Board of Directors effective November 15, 2021, due to increased responsibilities in connection with his other board commitments.</w:t>
      </w:r>
    </w:p>
    <w:p>
      <w:pPr>
        <w:ind w:left="20"/>
        <w:spacing w:after="0" w:line="236" w:lineRule="auto"/>
        <w:rPr>
          <w:sz w:val="20"/>
          <w:szCs w:val="20"/>
          <w:color w:val="auto"/>
        </w:rPr>
      </w:pPr>
      <w:r>
        <w:rPr>
          <w:rFonts w:ascii="Arial" w:cs="Arial" w:eastAsia="Arial" w:hAnsi="Arial"/>
          <w:sz w:val="8"/>
          <w:szCs w:val="8"/>
          <w:color w:val="auto"/>
        </w:rPr>
        <w:t>3 – Mats Pettersson stepped down from the Board of Directors at the Annual General Meeting in March 2020.</w:t>
      </w:r>
    </w:p>
    <w:p>
      <w:pPr>
        <w:ind w:left="20"/>
        <w:spacing w:after="0" w:line="236" w:lineRule="auto"/>
        <w:rPr>
          <w:sz w:val="20"/>
          <w:szCs w:val="20"/>
          <w:color w:val="auto"/>
        </w:rPr>
      </w:pPr>
      <w:r>
        <w:rPr>
          <w:rFonts w:ascii="Arial" w:cs="Arial" w:eastAsia="Arial" w:hAnsi="Arial"/>
          <w:sz w:val="8"/>
          <w:szCs w:val="8"/>
          <w:color w:val="auto"/>
        </w:rPr>
        <w:t>4 – Employee elected board members were elected at the Annual General Meeting in March 2022.</w:t>
      </w:r>
    </w:p>
    <w:p>
      <w:pPr>
        <w:ind w:left="20"/>
        <w:spacing w:after="0"/>
        <w:rPr>
          <w:sz w:val="20"/>
          <w:szCs w:val="20"/>
          <w:color w:val="auto"/>
        </w:rPr>
      </w:pPr>
      <w:r>
        <w:rPr>
          <w:rFonts w:ascii="Arial" w:cs="Arial" w:eastAsia="Arial" w:hAnsi="Arial"/>
          <w:sz w:val="8"/>
          <w:szCs w:val="8"/>
          <w:color w:val="auto"/>
        </w:rPr>
        <w:t>5 – Peter Storm Kristensen and Rima Bawarshi Nassar stepped down from the Board of Directors as employee elected board members at the Annual General Meeting in March 2022.</w:t>
      </w:r>
    </w:p>
    <w:p>
      <w:pPr>
        <w:ind w:left="20"/>
        <w:spacing w:after="0"/>
        <w:rPr>
          <w:sz w:val="20"/>
          <w:szCs w:val="20"/>
          <w:color w:val="auto"/>
        </w:rPr>
      </w:pPr>
      <w:r>
        <w:rPr>
          <w:rFonts w:ascii="Arial" w:cs="Arial" w:eastAsia="Arial" w:hAnsi="Arial"/>
          <w:sz w:val="8"/>
          <w:szCs w:val="8"/>
          <w:color w:val="auto"/>
        </w:rPr>
        <w:t>6 – Daniel J. Bruno stepped down from the Board of Directors and Rima Bawarshi Nassar replaced Daniel J. Bruno on the Board of Directors as an employee elected board member during August 2020.</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the section “Board of Directors” in Management’s Review for additional information regarding the Board of Directors.</w:t>
      </w:r>
    </w:p>
    <w:p>
      <w:pPr>
        <w:sectPr>
          <w:pgSz w:w="11900" w:h="16838" w:orient="portrait"/>
          <w:cols w:equalWidth="0" w:num="1">
            <w:col w:w="9019"/>
          </w:cols>
          <w:pgMar w:left="1440" w:top="484" w:right="1440"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REMUNERATION TO THE EXECUTIVE MANAGEMENT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82"/>
        </w:trPr>
        <w:tc>
          <w:tcPr>
            <w:tcW w:w="1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jc w:val="right"/>
              <w:ind w:right="24"/>
              <w:spacing w:after="0"/>
              <w:rPr>
                <w:sz w:val="20"/>
                <w:szCs w:val="20"/>
                <w:color w:val="auto"/>
              </w:rPr>
            </w:pPr>
            <w:r>
              <w:rPr>
                <w:rFonts w:ascii="Arial" w:cs="Arial" w:eastAsia="Arial" w:hAnsi="Arial"/>
                <w:sz w:val="7"/>
                <w:szCs w:val="7"/>
                <w:b w:val="1"/>
                <w:bCs w:val="1"/>
                <w:color w:val="auto"/>
                <w:w w:val="95"/>
              </w:rPr>
              <w:t>Base Salary</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4"/>
          </w:tcPr>
          <w:p>
            <w:pPr>
              <w:ind w:left="60"/>
              <w:spacing w:after="0"/>
              <w:rPr>
                <w:sz w:val="20"/>
                <w:szCs w:val="20"/>
                <w:color w:val="auto"/>
              </w:rPr>
            </w:pPr>
            <w:r>
              <w:rPr>
                <w:rFonts w:ascii="Arial" w:cs="Arial" w:eastAsia="Arial" w:hAnsi="Arial"/>
                <w:sz w:val="7"/>
                <w:szCs w:val="7"/>
                <w:b w:val="1"/>
                <w:bCs w:val="1"/>
                <w:color w:val="auto"/>
              </w:rPr>
              <w:t>Defined Contribution Plans</w:t>
            </w:r>
          </w:p>
        </w:tc>
        <w:tc>
          <w:tcPr>
            <w:tcW w:w="820" w:type="dxa"/>
            <w:vAlign w:val="bottom"/>
            <w:gridSpan w:val="2"/>
          </w:tcPr>
          <w:p>
            <w:pPr>
              <w:jc w:val="right"/>
              <w:spacing w:after="0"/>
              <w:rPr>
                <w:sz w:val="20"/>
                <w:szCs w:val="20"/>
                <w:color w:val="auto"/>
              </w:rPr>
            </w:pPr>
            <w:r>
              <w:rPr>
                <w:rFonts w:ascii="Arial" w:cs="Arial" w:eastAsia="Arial" w:hAnsi="Arial"/>
                <w:sz w:val="7"/>
                <w:szCs w:val="7"/>
                <w:b w:val="1"/>
                <w:bCs w:val="1"/>
                <w:color w:val="auto"/>
              </w:rPr>
              <w:t>Other Benefits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3"/>
          </w:tcPr>
          <w:p>
            <w:pPr>
              <w:jc w:val="right"/>
              <w:ind w:right="204"/>
              <w:spacing w:after="0"/>
              <w:rPr>
                <w:sz w:val="20"/>
                <w:szCs w:val="20"/>
                <w:color w:val="auto"/>
              </w:rPr>
            </w:pPr>
            <w:r>
              <w:rPr>
                <w:rFonts w:ascii="Arial" w:cs="Arial" w:eastAsia="Arial" w:hAnsi="Arial"/>
                <w:sz w:val="7"/>
                <w:szCs w:val="7"/>
                <w:b w:val="1"/>
                <w:bCs w:val="1"/>
                <w:color w:val="auto"/>
              </w:rPr>
              <w:t>Annual Cash Bonus</w:t>
            </w:r>
          </w:p>
        </w:tc>
        <w:tc>
          <w:tcPr>
            <w:tcW w:w="0" w:type="dxa"/>
            <w:vAlign w:val="bottom"/>
          </w:tcPr>
          <w:p>
            <w:pPr>
              <w:spacing w:after="0"/>
              <w:rPr>
                <w:sz w:val="1"/>
                <w:szCs w:val="1"/>
                <w:color w:val="auto"/>
              </w:rPr>
            </w:pPr>
          </w:p>
        </w:tc>
      </w:tr>
      <w:tr>
        <w:trPr>
          <w:trHeight w:val="90"/>
        </w:trPr>
        <w:tc>
          <w:tcPr>
            <w:tcW w:w="1480" w:type="dxa"/>
            <w:vAlign w:val="bottom"/>
          </w:tcPr>
          <w:p>
            <w:pPr>
              <w:spacing w:after="0"/>
              <w:rPr>
                <w:sz w:val="20"/>
                <w:szCs w:val="20"/>
                <w:color w:val="auto"/>
              </w:rPr>
            </w:pPr>
            <w:r>
              <w:rPr>
                <w:rFonts w:ascii="Arial" w:cs="Arial" w:eastAsia="Arial" w:hAnsi="Arial"/>
                <w:sz w:val="7"/>
                <w:szCs w:val="7"/>
                <w:b w:val="1"/>
                <w:bCs w:val="1"/>
                <w:color w:val="auto"/>
              </w:rPr>
              <w:t>(DKK million)</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2021</w:t>
            </w:r>
          </w:p>
        </w:tc>
        <w:tc>
          <w:tcPr>
            <w:tcW w:w="36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2020</w:t>
            </w:r>
          </w:p>
        </w:tc>
        <w:tc>
          <w:tcPr>
            <w:tcW w:w="100" w:type="dxa"/>
            <w:vAlign w:val="bottom"/>
          </w:tcPr>
          <w:p>
            <w:pPr>
              <w:spacing w:after="0"/>
              <w:rPr>
                <w:sz w:val="7"/>
                <w:szCs w:val="7"/>
                <w:color w:val="auto"/>
              </w:rPr>
            </w:pP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2021</w:t>
            </w:r>
          </w:p>
        </w:tc>
        <w:tc>
          <w:tcPr>
            <w:tcW w:w="3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2020</w:t>
            </w:r>
          </w:p>
        </w:tc>
        <w:tc>
          <w:tcPr>
            <w:tcW w:w="100" w:type="dxa"/>
            <w:vAlign w:val="bottom"/>
          </w:tcPr>
          <w:p>
            <w:pPr>
              <w:spacing w:after="0"/>
              <w:rPr>
                <w:sz w:val="7"/>
                <w:szCs w:val="7"/>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2021</w:t>
            </w:r>
          </w:p>
        </w:tc>
        <w:tc>
          <w:tcPr>
            <w:tcW w:w="3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2020</w:t>
            </w:r>
          </w:p>
        </w:tc>
        <w:tc>
          <w:tcPr>
            <w:tcW w:w="100" w:type="dxa"/>
            <w:vAlign w:val="bottom"/>
          </w:tcPr>
          <w:p>
            <w:pPr>
              <w:spacing w:after="0"/>
              <w:rPr>
                <w:sz w:val="7"/>
                <w:szCs w:val="7"/>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2021</w:t>
            </w:r>
          </w:p>
        </w:tc>
        <w:tc>
          <w:tcPr>
            <w:tcW w:w="3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2020</w:t>
            </w:r>
          </w:p>
        </w:tc>
        <w:tc>
          <w:tcPr>
            <w:tcW w:w="0" w:type="dxa"/>
            <w:vAlign w:val="bottom"/>
          </w:tcPr>
          <w:p>
            <w:pPr>
              <w:spacing w:after="0"/>
              <w:rPr>
                <w:sz w:val="1"/>
                <w:szCs w:val="1"/>
                <w:color w:val="auto"/>
              </w:rPr>
            </w:pPr>
          </w:p>
        </w:tc>
      </w:tr>
      <w:tr>
        <w:trPr>
          <w:trHeight w:val="71"/>
        </w:trPr>
        <w:tc>
          <w:tcPr>
            <w:tcW w:w="1480" w:type="dxa"/>
            <w:vAlign w:val="bottom"/>
            <w:vMerge w:val="restart"/>
          </w:tcPr>
          <w:p>
            <w:pPr>
              <w:spacing w:after="0"/>
              <w:rPr>
                <w:sz w:val="20"/>
                <w:szCs w:val="20"/>
                <w:color w:val="auto"/>
              </w:rPr>
            </w:pPr>
            <w:r>
              <w:rPr>
                <w:rFonts w:ascii="Arial" w:cs="Arial" w:eastAsia="Arial" w:hAnsi="Arial"/>
                <w:sz w:val="7"/>
                <w:szCs w:val="7"/>
                <w:color w:val="auto"/>
              </w:rPr>
              <w:t>Jan van de Winkel</w:t>
            </w:r>
          </w:p>
        </w:tc>
        <w:tc>
          <w:tcPr>
            <w:tcW w:w="420" w:type="dxa"/>
            <w:vAlign w:val="bottom"/>
          </w:tcPr>
          <w:p>
            <w:pPr>
              <w:spacing w:after="0"/>
              <w:rPr>
                <w:sz w:val="6"/>
                <w:szCs w:val="6"/>
                <w:color w:val="auto"/>
              </w:rPr>
            </w:pPr>
          </w:p>
        </w:tc>
        <w:tc>
          <w:tcPr>
            <w:tcW w:w="460" w:type="dxa"/>
            <w:vAlign w:val="bottom"/>
            <w:vMerge w:val="restart"/>
          </w:tcPr>
          <w:p>
            <w:pPr>
              <w:jc w:val="right"/>
              <w:ind w:right="44"/>
              <w:spacing w:after="0"/>
              <w:rPr>
                <w:sz w:val="20"/>
                <w:szCs w:val="20"/>
                <w:color w:val="auto"/>
              </w:rPr>
            </w:pPr>
            <w:r>
              <w:rPr>
                <w:rFonts w:ascii="Arial" w:cs="Arial" w:eastAsia="Arial" w:hAnsi="Arial"/>
                <w:sz w:val="7"/>
                <w:szCs w:val="7"/>
                <w:color w:val="auto"/>
              </w:rPr>
              <w:t>7.9</w:t>
            </w:r>
          </w:p>
        </w:tc>
        <w:tc>
          <w:tcPr>
            <w:tcW w:w="360" w:type="dxa"/>
            <w:vAlign w:val="bottom"/>
            <w:vMerge w:val="restart"/>
          </w:tcPr>
          <w:p>
            <w:pPr>
              <w:jc w:val="right"/>
              <w:ind w:right="4"/>
              <w:spacing w:after="0"/>
              <w:rPr>
                <w:sz w:val="20"/>
                <w:szCs w:val="20"/>
                <w:color w:val="auto"/>
              </w:rPr>
            </w:pPr>
            <w:r>
              <w:rPr>
                <w:rFonts w:ascii="Arial" w:cs="Arial" w:eastAsia="Arial" w:hAnsi="Arial"/>
                <w:sz w:val="7"/>
                <w:szCs w:val="7"/>
                <w:color w:val="auto"/>
              </w:rPr>
              <w:t>7.3</w:t>
            </w:r>
          </w:p>
        </w:tc>
        <w:tc>
          <w:tcPr>
            <w:tcW w:w="10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vMerge w:val="restart"/>
          </w:tcPr>
          <w:p>
            <w:pPr>
              <w:jc w:val="right"/>
              <w:ind w:right="24"/>
              <w:spacing w:after="0"/>
              <w:rPr>
                <w:sz w:val="20"/>
                <w:szCs w:val="20"/>
                <w:color w:val="auto"/>
              </w:rPr>
            </w:pPr>
            <w:r>
              <w:rPr>
                <w:rFonts w:ascii="Arial" w:cs="Arial" w:eastAsia="Arial" w:hAnsi="Arial"/>
                <w:sz w:val="7"/>
                <w:szCs w:val="7"/>
                <w:color w:val="auto"/>
              </w:rPr>
              <w:t>1.1</w:t>
            </w:r>
          </w:p>
        </w:tc>
        <w:tc>
          <w:tcPr>
            <w:tcW w:w="320" w:type="dxa"/>
            <w:vAlign w:val="bottom"/>
            <w:vMerge w:val="restart"/>
          </w:tcPr>
          <w:p>
            <w:pPr>
              <w:jc w:val="right"/>
              <w:spacing w:after="0"/>
              <w:rPr>
                <w:sz w:val="20"/>
                <w:szCs w:val="20"/>
                <w:color w:val="auto"/>
              </w:rPr>
            </w:pPr>
            <w:r>
              <w:rPr>
                <w:rFonts w:ascii="Arial" w:cs="Arial" w:eastAsia="Arial" w:hAnsi="Arial"/>
                <w:sz w:val="7"/>
                <w:szCs w:val="7"/>
                <w:color w:val="auto"/>
              </w:rPr>
              <w:t>1.0</w:t>
            </w:r>
          </w:p>
        </w:tc>
        <w:tc>
          <w:tcPr>
            <w:tcW w:w="100" w:type="dxa"/>
            <w:vAlign w:val="bottom"/>
            <w:vMerge w:val="restart"/>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vMerge w:val="restart"/>
          </w:tcPr>
          <w:p>
            <w:pPr>
              <w:jc w:val="right"/>
              <w:ind w:right="64"/>
              <w:spacing w:after="0"/>
              <w:rPr>
                <w:sz w:val="20"/>
                <w:szCs w:val="20"/>
                <w:color w:val="auto"/>
              </w:rPr>
            </w:pPr>
            <w:r>
              <w:rPr>
                <w:rFonts w:ascii="Arial" w:cs="Arial" w:eastAsia="Arial" w:hAnsi="Arial"/>
                <w:sz w:val="7"/>
                <w:szCs w:val="7"/>
                <w:color w:val="auto"/>
              </w:rPr>
              <w:t>0.6</w:t>
            </w:r>
          </w:p>
        </w:tc>
        <w:tc>
          <w:tcPr>
            <w:tcW w:w="300" w:type="dxa"/>
            <w:vAlign w:val="bottom"/>
            <w:vMerge w:val="restart"/>
          </w:tcPr>
          <w:p>
            <w:pPr>
              <w:jc w:val="right"/>
              <w:ind w:right="4"/>
              <w:spacing w:after="0"/>
              <w:rPr>
                <w:sz w:val="20"/>
                <w:szCs w:val="20"/>
                <w:color w:val="auto"/>
              </w:rPr>
            </w:pPr>
            <w:r>
              <w:rPr>
                <w:rFonts w:ascii="Arial" w:cs="Arial" w:eastAsia="Arial" w:hAnsi="Arial"/>
                <w:sz w:val="7"/>
                <w:szCs w:val="7"/>
                <w:color w:val="auto"/>
              </w:rPr>
              <w:t>1.0</w:t>
            </w:r>
          </w:p>
        </w:tc>
        <w:tc>
          <w:tcPr>
            <w:tcW w:w="100" w:type="dxa"/>
            <w:vAlign w:val="bottom"/>
            <w:vMerge w:val="restart"/>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vMerge w:val="restart"/>
          </w:tcPr>
          <w:p>
            <w:pPr>
              <w:jc w:val="right"/>
              <w:ind w:right="44"/>
              <w:spacing w:after="0"/>
              <w:rPr>
                <w:sz w:val="20"/>
                <w:szCs w:val="20"/>
                <w:color w:val="auto"/>
              </w:rPr>
            </w:pPr>
            <w:r>
              <w:rPr>
                <w:rFonts w:ascii="Arial" w:cs="Arial" w:eastAsia="Arial" w:hAnsi="Arial"/>
                <w:sz w:val="7"/>
                <w:szCs w:val="7"/>
                <w:color w:val="auto"/>
              </w:rPr>
              <w:t>7.9</w:t>
            </w:r>
          </w:p>
        </w:tc>
        <w:tc>
          <w:tcPr>
            <w:tcW w:w="340" w:type="dxa"/>
            <w:vAlign w:val="bottom"/>
            <w:vMerge w:val="restart"/>
          </w:tcPr>
          <w:p>
            <w:pPr>
              <w:jc w:val="right"/>
              <w:ind w:right="4"/>
              <w:spacing w:after="0"/>
              <w:rPr>
                <w:sz w:val="20"/>
                <w:szCs w:val="20"/>
                <w:color w:val="auto"/>
              </w:rPr>
            </w:pPr>
            <w:r>
              <w:rPr>
                <w:rFonts w:ascii="Arial" w:cs="Arial" w:eastAsia="Arial" w:hAnsi="Arial"/>
                <w:sz w:val="7"/>
                <w:szCs w:val="7"/>
                <w:color w:val="auto"/>
              </w:rPr>
              <w:t>8.4</w:t>
            </w:r>
          </w:p>
        </w:tc>
        <w:tc>
          <w:tcPr>
            <w:tcW w:w="0" w:type="dxa"/>
            <w:vAlign w:val="bottom"/>
          </w:tcPr>
          <w:p>
            <w:pPr>
              <w:spacing w:after="0"/>
              <w:rPr>
                <w:sz w:val="1"/>
                <w:szCs w:val="1"/>
                <w:color w:val="auto"/>
              </w:rPr>
            </w:pPr>
          </w:p>
        </w:tc>
      </w:tr>
      <w:tr>
        <w:trPr>
          <w:trHeight w:val="73"/>
        </w:trPr>
        <w:tc>
          <w:tcPr>
            <w:tcW w:w="1480" w:type="dxa"/>
            <w:vAlign w:val="bottom"/>
            <w:vMerge w:val="continue"/>
          </w:tcPr>
          <w:p>
            <w:pPr>
              <w:spacing w:after="0"/>
              <w:rPr>
                <w:sz w:val="6"/>
                <w:szCs w:val="6"/>
                <w:color w:val="auto"/>
              </w:rPr>
            </w:pPr>
          </w:p>
        </w:tc>
        <w:tc>
          <w:tcPr>
            <w:tcW w:w="420" w:type="dxa"/>
            <w:vAlign w:val="bottom"/>
            <w:tcBorders>
              <w:right w:val="single" w:sz="8" w:color="F3F3F3"/>
            </w:tcBorders>
            <w:shd w:val="clear" w:color="auto" w:fill="F3F3F3"/>
          </w:tcPr>
          <w:p>
            <w:pPr>
              <w:jc w:val="right"/>
              <w:ind w:right="4"/>
              <w:spacing w:after="0" w:line="74" w:lineRule="exact"/>
              <w:rPr>
                <w:sz w:val="20"/>
                <w:szCs w:val="20"/>
                <w:color w:val="auto"/>
              </w:rPr>
            </w:pPr>
            <w:r>
              <w:rPr>
                <w:rFonts w:ascii="Arial" w:cs="Arial" w:eastAsia="Arial" w:hAnsi="Arial"/>
                <w:sz w:val="7"/>
                <w:szCs w:val="7"/>
                <w:color w:val="auto"/>
              </w:rPr>
              <w:t>8.6</w:t>
            </w:r>
          </w:p>
        </w:tc>
        <w:tc>
          <w:tcPr>
            <w:tcW w:w="4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60" w:type="dxa"/>
            <w:vAlign w:val="bottom"/>
            <w:shd w:val="clear" w:color="auto" w:fill="F3F3F3"/>
          </w:tcPr>
          <w:p>
            <w:pPr>
              <w:jc w:val="right"/>
              <w:ind w:right="4"/>
              <w:spacing w:after="0" w:line="74" w:lineRule="exact"/>
              <w:rPr>
                <w:sz w:val="20"/>
                <w:szCs w:val="20"/>
                <w:color w:val="auto"/>
              </w:rPr>
            </w:pPr>
            <w:r>
              <w:rPr>
                <w:rFonts w:ascii="Arial" w:cs="Arial" w:eastAsia="Arial" w:hAnsi="Arial"/>
                <w:sz w:val="7"/>
                <w:szCs w:val="7"/>
                <w:color w:val="auto"/>
              </w:rPr>
              <w:t>1.3</w:t>
            </w:r>
          </w:p>
        </w:tc>
        <w:tc>
          <w:tcPr>
            <w:tcW w:w="3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80" w:type="dxa"/>
            <w:vAlign w:val="bottom"/>
            <w:shd w:val="clear" w:color="auto" w:fill="F3F3F3"/>
          </w:tcPr>
          <w:p>
            <w:pPr>
              <w:jc w:val="right"/>
              <w:ind w:right="4"/>
              <w:spacing w:after="0" w:line="74" w:lineRule="exact"/>
              <w:rPr>
                <w:sz w:val="20"/>
                <w:szCs w:val="20"/>
                <w:color w:val="auto"/>
              </w:rPr>
            </w:pPr>
            <w:r>
              <w:rPr>
                <w:rFonts w:ascii="Arial" w:cs="Arial" w:eastAsia="Arial" w:hAnsi="Arial"/>
                <w:sz w:val="7"/>
                <w:szCs w:val="7"/>
                <w:color w:val="auto"/>
              </w:rPr>
              <w:t>0.3</w:t>
            </w:r>
          </w:p>
        </w:tc>
        <w:tc>
          <w:tcPr>
            <w:tcW w:w="4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80" w:type="dxa"/>
            <w:vAlign w:val="bottom"/>
            <w:shd w:val="clear" w:color="auto" w:fill="F3F3F3"/>
          </w:tcPr>
          <w:p>
            <w:pPr>
              <w:jc w:val="right"/>
              <w:ind w:right="4"/>
              <w:spacing w:after="0" w:line="74" w:lineRule="exact"/>
              <w:rPr>
                <w:sz w:val="20"/>
                <w:szCs w:val="20"/>
                <w:color w:val="auto"/>
              </w:rPr>
            </w:pPr>
            <w:r>
              <w:rPr>
                <w:rFonts w:ascii="Arial" w:cs="Arial" w:eastAsia="Arial" w:hAnsi="Arial"/>
                <w:sz w:val="7"/>
                <w:szCs w:val="7"/>
                <w:color w:val="auto"/>
              </w:rPr>
              <w:t>8.6</w:t>
            </w:r>
          </w:p>
        </w:tc>
        <w:tc>
          <w:tcPr>
            <w:tcW w:w="44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480" w:type="dxa"/>
            <w:vAlign w:val="bottom"/>
          </w:tcPr>
          <w:p>
            <w:pPr>
              <w:spacing w:after="0" w:line="82" w:lineRule="exact"/>
              <w:rPr>
                <w:sz w:val="20"/>
                <w:szCs w:val="20"/>
                <w:color w:val="auto"/>
              </w:rPr>
            </w:pPr>
            <w:r>
              <w:rPr>
                <w:rFonts w:ascii="Arial" w:cs="Arial" w:eastAsia="Arial" w:hAnsi="Arial"/>
                <w:sz w:val="7"/>
                <w:szCs w:val="7"/>
                <w:color w:val="auto"/>
              </w:rPr>
              <w:t>Anthony Pagano</w:t>
            </w:r>
            <w:r>
              <w:rPr>
                <w:rFonts w:ascii="Arial" w:cs="Arial" w:eastAsia="Arial" w:hAnsi="Arial"/>
                <w:sz w:val="9"/>
                <w:szCs w:val="9"/>
                <w:color w:val="auto"/>
                <w:vertAlign w:val="superscript"/>
              </w:rPr>
              <w:t>1</w:t>
            </w:r>
          </w:p>
        </w:tc>
        <w:tc>
          <w:tcPr>
            <w:tcW w:w="420" w:type="dxa"/>
            <w:vAlign w:val="bottom"/>
            <w:tcBorders>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color w:val="auto"/>
              </w:rPr>
              <w:t>4.3</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3.2</w:t>
            </w:r>
          </w:p>
        </w:tc>
        <w:tc>
          <w:tcPr>
            <w:tcW w:w="360" w:type="dxa"/>
            <w:vAlign w:val="bottom"/>
          </w:tcPr>
          <w:p>
            <w:pPr>
              <w:jc w:val="right"/>
              <w:ind w:right="4"/>
              <w:spacing w:after="0"/>
              <w:rPr>
                <w:sz w:val="20"/>
                <w:szCs w:val="20"/>
                <w:color w:val="auto"/>
              </w:rPr>
            </w:pPr>
            <w:r>
              <w:rPr>
                <w:rFonts w:ascii="Arial" w:cs="Arial" w:eastAsia="Arial" w:hAnsi="Arial"/>
                <w:sz w:val="7"/>
                <w:szCs w:val="7"/>
                <w:color w:val="auto"/>
              </w:rPr>
              <w:t>3.0</w:t>
            </w:r>
          </w:p>
        </w:tc>
        <w:tc>
          <w:tcPr>
            <w:tcW w:w="100" w:type="dxa"/>
            <w:vAlign w:val="bottom"/>
          </w:tcPr>
          <w:p>
            <w:pPr>
              <w:spacing w:after="0"/>
              <w:rPr>
                <w:sz w:val="7"/>
                <w:szCs w:val="7"/>
                <w:color w:val="auto"/>
              </w:rPr>
            </w:pPr>
          </w:p>
        </w:tc>
        <w:tc>
          <w:tcPr>
            <w:tcW w:w="36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0.1</w:t>
            </w:r>
          </w:p>
        </w:tc>
        <w:tc>
          <w:tcPr>
            <w:tcW w:w="380" w:type="dxa"/>
            <w:vAlign w:val="bottom"/>
          </w:tcPr>
          <w:p>
            <w:pPr>
              <w:jc w:val="right"/>
              <w:ind w:right="24"/>
              <w:spacing w:after="0"/>
              <w:rPr>
                <w:sz w:val="20"/>
                <w:szCs w:val="20"/>
                <w:color w:val="auto"/>
              </w:rPr>
            </w:pPr>
            <w:r>
              <w:rPr>
                <w:rFonts w:ascii="Arial" w:cs="Arial" w:eastAsia="Arial" w:hAnsi="Arial"/>
                <w:sz w:val="7"/>
                <w:szCs w:val="7"/>
                <w:color w:val="auto"/>
              </w:rPr>
              <w:t>0.1</w:t>
            </w:r>
          </w:p>
        </w:tc>
        <w:tc>
          <w:tcPr>
            <w:tcW w:w="320" w:type="dxa"/>
            <w:vAlign w:val="bottom"/>
          </w:tcPr>
          <w:p>
            <w:pPr>
              <w:jc w:val="right"/>
              <w:spacing w:after="0"/>
              <w:rPr>
                <w:sz w:val="20"/>
                <w:szCs w:val="20"/>
                <w:color w:val="auto"/>
              </w:rPr>
            </w:pPr>
            <w:r>
              <w:rPr>
                <w:rFonts w:ascii="Arial" w:cs="Arial" w:eastAsia="Arial" w:hAnsi="Arial"/>
                <w:sz w:val="7"/>
                <w:szCs w:val="7"/>
                <w:color w:val="auto"/>
              </w:rPr>
              <w:t>0.1</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3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2.6</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1.9</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82"/>
        </w:trPr>
        <w:tc>
          <w:tcPr>
            <w:tcW w:w="1480" w:type="dxa"/>
            <w:vAlign w:val="bottom"/>
          </w:tcPr>
          <w:p>
            <w:pPr>
              <w:spacing w:after="0" w:line="82" w:lineRule="exact"/>
              <w:rPr>
                <w:sz w:val="20"/>
                <w:szCs w:val="20"/>
                <w:color w:val="auto"/>
              </w:rPr>
            </w:pPr>
            <w:r>
              <w:rPr>
                <w:rFonts w:ascii="Arial" w:cs="Arial" w:eastAsia="Arial" w:hAnsi="Arial"/>
                <w:sz w:val="7"/>
                <w:szCs w:val="7"/>
                <w:color w:val="auto"/>
              </w:rPr>
              <w:t>Anthony Mancini</w:t>
            </w:r>
            <w:r>
              <w:rPr>
                <w:rFonts w:ascii="Arial" w:cs="Arial" w:eastAsia="Arial" w:hAnsi="Arial"/>
                <w:sz w:val="9"/>
                <w:szCs w:val="9"/>
                <w:color w:val="auto"/>
                <w:vertAlign w:val="superscript"/>
              </w:rPr>
              <w:t>2</w:t>
            </w:r>
          </w:p>
        </w:tc>
        <w:tc>
          <w:tcPr>
            <w:tcW w:w="420" w:type="dxa"/>
            <w:vAlign w:val="bottom"/>
            <w:tcBorders>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color w:val="auto"/>
              </w:rPr>
              <w:t>4.7</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3.9</w:t>
            </w:r>
          </w:p>
        </w:tc>
        <w:tc>
          <w:tcPr>
            <w:tcW w:w="360" w:type="dxa"/>
            <w:vAlign w:val="bottom"/>
          </w:tcPr>
          <w:p>
            <w:pPr>
              <w:jc w:val="right"/>
              <w:ind w:right="4"/>
              <w:spacing w:after="0"/>
              <w:rPr>
                <w:sz w:val="20"/>
                <w:szCs w:val="20"/>
                <w:color w:val="auto"/>
              </w:rPr>
            </w:pPr>
            <w:r>
              <w:rPr>
                <w:rFonts w:ascii="Arial" w:cs="Arial" w:eastAsia="Arial" w:hAnsi="Arial"/>
                <w:sz w:val="7"/>
                <w:szCs w:val="7"/>
                <w:color w:val="auto"/>
              </w:rPr>
              <w:t>3.1</w:t>
            </w:r>
          </w:p>
        </w:tc>
        <w:tc>
          <w:tcPr>
            <w:tcW w:w="100" w:type="dxa"/>
            <w:vAlign w:val="bottom"/>
          </w:tcPr>
          <w:p>
            <w:pPr>
              <w:spacing w:after="0"/>
              <w:rPr>
                <w:sz w:val="7"/>
                <w:szCs w:val="7"/>
                <w:color w:val="auto"/>
              </w:rPr>
            </w:pPr>
          </w:p>
        </w:tc>
        <w:tc>
          <w:tcPr>
            <w:tcW w:w="36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0.1</w:t>
            </w:r>
          </w:p>
        </w:tc>
        <w:tc>
          <w:tcPr>
            <w:tcW w:w="380" w:type="dxa"/>
            <w:vAlign w:val="bottom"/>
          </w:tcPr>
          <w:p>
            <w:pPr>
              <w:jc w:val="right"/>
              <w:ind w:right="24"/>
              <w:spacing w:after="0"/>
              <w:rPr>
                <w:sz w:val="20"/>
                <w:szCs w:val="20"/>
                <w:color w:val="auto"/>
              </w:rPr>
            </w:pPr>
            <w:r>
              <w:rPr>
                <w:rFonts w:ascii="Arial" w:cs="Arial" w:eastAsia="Arial" w:hAnsi="Arial"/>
                <w:sz w:val="7"/>
                <w:szCs w:val="7"/>
                <w:color w:val="auto"/>
              </w:rPr>
              <w:t>0.1</w:t>
            </w:r>
          </w:p>
        </w:tc>
        <w:tc>
          <w:tcPr>
            <w:tcW w:w="320" w:type="dxa"/>
            <w:vAlign w:val="bottom"/>
          </w:tcPr>
          <w:p>
            <w:pPr>
              <w:jc w:val="right"/>
              <w:spacing w:after="0"/>
              <w:rPr>
                <w:sz w:val="20"/>
                <w:szCs w:val="20"/>
                <w:color w:val="auto"/>
              </w:rPr>
            </w:pPr>
            <w:r>
              <w:rPr>
                <w:rFonts w:ascii="Arial" w:cs="Arial" w:eastAsia="Arial" w:hAnsi="Arial"/>
                <w:sz w:val="7"/>
                <w:szCs w:val="7"/>
                <w:color w:val="auto"/>
              </w:rPr>
              <w:t>0.1</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3.1</w:t>
            </w:r>
          </w:p>
        </w:tc>
        <w:tc>
          <w:tcPr>
            <w:tcW w:w="300" w:type="dxa"/>
            <w:vAlign w:val="bottom"/>
          </w:tcPr>
          <w:p>
            <w:pPr>
              <w:jc w:val="right"/>
              <w:ind w:right="4"/>
              <w:spacing w:after="0"/>
              <w:rPr>
                <w:sz w:val="20"/>
                <w:szCs w:val="20"/>
                <w:color w:val="auto"/>
              </w:rPr>
            </w:pPr>
            <w:r>
              <w:rPr>
                <w:rFonts w:ascii="Arial" w:cs="Arial" w:eastAsia="Arial" w:hAnsi="Arial"/>
                <w:sz w:val="7"/>
                <w:szCs w:val="7"/>
                <w:color w:val="auto"/>
              </w:rPr>
              <w:t>3.3</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2.8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2.3</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2.0</w:t>
            </w:r>
          </w:p>
        </w:tc>
        <w:tc>
          <w:tcPr>
            <w:tcW w:w="0" w:type="dxa"/>
            <w:vAlign w:val="bottom"/>
          </w:tcPr>
          <w:p>
            <w:pPr>
              <w:spacing w:after="0"/>
              <w:rPr>
                <w:sz w:val="1"/>
                <w:szCs w:val="1"/>
                <w:color w:val="auto"/>
              </w:rPr>
            </w:pPr>
          </w:p>
        </w:tc>
      </w:tr>
      <w:tr>
        <w:trPr>
          <w:trHeight w:val="82"/>
        </w:trPr>
        <w:tc>
          <w:tcPr>
            <w:tcW w:w="1480" w:type="dxa"/>
            <w:vAlign w:val="bottom"/>
          </w:tcPr>
          <w:p>
            <w:pPr>
              <w:spacing w:after="0"/>
              <w:rPr>
                <w:sz w:val="20"/>
                <w:szCs w:val="20"/>
                <w:color w:val="auto"/>
              </w:rPr>
            </w:pPr>
            <w:r>
              <w:rPr>
                <w:rFonts w:ascii="Arial" w:cs="Arial" w:eastAsia="Arial" w:hAnsi="Arial"/>
                <w:sz w:val="7"/>
                <w:szCs w:val="7"/>
                <w:color w:val="auto"/>
              </w:rPr>
              <w:t>Judith Klimovsky</w:t>
            </w:r>
          </w:p>
        </w:tc>
        <w:tc>
          <w:tcPr>
            <w:tcW w:w="420" w:type="dxa"/>
            <w:vAlign w:val="bottom"/>
            <w:tcBorders>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color w:val="auto"/>
              </w:rPr>
              <w:t>4.9</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4.0</w:t>
            </w:r>
          </w:p>
        </w:tc>
        <w:tc>
          <w:tcPr>
            <w:tcW w:w="360" w:type="dxa"/>
            <w:vAlign w:val="bottom"/>
          </w:tcPr>
          <w:p>
            <w:pPr>
              <w:jc w:val="right"/>
              <w:ind w:right="4"/>
              <w:spacing w:after="0"/>
              <w:rPr>
                <w:sz w:val="20"/>
                <w:szCs w:val="20"/>
                <w:color w:val="auto"/>
              </w:rPr>
            </w:pPr>
            <w:r>
              <w:rPr>
                <w:rFonts w:ascii="Arial" w:cs="Arial" w:eastAsia="Arial" w:hAnsi="Arial"/>
                <w:sz w:val="7"/>
                <w:szCs w:val="7"/>
                <w:color w:val="auto"/>
              </w:rPr>
              <w:t>4.0</w:t>
            </w:r>
          </w:p>
        </w:tc>
        <w:tc>
          <w:tcPr>
            <w:tcW w:w="100" w:type="dxa"/>
            <w:vAlign w:val="bottom"/>
          </w:tcPr>
          <w:p>
            <w:pPr>
              <w:spacing w:after="0"/>
              <w:rPr>
                <w:sz w:val="7"/>
                <w:szCs w:val="7"/>
                <w:color w:val="auto"/>
              </w:rPr>
            </w:pPr>
          </w:p>
        </w:tc>
        <w:tc>
          <w:tcPr>
            <w:tcW w:w="36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0.1</w:t>
            </w:r>
          </w:p>
        </w:tc>
        <w:tc>
          <w:tcPr>
            <w:tcW w:w="380" w:type="dxa"/>
            <w:vAlign w:val="bottom"/>
          </w:tcPr>
          <w:p>
            <w:pPr>
              <w:jc w:val="right"/>
              <w:ind w:right="24"/>
              <w:spacing w:after="0"/>
              <w:rPr>
                <w:sz w:val="20"/>
                <w:szCs w:val="20"/>
                <w:color w:val="auto"/>
              </w:rPr>
            </w:pPr>
            <w:r>
              <w:rPr>
                <w:rFonts w:ascii="Arial" w:cs="Arial" w:eastAsia="Arial" w:hAnsi="Arial"/>
                <w:sz w:val="7"/>
                <w:szCs w:val="7"/>
                <w:color w:val="auto"/>
              </w:rPr>
              <w:t>0.1</w:t>
            </w:r>
          </w:p>
        </w:tc>
        <w:tc>
          <w:tcPr>
            <w:tcW w:w="320" w:type="dxa"/>
            <w:vAlign w:val="bottom"/>
          </w:tcPr>
          <w:p>
            <w:pPr>
              <w:jc w:val="right"/>
              <w:spacing w:after="0"/>
              <w:rPr>
                <w:sz w:val="20"/>
                <w:szCs w:val="20"/>
                <w:color w:val="auto"/>
              </w:rPr>
            </w:pPr>
            <w:r>
              <w:rPr>
                <w:rFonts w:ascii="Arial" w:cs="Arial" w:eastAsia="Arial" w:hAnsi="Arial"/>
                <w:sz w:val="7"/>
                <w:szCs w:val="7"/>
                <w:color w:val="auto"/>
              </w:rPr>
              <w:t>0.1</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300" w:type="dxa"/>
            <w:vAlign w:val="bottom"/>
          </w:tcPr>
          <w:p>
            <w:pPr>
              <w:jc w:val="right"/>
              <w:ind w:right="4"/>
              <w:spacing w:after="0"/>
              <w:rPr>
                <w:sz w:val="20"/>
                <w:szCs w:val="20"/>
                <w:color w:val="auto"/>
              </w:rPr>
            </w:pPr>
            <w:r>
              <w:rPr>
                <w:rFonts w:ascii="Arial" w:cs="Arial" w:eastAsia="Arial" w:hAnsi="Arial"/>
                <w:sz w:val="7"/>
                <w:szCs w:val="7"/>
                <w:color w:val="auto"/>
              </w:rPr>
              <w:t>0.1</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2.9</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2.5</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3.0</w:t>
            </w:r>
          </w:p>
        </w:tc>
        <w:tc>
          <w:tcPr>
            <w:tcW w:w="0" w:type="dxa"/>
            <w:vAlign w:val="bottom"/>
          </w:tcPr>
          <w:p>
            <w:pPr>
              <w:spacing w:after="0"/>
              <w:rPr>
                <w:sz w:val="1"/>
                <w:szCs w:val="1"/>
                <w:color w:val="auto"/>
              </w:rPr>
            </w:pPr>
          </w:p>
        </w:tc>
      </w:tr>
      <w:tr>
        <w:trPr>
          <w:trHeight w:val="82"/>
        </w:trPr>
        <w:tc>
          <w:tcPr>
            <w:tcW w:w="1480" w:type="dxa"/>
            <w:vAlign w:val="bottom"/>
          </w:tcPr>
          <w:p>
            <w:pPr>
              <w:spacing w:after="0" w:line="82" w:lineRule="exact"/>
              <w:rPr>
                <w:sz w:val="20"/>
                <w:szCs w:val="20"/>
                <w:color w:val="auto"/>
              </w:rPr>
            </w:pPr>
            <w:r>
              <w:rPr>
                <w:rFonts w:ascii="Arial" w:cs="Arial" w:eastAsia="Arial" w:hAnsi="Arial"/>
                <w:sz w:val="7"/>
                <w:szCs w:val="7"/>
                <w:color w:val="auto"/>
              </w:rPr>
              <w:t>Tahamtan Ahmadi</w:t>
            </w:r>
            <w:r>
              <w:rPr>
                <w:rFonts w:ascii="Arial" w:cs="Arial" w:eastAsia="Arial" w:hAnsi="Arial"/>
                <w:sz w:val="9"/>
                <w:szCs w:val="9"/>
                <w:color w:val="auto"/>
                <w:vertAlign w:val="superscript"/>
              </w:rPr>
              <w:t>3</w:t>
            </w:r>
          </w:p>
        </w:tc>
        <w:tc>
          <w:tcPr>
            <w:tcW w:w="420" w:type="dxa"/>
            <w:vAlign w:val="bottom"/>
            <w:tcBorders>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color w:val="auto"/>
              </w:rPr>
              <w:t>4.6</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3.3</w:t>
            </w:r>
          </w:p>
        </w:tc>
        <w:tc>
          <w:tcPr>
            <w:tcW w:w="36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36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0.1</w:t>
            </w:r>
          </w:p>
        </w:tc>
        <w:tc>
          <w:tcPr>
            <w:tcW w:w="380" w:type="dxa"/>
            <w:vAlign w:val="bottom"/>
          </w:tcPr>
          <w:p>
            <w:pPr>
              <w:jc w:val="right"/>
              <w:ind w:right="24"/>
              <w:spacing w:after="0"/>
              <w:rPr>
                <w:sz w:val="20"/>
                <w:szCs w:val="20"/>
                <w:color w:val="auto"/>
              </w:rPr>
            </w:pPr>
            <w:r>
              <w:rPr>
                <w:rFonts w:ascii="Arial" w:cs="Arial" w:eastAsia="Arial" w:hAnsi="Arial"/>
                <w:sz w:val="7"/>
                <w:szCs w:val="7"/>
                <w:color w:val="auto"/>
              </w:rPr>
              <w:t>0.1</w:t>
            </w: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3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2.8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2.0</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0"/>
        </w:trPr>
        <w:tc>
          <w:tcPr>
            <w:tcW w:w="1480" w:type="dxa"/>
            <w:vAlign w:val="bottom"/>
          </w:tcPr>
          <w:p>
            <w:pPr>
              <w:spacing w:after="0" w:line="90" w:lineRule="exact"/>
              <w:rPr>
                <w:sz w:val="20"/>
                <w:szCs w:val="20"/>
                <w:color w:val="auto"/>
              </w:rPr>
            </w:pPr>
            <w:r>
              <w:rPr>
                <w:rFonts w:ascii="Arial" w:cs="Arial" w:eastAsia="Arial" w:hAnsi="Arial"/>
                <w:sz w:val="7"/>
                <w:szCs w:val="7"/>
                <w:color w:val="auto"/>
              </w:rPr>
              <w:t>David A. Eatwell</w:t>
            </w:r>
            <w:r>
              <w:rPr>
                <w:rFonts w:ascii="Arial" w:cs="Arial" w:eastAsia="Arial" w:hAnsi="Arial"/>
                <w:sz w:val="10"/>
                <w:szCs w:val="10"/>
                <w:color w:val="auto"/>
                <w:vertAlign w:val="superscript"/>
              </w:rPr>
              <w:t>1</w:t>
            </w:r>
          </w:p>
        </w:tc>
        <w:tc>
          <w:tcPr>
            <w:tcW w:w="420" w:type="dxa"/>
            <w:vAlign w:val="bottom"/>
            <w:tcBorders>
              <w:bottom w:val="single" w:sz="8" w:color="auto"/>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0.9</w:t>
            </w:r>
          </w:p>
        </w:tc>
        <w:tc>
          <w:tcPr>
            <w:tcW w:w="100" w:type="dxa"/>
            <w:vAlign w:val="bottom"/>
          </w:tcPr>
          <w:p>
            <w:pPr>
              <w:spacing w:after="0"/>
              <w:rPr>
                <w:sz w:val="7"/>
                <w:szCs w:val="7"/>
                <w:color w:val="auto"/>
              </w:rPr>
            </w:pPr>
          </w:p>
        </w:tc>
        <w:tc>
          <w:tcPr>
            <w:tcW w:w="36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0.1</w:t>
            </w:r>
          </w:p>
        </w:tc>
        <w:tc>
          <w:tcPr>
            <w:tcW w:w="100" w:type="dxa"/>
            <w:vAlign w:val="bottom"/>
          </w:tcPr>
          <w:p>
            <w:pPr>
              <w:spacing w:after="0"/>
              <w:rPr>
                <w:sz w:val="7"/>
                <w:szCs w:val="7"/>
                <w:color w:val="auto"/>
              </w:rPr>
            </w:pPr>
          </w:p>
        </w:tc>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w:t>
            </w:r>
          </w:p>
        </w:tc>
        <w:tc>
          <w:tcPr>
            <w:tcW w:w="100" w:type="dxa"/>
            <w:vAlign w:val="bottom"/>
          </w:tcPr>
          <w:p>
            <w:pPr>
              <w:spacing w:after="0"/>
              <w:rPr>
                <w:sz w:val="7"/>
                <w:szCs w:val="7"/>
                <w:color w:val="auto"/>
              </w:rPr>
            </w:pPr>
          </w:p>
        </w:tc>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52"/>
        </w:trPr>
        <w:tc>
          <w:tcPr>
            <w:tcW w:w="1480" w:type="dxa"/>
            <w:vAlign w:val="bottom"/>
          </w:tcPr>
          <w:p>
            <w:pPr>
              <w:spacing w:after="0"/>
              <w:rPr>
                <w:sz w:val="20"/>
                <w:szCs w:val="20"/>
                <w:color w:val="auto"/>
              </w:rPr>
            </w:pPr>
            <w:r>
              <w:rPr>
                <w:rFonts w:ascii="Arial" w:cs="Arial" w:eastAsia="Arial" w:hAnsi="Arial"/>
                <w:sz w:val="7"/>
                <w:szCs w:val="7"/>
                <w:b w:val="1"/>
                <w:bCs w:val="1"/>
                <w:color w:val="auto"/>
              </w:rPr>
              <w:t>Total</w:t>
            </w:r>
          </w:p>
        </w:tc>
        <w:tc>
          <w:tcPr>
            <w:tcW w:w="420" w:type="dxa"/>
            <w:vAlign w:val="bottom"/>
            <w:tcBorders>
              <w:bottom w:val="single" w:sz="8" w:color="auto"/>
              <w:right w:val="single" w:sz="8" w:color="F3F3F3"/>
            </w:tcBorders>
            <w:shd w:val="clear" w:color="auto" w:fill="F3F3F3"/>
          </w:tcPr>
          <w:p>
            <w:pPr>
              <w:jc w:val="right"/>
              <w:ind w:right="4"/>
              <w:spacing w:after="0"/>
              <w:rPr>
                <w:sz w:val="20"/>
                <w:szCs w:val="20"/>
                <w:color w:val="auto"/>
              </w:rPr>
            </w:pPr>
            <w:r>
              <w:rPr>
                <w:rFonts w:ascii="Arial" w:cs="Arial" w:eastAsia="Arial" w:hAnsi="Arial"/>
                <w:sz w:val="7"/>
                <w:szCs w:val="7"/>
                <w:b w:val="1"/>
                <w:bCs w:val="1"/>
                <w:color w:val="auto"/>
              </w:rPr>
              <w:t>27.1</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22.3</w:t>
            </w: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18.3</w:t>
            </w:r>
          </w:p>
        </w:tc>
        <w:tc>
          <w:tcPr>
            <w:tcW w:w="100" w:type="dxa"/>
            <w:vAlign w:val="bottom"/>
          </w:tcPr>
          <w:p>
            <w:pPr>
              <w:spacing w:after="0"/>
              <w:rPr>
                <w:sz w:val="13"/>
                <w:szCs w:val="13"/>
                <w:color w:val="auto"/>
              </w:rPr>
            </w:pPr>
          </w:p>
        </w:tc>
        <w:tc>
          <w:tcPr>
            <w:tcW w:w="36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b w:val="1"/>
                <w:bCs w:val="1"/>
                <w:color w:val="auto"/>
              </w:rPr>
              <w:t>1.7</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1.4</w:t>
            </w:r>
          </w:p>
        </w:tc>
        <w:tc>
          <w:tcPr>
            <w:tcW w:w="100" w:type="dxa"/>
            <w:vAlign w:val="bottom"/>
          </w:tcPr>
          <w:p>
            <w:pPr>
              <w:spacing w:after="0"/>
              <w:rPr>
                <w:sz w:val="13"/>
                <w:szCs w:val="13"/>
                <w:color w:val="auto"/>
              </w:rPr>
            </w:pPr>
          </w:p>
        </w:tc>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b w:val="1"/>
                <w:bCs w:val="1"/>
                <w:color w:val="auto"/>
              </w:rPr>
              <w:t>0.3</w:t>
            </w: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3.7</w:t>
            </w: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6.9</w:t>
            </w:r>
          </w:p>
        </w:tc>
        <w:tc>
          <w:tcPr>
            <w:tcW w:w="100" w:type="dxa"/>
            <w:vAlign w:val="bottom"/>
          </w:tcPr>
          <w:p>
            <w:pPr>
              <w:spacing w:after="0"/>
              <w:rPr>
                <w:sz w:val="13"/>
                <w:szCs w:val="13"/>
                <w:color w:val="auto"/>
              </w:rPr>
            </w:pPr>
          </w:p>
        </w:tc>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b w:val="1"/>
                <w:bCs w:val="1"/>
                <w:color w:val="auto"/>
              </w:rPr>
              <w:t>19.7</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16.6</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15.7</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
        <w:spacing w:after="0"/>
        <w:rPr>
          <w:sz w:val="20"/>
          <w:szCs w:val="20"/>
          <w:color w:val="auto"/>
        </w:rPr>
      </w:pPr>
      <w:r>
        <w:rPr>
          <w:rFonts w:ascii="Arial" w:cs="Arial" w:eastAsia="Arial" w:hAnsi="Arial"/>
          <w:sz w:val="8"/>
          <w:szCs w:val="8"/>
          <w:color w:val="auto"/>
        </w:rPr>
        <w:t>1 – David A. Eatwell stepped down as CFO on February 29, 2020, and Anthony Pagano was appointed CFO and member of the Executive Management on March 1, 2020.</w:t>
      </w:r>
    </w:p>
    <w:p>
      <w:pPr>
        <w:spacing w:after="0" w:line="3" w:lineRule="exact"/>
        <w:rPr>
          <w:sz w:val="20"/>
          <w:szCs w:val="20"/>
          <w:color w:val="auto"/>
        </w:rPr>
      </w:pPr>
    </w:p>
    <w:p>
      <w:pPr>
        <w:ind w:left="20"/>
        <w:spacing w:after="0"/>
        <w:rPr>
          <w:sz w:val="20"/>
          <w:szCs w:val="20"/>
          <w:color w:val="auto"/>
        </w:rPr>
      </w:pPr>
      <w:r>
        <w:rPr>
          <w:rFonts w:ascii="Arial" w:cs="Arial" w:eastAsia="Arial" w:hAnsi="Arial"/>
          <w:sz w:val="8"/>
          <w:szCs w:val="8"/>
          <w:color w:val="auto"/>
        </w:rPr>
        <w:t>2 – Anthony Mancini was appointed Chief Operating Officer and member of the Executive Management in March 2020.</w:t>
      </w:r>
    </w:p>
    <w:p>
      <w:pPr>
        <w:ind w:left="20"/>
        <w:spacing w:after="0"/>
        <w:rPr>
          <w:sz w:val="20"/>
          <w:szCs w:val="20"/>
          <w:color w:val="auto"/>
        </w:rPr>
      </w:pPr>
      <w:r>
        <w:rPr>
          <w:rFonts w:ascii="Arial" w:cs="Arial" w:eastAsia="Arial" w:hAnsi="Arial"/>
          <w:sz w:val="8"/>
          <w:szCs w:val="8"/>
          <w:color w:val="auto"/>
        </w:rPr>
        <w:t>3 – Tahamtan Ahmadi was appointed Chief Medical Officer, Head of Experimental Medicines and member of the Executive Management in March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7"/>
          <w:szCs w:val="7"/>
          <w:b w:val="1"/>
          <w:bCs w:val="1"/>
          <w:color w:val="auto"/>
        </w:rPr>
        <w:t>Share-Based Compensation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380" w:type="dxa"/>
            <w:vAlign w:val="bottom"/>
          </w:tcPr>
          <w:p>
            <w:pPr>
              <w:spacing w:after="0"/>
              <w:rPr>
                <w:sz w:val="7"/>
                <w:szCs w:val="7"/>
                <w:color w:val="auto"/>
              </w:rPr>
            </w:pPr>
          </w:p>
        </w:tc>
        <w:tc>
          <w:tcPr>
            <w:tcW w:w="440" w:type="dxa"/>
            <w:vAlign w:val="bottom"/>
          </w:tcPr>
          <w:p>
            <w:pPr>
              <w:jc w:val="right"/>
              <w:ind w:right="44"/>
              <w:spacing w:after="0"/>
              <w:rPr>
                <w:sz w:val="20"/>
                <w:szCs w:val="20"/>
                <w:color w:val="auto"/>
              </w:rPr>
            </w:pPr>
            <w:r>
              <w:rPr>
                <w:rFonts w:ascii="Arial" w:cs="Arial" w:eastAsia="Arial" w:hAnsi="Arial"/>
                <w:sz w:val="7"/>
                <w:szCs w:val="7"/>
                <w:b w:val="1"/>
                <w:bCs w:val="1"/>
                <w:color w:val="auto"/>
              </w:rPr>
              <w:t>Expenses</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2022</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2021</w:t>
            </w:r>
          </w:p>
        </w:tc>
        <w:tc>
          <w:tcPr>
            <w:tcW w:w="3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2020</w:t>
            </w:r>
          </w:p>
        </w:tc>
        <w:tc>
          <w:tcPr>
            <w:tcW w:w="0" w:type="dxa"/>
            <w:vAlign w:val="bottom"/>
          </w:tcPr>
          <w:p>
            <w:pPr>
              <w:spacing w:after="0"/>
              <w:rPr>
                <w:sz w:val="1"/>
                <w:szCs w:val="1"/>
                <w:color w:val="auto"/>
              </w:rPr>
            </w:pPr>
          </w:p>
        </w:tc>
      </w:tr>
      <w:tr>
        <w:trPr>
          <w:trHeight w:val="71"/>
        </w:trPr>
        <w:tc>
          <w:tcPr>
            <w:tcW w:w="380" w:type="dxa"/>
            <w:vAlign w:val="bottom"/>
          </w:tcPr>
          <w:p>
            <w:pPr>
              <w:spacing w:after="0"/>
              <w:rPr>
                <w:sz w:val="6"/>
                <w:szCs w:val="6"/>
                <w:color w:val="auto"/>
              </w:rPr>
            </w:pPr>
          </w:p>
        </w:tc>
        <w:tc>
          <w:tcPr>
            <w:tcW w:w="440" w:type="dxa"/>
            <w:vAlign w:val="bottom"/>
            <w:vMerge w:val="restart"/>
          </w:tcPr>
          <w:p>
            <w:pPr>
              <w:jc w:val="right"/>
              <w:ind w:right="44"/>
              <w:spacing w:after="0"/>
              <w:rPr>
                <w:sz w:val="20"/>
                <w:szCs w:val="20"/>
                <w:color w:val="auto"/>
              </w:rPr>
            </w:pPr>
            <w:r>
              <w:rPr>
                <w:rFonts w:ascii="Arial" w:cs="Arial" w:eastAsia="Arial" w:hAnsi="Arial"/>
                <w:sz w:val="7"/>
                <w:szCs w:val="7"/>
                <w:color w:val="auto"/>
              </w:rPr>
              <w:t>20.6</w:t>
            </w:r>
          </w:p>
        </w:tc>
        <w:tc>
          <w:tcPr>
            <w:tcW w:w="340" w:type="dxa"/>
            <w:vAlign w:val="bottom"/>
            <w:vMerge w:val="restart"/>
          </w:tcPr>
          <w:p>
            <w:pPr>
              <w:jc w:val="right"/>
              <w:ind w:right="4"/>
              <w:spacing w:after="0"/>
              <w:rPr>
                <w:sz w:val="20"/>
                <w:szCs w:val="20"/>
                <w:color w:val="auto"/>
              </w:rPr>
            </w:pPr>
            <w:r>
              <w:rPr>
                <w:rFonts w:ascii="Arial" w:cs="Arial" w:eastAsia="Arial" w:hAnsi="Arial"/>
                <w:sz w:val="7"/>
                <w:szCs w:val="7"/>
                <w:color w:val="auto"/>
              </w:rPr>
              <w:t>19.6</w:t>
            </w:r>
          </w:p>
        </w:tc>
        <w:tc>
          <w:tcPr>
            <w:tcW w:w="0" w:type="dxa"/>
            <w:vAlign w:val="bottom"/>
          </w:tcPr>
          <w:p>
            <w:pPr>
              <w:spacing w:after="0"/>
              <w:rPr>
                <w:sz w:val="1"/>
                <w:szCs w:val="1"/>
                <w:color w:val="auto"/>
              </w:rPr>
            </w:pPr>
          </w:p>
        </w:tc>
      </w:tr>
      <w:tr>
        <w:trPr>
          <w:trHeight w:val="73"/>
        </w:trPr>
        <w:tc>
          <w:tcPr>
            <w:tcW w:w="380" w:type="dxa"/>
            <w:vAlign w:val="bottom"/>
            <w:shd w:val="clear" w:color="auto" w:fill="F3F3F3"/>
          </w:tcPr>
          <w:p>
            <w:pPr>
              <w:jc w:val="right"/>
              <w:spacing w:after="0" w:line="74" w:lineRule="exact"/>
              <w:rPr>
                <w:sz w:val="20"/>
                <w:szCs w:val="20"/>
                <w:color w:val="auto"/>
              </w:rPr>
            </w:pPr>
            <w:r>
              <w:rPr>
                <w:rFonts w:ascii="Arial" w:cs="Arial" w:eastAsia="Arial" w:hAnsi="Arial"/>
                <w:sz w:val="7"/>
                <w:szCs w:val="7"/>
                <w:color w:val="auto"/>
              </w:rPr>
              <w:t>22.9</w:t>
            </w:r>
          </w:p>
        </w:tc>
        <w:tc>
          <w:tcPr>
            <w:tcW w:w="44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spacing w:after="0"/>
              <w:rPr>
                <w:sz w:val="20"/>
                <w:szCs w:val="20"/>
                <w:color w:val="auto"/>
              </w:rPr>
            </w:pPr>
            <w:r>
              <w:rPr>
                <w:rFonts w:ascii="Arial" w:cs="Arial" w:eastAsia="Arial" w:hAnsi="Arial"/>
                <w:sz w:val="7"/>
                <w:szCs w:val="7"/>
                <w:color w:val="auto"/>
              </w:rPr>
              <w:t>9.5</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7.2</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5.2</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spacing w:after="0"/>
              <w:rPr>
                <w:sz w:val="20"/>
                <w:szCs w:val="20"/>
                <w:color w:val="auto"/>
              </w:rPr>
            </w:pPr>
            <w:r>
              <w:rPr>
                <w:rFonts w:ascii="Arial" w:cs="Arial" w:eastAsia="Arial" w:hAnsi="Arial"/>
                <w:sz w:val="7"/>
                <w:szCs w:val="7"/>
                <w:color w:val="auto"/>
              </w:rPr>
              <w:t>11.4</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7.2</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3.1</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spacing w:after="0"/>
              <w:rPr>
                <w:sz w:val="20"/>
                <w:szCs w:val="20"/>
                <w:color w:val="auto"/>
              </w:rPr>
            </w:pPr>
            <w:r>
              <w:rPr>
                <w:rFonts w:ascii="Arial" w:cs="Arial" w:eastAsia="Arial" w:hAnsi="Arial"/>
                <w:sz w:val="7"/>
                <w:szCs w:val="7"/>
                <w:color w:val="auto"/>
              </w:rPr>
              <w:t>14.1</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13.2</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12.7</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spacing w:after="0"/>
              <w:rPr>
                <w:sz w:val="20"/>
                <w:szCs w:val="20"/>
                <w:color w:val="auto"/>
              </w:rPr>
            </w:pPr>
            <w:r>
              <w:rPr>
                <w:rFonts w:ascii="Arial" w:cs="Arial" w:eastAsia="Arial" w:hAnsi="Arial"/>
                <w:sz w:val="7"/>
                <w:szCs w:val="7"/>
                <w:color w:val="auto"/>
              </w:rPr>
              <w:t>7.7</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5.5</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0"/>
        </w:trPr>
        <w:tc>
          <w:tcPr>
            <w:tcW w:w="3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7"/>
                <w:szCs w:val="7"/>
                <w:b w:val="1"/>
                <w:bCs w:val="1"/>
                <w:color w:val="auto"/>
              </w:rPr>
              <w:t>65.6</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53.7</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2"/>
        </w:trPr>
        <w:tc>
          <w:tcPr>
            <w:tcW w:w="380" w:type="dxa"/>
            <w:vAlign w:val="bottom"/>
          </w:tcPr>
          <w:p>
            <w:pPr>
              <w:spacing w:after="0"/>
              <w:rPr>
                <w:sz w:val="7"/>
                <w:szCs w:val="7"/>
                <w:color w:val="auto"/>
              </w:rPr>
            </w:pPr>
          </w:p>
        </w:tc>
        <w:tc>
          <w:tcPr>
            <w:tcW w:w="420" w:type="dxa"/>
            <w:vAlign w:val="bottom"/>
          </w:tcPr>
          <w:p>
            <w:pPr>
              <w:jc w:val="right"/>
              <w:ind w:right="104"/>
              <w:spacing w:after="0"/>
              <w:rPr>
                <w:sz w:val="20"/>
                <w:szCs w:val="20"/>
                <w:color w:val="auto"/>
              </w:rPr>
            </w:pPr>
            <w:r>
              <w:rPr>
                <w:rFonts w:ascii="Arial" w:cs="Arial" w:eastAsia="Arial" w:hAnsi="Arial"/>
                <w:sz w:val="7"/>
                <w:szCs w:val="7"/>
                <w:b w:val="1"/>
                <w:bCs w:val="1"/>
                <w:color w:val="auto"/>
              </w:rPr>
              <w:t>Total</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2022</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2021</w:t>
            </w:r>
          </w:p>
        </w:tc>
        <w:tc>
          <w:tcPr>
            <w:tcW w:w="3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2020</w:t>
            </w:r>
          </w:p>
        </w:tc>
        <w:tc>
          <w:tcPr>
            <w:tcW w:w="0" w:type="dxa"/>
            <w:vAlign w:val="bottom"/>
          </w:tcPr>
          <w:p>
            <w:pPr>
              <w:spacing w:after="0"/>
              <w:rPr>
                <w:sz w:val="1"/>
                <w:szCs w:val="1"/>
                <w:color w:val="auto"/>
              </w:rPr>
            </w:pPr>
          </w:p>
        </w:tc>
      </w:tr>
      <w:tr>
        <w:trPr>
          <w:trHeight w:val="71"/>
        </w:trPr>
        <w:tc>
          <w:tcPr>
            <w:tcW w:w="380" w:type="dxa"/>
            <w:vAlign w:val="bottom"/>
          </w:tcPr>
          <w:p>
            <w:pPr>
              <w:spacing w:after="0"/>
              <w:rPr>
                <w:sz w:val="6"/>
                <w:szCs w:val="6"/>
                <w:color w:val="auto"/>
              </w:rPr>
            </w:pPr>
          </w:p>
        </w:tc>
        <w:tc>
          <w:tcPr>
            <w:tcW w:w="420" w:type="dxa"/>
            <w:vAlign w:val="bottom"/>
            <w:vMerge w:val="restart"/>
          </w:tcPr>
          <w:p>
            <w:pPr>
              <w:jc w:val="right"/>
              <w:ind w:right="24"/>
              <w:spacing w:after="0"/>
              <w:rPr>
                <w:sz w:val="20"/>
                <w:szCs w:val="20"/>
                <w:color w:val="auto"/>
              </w:rPr>
            </w:pPr>
            <w:r>
              <w:rPr>
                <w:rFonts w:ascii="Arial" w:cs="Arial" w:eastAsia="Arial" w:hAnsi="Arial"/>
                <w:sz w:val="7"/>
                <w:szCs w:val="7"/>
                <w:color w:val="auto"/>
              </w:rPr>
              <w:t>38.1</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37.3</w:t>
            </w:r>
          </w:p>
        </w:tc>
        <w:tc>
          <w:tcPr>
            <w:tcW w:w="0" w:type="dxa"/>
            <w:vAlign w:val="bottom"/>
          </w:tcPr>
          <w:p>
            <w:pPr>
              <w:spacing w:after="0"/>
              <w:rPr>
                <w:sz w:val="1"/>
                <w:szCs w:val="1"/>
                <w:color w:val="auto"/>
              </w:rPr>
            </w:pPr>
          </w:p>
        </w:tc>
      </w:tr>
      <w:tr>
        <w:trPr>
          <w:trHeight w:val="73"/>
        </w:trPr>
        <w:tc>
          <w:tcPr>
            <w:tcW w:w="380" w:type="dxa"/>
            <w:vAlign w:val="bottom"/>
            <w:shd w:val="clear" w:color="auto" w:fill="F3F3F3"/>
          </w:tcPr>
          <w:p>
            <w:pPr>
              <w:jc w:val="right"/>
              <w:ind w:right="4"/>
              <w:spacing w:after="0" w:line="74" w:lineRule="exact"/>
              <w:rPr>
                <w:sz w:val="20"/>
                <w:szCs w:val="20"/>
                <w:color w:val="auto"/>
              </w:rPr>
            </w:pPr>
            <w:r>
              <w:rPr>
                <w:rFonts w:ascii="Arial" w:cs="Arial" w:eastAsia="Arial" w:hAnsi="Arial"/>
                <w:sz w:val="7"/>
                <w:szCs w:val="7"/>
                <w:color w:val="auto"/>
              </w:rPr>
              <w:t>41.7</w:t>
            </w:r>
          </w:p>
        </w:tc>
        <w:tc>
          <w:tcPr>
            <w:tcW w:w="4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16.5</w:t>
            </w:r>
          </w:p>
        </w:tc>
        <w:tc>
          <w:tcPr>
            <w:tcW w:w="420" w:type="dxa"/>
            <w:vAlign w:val="bottom"/>
          </w:tcPr>
          <w:p>
            <w:pPr>
              <w:jc w:val="right"/>
              <w:ind w:right="24"/>
              <w:spacing w:after="0"/>
              <w:rPr>
                <w:sz w:val="20"/>
                <w:szCs w:val="20"/>
                <w:color w:val="auto"/>
              </w:rPr>
            </w:pPr>
            <w:r>
              <w:rPr>
                <w:rFonts w:ascii="Arial" w:cs="Arial" w:eastAsia="Arial" w:hAnsi="Arial"/>
                <w:sz w:val="7"/>
                <w:szCs w:val="7"/>
                <w:color w:val="auto"/>
              </w:rPr>
              <w:t>12.4</w:t>
            </w:r>
          </w:p>
        </w:tc>
        <w:tc>
          <w:tcPr>
            <w:tcW w:w="340" w:type="dxa"/>
            <w:vAlign w:val="bottom"/>
          </w:tcPr>
          <w:p>
            <w:pPr>
              <w:jc w:val="right"/>
              <w:spacing w:after="0"/>
              <w:rPr>
                <w:sz w:val="20"/>
                <w:szCs w:val="20"/>
                <w:color w:val="auto"/>
              </w:rPr>
            </w:pPr>
            <w:r>
              <w:rPr>
                <w:rFonts w:ascii="Arial" w:cs="Arial" w:eastAsia="Arial" w:hAnsi="Arial"/>
                <w:sz w:val="7"/>
                <w:szCs w:val="7"/>
                <w:color w:val="auto"/>
              </w:rPr>
              <w:t>10.6</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19.0</w:t>
            </w:r>
          </w:p>
        </w:tc>
        <w:tc>
          <w:tcPr>
            <w:tcW w:w="420" w:type="dxa"/>
            <w:vAlign w:val="bottom"/>
          </w:tcPr>
          <w:p>
            <w:pPr>
              <w:jc w:val="right"/>
              <w:ind w:right="24"/>
              <w:spacing w:after="0"/>
              <w:rPr>
                <w:sz w:val="20"/>
                <w:szCs w:val="20"/>
                <w:color w:val="auto"/>
              </w:rPr>
            </w:pPr>
            <w:r>
              <w:rPr>
                <w:rFonts w:ascii="Arial" w:cs="Arial" w:eastAsia="Arial" w:hAnsi="Arial"/>
                <w:sz w:val="7"/>
                <w:szCs w:val="7"/>
                <w:color w:val="auto"/>
              </w:rPr>
              <w:t>16.6</w:t>
            </w:r>
          </w:p>
        </w:tc>
        <w:tc>
          <w:tcPr>
            <w:tcW w:w="340" w:type="dxa"/>
            <w:vAlign w:val="bottom"/>
          </w:tcPr>
          <w:p>
            <w:pPr>
              <w:jc w:val="right"/>
              <w:spacing w:after="0"/>
              <w:rPr>
                <w:sz w:val="20"/>
                <w:szCs w:val="20"/>
                <w:color w:val="auto"/>
              </w:rPr>
            </w:pPr>
            <w:r>
              <w:rPr>
                <w:rFonts w:ascii="Arial" w:cs="Arial" w:eastAsia="Arial" w:hAnsi="Arial"/>
                <w:sz w:val="7"/>
                <w:szCs w:val="7"/>
                <w:color w:val="auto"/>
              </w:rPr>
              <w:t>11.6</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22.0</w:t>
            </w:r>
          </w:p>
        </w:tc>
        <w:tc>
          <w:tcPr>
            <w:tcW w:w="420" w:type="dxa"/>
            <w:vAlign w:val="bottom"/>
          </w:tcPr>
          <w:p>
            <w:pPr>
              <w:jc w:val="right"/>
              <w:ind w:right="24"/>
              <w:spacing w:after="0"/>
              <w:rPr>
                <w:sz w:val="20"/>
                <w:szCs w:val="20"/>
                <w:color w:val="auto"/>
              </w:rPr>
            </w:pPr>
            <w:r>
              <w:rPr>
                <w:rFonts w:ascii="Arial" w:cs="Arial" w:eastAsia="Arial" w:hAnsi="Arial"/>
                <w:sz w:val="7"/>
                <w:szCs w:val="7"/>
                <w:color w:val="auto"/>
              </w:rPr>
              <w:t>19.8</w:t>
            </w:r>
          </w:p>
        </w:tc>
        <w:tc>
          <w:tcPr>
            <w:tcW w:w="340" w:type="dxa"/>
            <w:vAlign w:val="bottom"/>
          </w:tcPr>
          <w:p>
            <w:pPr>
              <w:jc w:val="right"/>
              <w:spacing w:after="0"/>
              <w:rPr>
                <w:sz w:val="20"/>
                <w:szCs w:val="20"/>
                <w:color w:val="auto"/>
              </w:rPr>
            </w:pPr>
            <w:r>
              <w:rPr>
                <w:rFonts w:ascii="Arial" w:cs="Arial" w:eastAsia="Arial" w:hAnsi="Arial"/>
                <w:sz w:val="7"/>
                <w:szCs w:val="7"/>
                <w:color w:val="auto"/>
              </w:rPr>
              <w:t>19.9</w:t>
            </w:r>
          </w:p>
        </w:tc>
        <w:tc>
          <w:tcPr>
            <w:tcW w:w="0" w:type="dxa"/>
            <w:vAlign w:val="bottom"/>
          </w:tcPr>
          <w:p>
            <w:pPr>
              <w:spacing w:after="0"/>
              <w:rPr>
                <w:sz w:val="1"/>
                <w:szCs w:val="1"/>
                <w:color w:val="auto"/>
              </w:rPr>
            </w:pPr>
          </w:p>
        </w:tc>
      </w:tr>
      <w:tr>
        <w:trPr>
          <w:trHeight w:val="82"/>
        </w:trPr>
        <w:tc>
          <w:tcPr>
            <w:tcW w:w="380" w:type="dxa"/>
            <w:vAlign w:val="bottom"/>
            <w:shd w:val="clear" w:color="auto" w:fill="F3F3F3"/>
          </w:tcPr>
          <w:p>
            <w:pPr>
              <w:jc w:val="right"/>
              <w:ind w:right="4"/>
              <w:spacing w:after="0"/>
              <w:rPr>
                <w:sz w:val="20"/>
                <w:szCs w:val="20"/>
                <w:color w:val="auto"/>
              </w:rPr>
            </w:pPr>
            <w:r>
              <w:rPr>
                <w:rFonts w:ascii="Arial" w:cs="Arial" w:eastAsia="Arial" w:hAnsi="Arial"/>
                <w:sz w:val="7"/>
                <w:szCs w:val="7"/>
                <w:color w:val="auto"/>
              </w:rPr>
              <w:t>15.2</w:t>
            </w:r>
          </w:p>
        </w:tc>
        <w:tc>
          <w:tcPr>
            <w:tcW w:w="420" w:type="dxa"/>
            <w:vAlign w:val="bottom"/>
          </w:tcPr>
          <w:p>
            <w:pPr>
              <w:jc w:val="right"/>
              <w:ind w:right="24"/>
              <w:spacing w:after="0"/>
              <w:rPr>
                <w:sz w:val="20"/>
                <w:szCs w:val="20"/>
                <w:color w:val="auto"/>
              </w:rPr>
            </w:pPr>
            <w:r>
              <w:rPr>
                <w:rFonts w:ascii="Arial" w:cs="Arial" w:eastAsia="Arial" w:hAnsi="Arial"/>
                <w:sz w:val="7"/>
                <w:szCs w:val="7"/>
                <w:color w:val="auto"/>
              </w:rPr>
              <w:t>10.9</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0"/>
        </w:trPr>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color w:val="auto"/>
              </w:rPr>
              <w:t>-</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152"/>
        </w:trPr>
        <w:tc>
          <w:tcPr>
            <w:tcW w:w="380" w:type="dxa"/>
            <w:vAlign w:val="bottom"/>
            <w:tcBorders>
              <w:bottom w:val="single" w:sz="8" w:color="auto"/>
            </w:tcBorders>
            <w:shd w:val="clear" w:color="auto" w:fill="F3F3F3"/>
          </w:tcPr>
          <w:p>
            <w:pPr>
              <w:jc w:val="right"/>
              <w:ind w:right="4"/>
              <w:spacing w:after="0"/>
              <w:rPr>
                <w:sz w:val="20"/>
                <w:szCs w:val="20"/>
                <w:color w:val="auto"/>
              </w:rPr>
            </w:pPr>
            <w:r>
              <w:rPr>
                <w:rFonts w:ascii="Arial" w:cs="Arial" w:eastAsia="Arial" w:hAnsi="Arial"/>
                <w:sz w:val="7"/>
                <w:szCs w:val="7"/>
                <w:b w:val="1"/>
                <w:bCs w:val="1"/>
                <w:color w:val="auto"/>
              </w:rPr>
              <w:t>114.4</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97.8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80.6</w:t>
            </w:r>
          </w:p>
        </w:tc>
        <w:tc>
          <w:tcPr>
            <w:tcW w:w="0" w:type="dxa"/>
            <w:vAlign w:val="bottom"/>
          </w:tcPr>
          <w:p>
            <w:pPr>
              <w:spacing w:after="0"/>
              <w:rPr>
                <w:sz w:val="1"/>
                <w:szCs w:val="1"/>
                <w:color w:val="auto"/>
              </w:rPr>
            </w:pPr>
          </w:p>
        </w:tc>
      </w:tr>
    </w:tbl>
    <w:p>
      <w:pPr>
        <w:spacing w:after="0" w:line="646" w:lineRule="exact"/>
        <w:rPr>
          <w:sz w:val="20"/>
          <w:szCs w:val="20"/>
          <w:color w:val="auto"/>
        </w:rPr>
      </w:pPr>
    </w:p>
    <w:p>
      <w:pPr>
        <w:sectPr>
          <w:pgSz w:w="11900" w:h="16838" w:orient="portrait"/>
          <w:cols w:equalWidth="0" w:num="3">
            <w:col w:w="6380" w:space="120"/>
            <w:col w:w="1160" w:space="180"/>
            <w:col w:w="1179"/>
          </w:cols>
          <w:pgMar w:left="1440" w:top="484" w:right="1440" w:bottom="1440" w:gutter="0" w:footer="0" w:header="0"/>
          <w:type w:val="continuous"/>
        </w:sectPr>
      </w:pP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type w:val="continuous"/>
        </w:sectPr>
      </w:pPr>
    </w:p>
    <w:bookmarkStart w:id="125" w:name="page126"/>
    <w:bookmarkEnd w:id="12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right="59"/>
        <w:spacing w:after="0" w:line="245" w:lineRule="auto"/>
        <w:rPr>
          <w:sz w:val="20"/>
          <w:szCs w:val="20"/>
          <w:color w:val="auto"/>
        </w:rPr>
      </w:pPr>
      <w:r>
        <w:rPr>
          <w:rFonts w:ascii="Arial" w:cs="Arial" w:eastAsia="Arial" w:hAnsi="Arial"/>
          <w:sz w:val="12"/>
          <w:szCs w:val="12"/>
          <w:color w:val="auto"/>
        </w:rPr>
        <w:t>Genmab has decided to implement an administrative organizational change whereby effective January 1, 2023, only Jan van de Winkel, President and Chief Executive Officer, and Anthony Pagano, Executive Vice President and Chief Financial Officer, will be formally registered as executive managers with the Danish Business Authority. Judith Klimovsky, Executive Vice President and Chief Development Officer, Anthony Mancini, Executive Vice President and Chief Operating Officer, and Tahamtan Ahmadi, Executive Vice President and Chief Medical Officer, will cease to be registered as executive managers with the Danish Business Authority; however, apart from the formal registration amendments there will be no changes to the Executive Management Team, including titles, areas of responsibility or otherwise.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the section “Senior Leadership” in Management’s Review for additional information regarding the Executive Management.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Severance Payments:</w:t>
      </w:r>
    </w:p>
    <w:p>
      <w:pPr>
        <w:spacing w:after="0" w:line="10" w:lineRule="exact"/>
        <w:rPr>
          <w:sz w:val="20"/>
          <w:szCs w:val="20"/>
          <w:color w:val="auto"/>
        </w:rPr>
      </w:pPr>
    </w:p>
    <w:p>
      <w:pPr>
        <w:ind w:left="20" w:right="39"/>
        <w:spacing w:after="0" w:line="239" w:lineRule="auto"/>
        <w:rPr>
          <w:sz w:val="20"/>
          <w:szCs w:val="20"/>
          <w:color w:val="auto"/>
        </w:rPr>
      </w:pPr>
      <w:r>
        <w:rPr>
          <w:rFonts w:ascii="Arial" w:cs="Arial" w:eastAsia="Arial" w:hAnsi="Arial"/>
          <w:sz w:val="12"/>
          <w:szCs w:val="12"/>
          <w:color w:val="auto"/>
        </w:rPr>
        <w:t>In the event Genmab terminates the service agreements with any member of the Executive Management team without cause, Genmab is obliged to pay his/her existing salary for one or two years after the end of the one-year notice period. However, in the event of termination by Genmab (unless for cause) or by any member of Executive Management as a result of a change of control of Genmab, Genmab is obliged to pay compensation equal to his/her existing total salary (including benefits) for up to two years in addition to the notice period. In 2021, the Remuneration Policy was amended at the Annual General Meeting to specify that the total value of the remuneration relating to the notice period for new members of Executive Management cannot exceed two years of remuneration, including all components of the remuneration. In case of the termination of the service agreements of the Executive Management without cause, the total impact on our financial position is estimated to be approximately DKK 82 million as of December 31, 2022 (2021: DKK 72 million, 2020: DKK 52 million).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5.2 – Related Party Disclosures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Genmab’s related parties are the parent company’s subsidiaries, Board of Directors, Executive Management, and close members of the family of these persons.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has not granted any loans, guarantees or other commitments to or on behalf of any of the members of the Board of Directors or Executive Management.</w:t>
      </w:r>
    </w:p>
    <w:p>
      <w:pPr>
        <w:spacing w:after="0" w:line="14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 xml:space="preserve">Other than the remuneration and other transactions relating to the Board of Directors and Executive Management described in </w:t>
      </w:r>
      <w:r>
        <w:rPr>
          <w:rFonts w:ascii="Arial" w:cs="Arial" w:eastAsia="Arial" w:hAnsi="Arial"/>
          <w:sz w:val="12"/>
          <w:szCs w:val="12"/>
          <w:color w:val="029C93"/>
        </w:rPr>
        <w:t>Note 5.1</w:t>
      </w:r>
      <w:r>
        <w:rPr>
          <w:rFonts w:ascii="Arial" w:cs="Arial" w:eastAsia="Arial" w:hAnsi="Arial"/>
          <w:sz w:val="12"/>
          <w:szCs w:val="12"/>
          <w:color w:val="auto"/>
        </w:rPr>
        <w:t>, there were no material related party transactions during 2022, 2021 and 2020.</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5.3 – Commitments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PURCHASE OBLIGATIONS</w:t>
      </w:r>
    </w:p>
    <w:p>
      <w:pPr>
        <w:spacing w:after="0" w:line="10" w:lineRule="exact"/>
        <w:rPr>
          <w:sz w:val="20"/>
          <w:szCs w:val="20"/>
          <w:color w:val="auto"/>
        </w:rPr>
      </w:pPr>
    </w:p>
    <w:p>
      <w:pPr>
        <w:ind w:left="20" w:right="99"/>
        <w:spacing w:after="0" w:line="252" w:lineRule="auto"/>
        <w:rPr>
          <w:sz w:val="20"/>
          <w:szCs w:val="20"/>
          <w:color w:val="auto"/>
        </w:rPr>
      </w:pPr>
      <w:r>
        <w:rPr>
          <w:rFonts w:ascii="Arial" w:cs="Arial" w:eastAsia="Arial" w:hAnsi="Arial"/>
          <w:sz w:val="12"/>
          <w:szCs w:val="12"/>
          <w:color w:val="auto"/>
        </w:rPr>
        <w:t>Genmab has entered into a number of agreements related to research and development activities that contain various obligations. These short-term contractual obligations amounted to approximately DKK 1,687 million as of December 31, 2022, all of which is due in less than two years (2021: approximately DKK 1,340 million).</w:t>
      </w:r>
    </w:p>
    <w:p>
      <w:pPr>
        <w:spacing w:after="0" w:line="115" w:lineRule="exact"/>
        <w:rPr>
          <w:sz w:val="20"/>
          <w:szCs w:val="20"/>
          <w:color w:val="auto"/>
        </w:rPr>
      </w:pPr>
    </w:p>
    <w:p>
      <w:pPr>
        <w:ind w:left="20" w:right="139"/>
        <w:spacing w:after="0" w:line="248" w:lineRule="auto"/>
        <w:rPr>
          <w:sz w:val="20"/>
          <w:szCs w:val="20"/>
          <w:color w:val="auto"/>
        </w:rPr>
      </w:pPr>
      <w:r>
        <w:rPr>
          <w:rFonts w:ascii="Arial" w:cs="Arial" w:eastAsia="Arial" w:hAnsi="Arial"/>
          <w:sz w:val="12"/>
          <w:szCs w:val="12"/>
          <w:color w:val="auto"/>
        </w:rPr>
        <w:t>Genmab also has certain contingent commitments under license and collaboration agreements that may become due in the future. As of December 31, 2022, these contingent commitments amounted to approximately DKK 20,077 million (USD 2,880 million) in potential future development, regulatory and commercial milestone payments to third parties under license and collaboration agreements for our pre-clinical and clinical stage development programs as compared to approximately DKK 19,574 million (USD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6" w:name="page127"/>
    <w:bookmarkEnd w:id="12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2,983 million) as of December 31, 2021. These milestone payments generally become due and payable only upon the achievement of certain development, clinical, regulatory or commercial milestones. The events triggering such payments or obligations have not yet occurred.</w:t>
      </w:r>
    </w:p>
    <w:p>
      <w:pPr>
        <w:spacing w:after="0" w:line="103" w:lineRule="exact"/>
        <w:rPr>
          <w:sz w:val="20"/>
          <w:szCs w:val="20"/>
          <w:color w:val="auto"/>
        </w:rPr>
      </w:pPr>
    </w:p>
    <w:p>
      <w:pPr>
        <w:ind w:left="20" w:right="59"/>
        <w:spacing w:after="0" w:line="248" w:lineRule="auto"/>
        <w:rPr>
          <w:sz w:val="20"/>
          <w:szCs w:val="20"/>
          <w:color w:val="auto"/>
        </w:rPr>
      </w:pPr>
      <w:r>
        <w:rPr>
          <w:rFonts w:ascii="Arial" w:cs="Arial" w:eastAsia="Arial" w:hAnsi="Arial"/>
          <w:sz w:val="12"/>
          <w:szCs w:val="12"/>
          <w:color w:val="auto"/>
        </w:rPr>
        <w:t>In addition to the above obligations, Genmab enters into a variety of agreements and financial commitments in the normal course of business. The terms generally allow Genmab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5.4 – Fees to Auditors Appointed at the Annual General Meeting</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30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1100" w:type="dxa"/>
            <w:vAlign w:val="bottom"/>
          </w:tcPr>
          <w:p>
            <w:pPr>
              <w:jc w:val="right"/>
              <w:ind w:right="160"/>
              <w:spacing w:after="0"/>
              <w:rPr>
                <w:sz w:val="20"/>
                <w:szCs w:val="20"/>
                <w:color w:val="auto"/>
              </w:rPr>
            </w:pPr>
            <w:r>
              <w:rPr>
                <w:rFonts w:ascii="Arial" w:cs="Arial" w:eastAsia="Arial" w:hAnsi="Arial"/>
                <w:sz w:val="12"/>
                <w:szCs w:val="12"/>
                <w:b w:val="1"/>
                <w:bCs w:val="1"/>
                <w:color w:val="auto"/>
              </w:rPr>
              <w:t>2022</w:t>
            </w:r>
          </w:p>
        </w:tc>
        <w:tc>
          <w:tcPr>
            <w:tcW w:w="15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jc w:val="right"/>
              <w:ind w:right="560"/>
              <w:spacing w:after="0"/>
              <w:rPr>
                <w:sz w:val="20"/>
                <w:szCs w:val="20"/>
                <w:color w:val="auto"/>
              </w:rPr>
            </w:pPr>
            <w:r>
              <w:rPr>
                <w:rFonts w:ascii="Arial" w:cs="Arial" w:eastAsia="Arial" w:hAnsi="Arial"/>
                <w:sz w:val="12"/>
                <w:szCs w:val="12"/>
                <w:b w:val="1"/>
                <w:bCs w:val="1"/>
                <w:color w:val="auto"/>
              </w:rPr>
              <w:t>2020</w:t>
            </w:r>
          </w:p>
        </w:tc>
      </w:tr>
      <w:tr>
        <w:trPr>
          <w:trHeight w:val="384"/>
        </w:trPr>
        <w:tc>
          <w:tcPr>
            <w:tcW w:w="4300" w:type="dxa"/>
            <w:vAlign w:val="bottom"/>
          </w:tcPr>
          <w:p>
            <w:pPr>
              <w:spacing w:after="0"/>
              <w:rPr>
                <w:sz w:val="20"/>
                <w:szCs w:val="20"/>
                <w:color w:val="auto"/>
              </w:rPr>
            </w:pPr>
            <w:r>
              <w:rPr>
                <w:rFonts w:ascii="Arial" w:cs="Arial" w:eastAsia="Arial" w:hAnsi="Arial"/>
                <w:sz w:val="12"/>
                <w:szCs w:val="12"/>
                <w:b w:val="1"/>
                <w:bCs w:val="1"/>
                <w:color w:val="auto"/>
              </w:rPr>
              <w:t>PricewaterhouseCoopers</w:t>
            </w: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136"/>
        </w:trPr>
        <w:tc>
          <w:tcPr>
            <w:tcW w:w="4300" w:type="dxa"/>
            <w:vAlign w:val="bottom"/>
          </w:tcPr>
          <w:p>
            <w:pPr>
              <w:spacing w:after="0" w:line="136" w:lineRule="exact"/>
              <w:rPr>
                <w:sz w:val="20"/>
                <w:szCs w:val="20"/>
                <w:color w:val="auto"/>
              </w:rPr>
            </w:pPr>
            <w:r>
              <w:rPr>
                <w:rFonts w:ascii="Arial" w:cs="Arial" w:eastAsia="Arial" w:hAnsi="Arial"/>
                <w:sz w:val="12"/>
                <w:szCs w:val="12"/>
                <w:color w:val="auto"/>
              </w:rPr>
              <w:t>Audit fees</w:t>
            </w:r>
          </w:p>
        </w:tc>
        <w:tc>
          <w:tcPr>
            <w:tcW w:w="110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4.9</w:t>
            </w:r>
          </w:p>
        </w:tc>
      </w:tr>
      <w:tr>
        <w:trPr>
          <w:trHeight w:val="136"/>
        </w:trPr>
        <w:tc>
          <w:tcPr>
            <w:tcW w:w="4300" w:type="dxa"/>
            <w:vAlign w:val="bottom"/>
          </w:tcPr>
          <w:p>
            <w:pPr>
              <w:spacing w:after="0" w:line="136" w:lineRule="exact"/>
              <w:rPr>
                <w:sz w:val="20"/>
                <w:szCs w:val="20"/>
                <w:color w:val="auto"/>
              </w:rPr>
            </w:pPr>
            <w:r>
              <w:rPr>
                <w:rFonts w:ascii="Arial" w:cs="Arial" w:eastAsia="Arial" w:hAnsi="Arial"/>
                <w:sz w:val="12"/>
                <w:szCs w:val="12"/>
                <w:color w:val="auto"/>
              </w:rPr>
              <w:t>Audit-related fees</w:t>
            </w:r>
          </w:p>
        </w:tc>
        <w:tc>
          <w:tcPr>
            <w:tcW w:w="110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2.0</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1.8</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1.0</w:t>
            </w:r>
          </w:p>
        </w:tc>
      </w:tr>
      <w:tr>
        <w:trPr>
          <w:trHeight w:val="136"/>
        </w:trPr>
        <w:tc>
          <w:tcPr>
            <w:tcW w:w="4300" w:type="dxa"/>
            <w:vAlign w:val="bottom"/>
          </w:tcPr>
          <w:p>
            <w:pPr>
              <w:spacing w:after="0" w:line="136" w:lineRule="exact"/>
              <w:rPr>
                <w:sz w:val="20"/>
                <w:szCs w:val="20"/>
                <w:color w:val="auto"/>
              </w:rPr>
            </w:pPr>
            <w:r>
              <w:rPr>
                <w:rFonts w:ascii="Arial" w:cs="Arial" w:eastAsia="Arial" w:hAnsi="Arial"/>
                <w:sz w:val="12"/>
                <w:szCs w:val="12"/>
                <w:color w:val="auto"/>
              </w:rPr>
              <w:t>Tax fees</w:t>
            </w:r>
          </w:p>
        </w:tc>
        <w:tc>
          <w:tcPr>
            <w:tcW w:w="110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0.3</w:t>
            </w:r>
          </w:p>
        </w:tc>
      </w:tr>
      <w:tr>
        <w:trPr>
          <w:trHeight w:val="149"/>
        </w:trPr>
        <w:tc>
          <w:tcPr>
            <w:tcW w:w="4300" w:type="dxa"/>
            <w:vAlign w:val="bottom"/>
          </w:tcPr>
          <w:p>
            <w:pPr>
              <w:spacing w:after="0"/>
              <w:rPr>
                <w:sz w:val="20"/>
                <w:szCs w:val="20"/>
                <w:color w:val="auto"/>
              </w:rPr>
            </w:pPr>
            <w:r>
              <w:rPr>
                <w:rFonts w:ascii="Arial" w:cs="Arial" w:eastAsia="Arial" w:hAnsi="Arial"/>
                <w:sz w:val="12"/>
                <w:szCs w:val="12"/>
                <w:color w:val="auto"/>
              </w:rPr>
              <w:t>All other fees</w:t>
            </w:r>
          </w:p>
        </w:tc>
        <w:tc>
          <w:tcPr>
            <w:tcW w:w="1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4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w:t>
            </w:r>
          </w:p>
        </w:tc>
        <w:tc>
          <w:tcPr>
            <w:tcW w:w="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w:t>
            </w:r>
          </w:p>
        </w:tc>
        <w:tc>
          <w:tcPr>
            <w:tcW w:w="6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6.2</w:t>
            </w:r>
          </w:p>
        </w:tc>
      </w:tr>
    </w:tbl>
    <w:p>
      <w:pPr>
        <w:spacing w:after="0" w:line="268" w:lineRule="exact"/>
        <w:rPr>
          <w:sz w:val="20"/>
          <w:szCs w:val="20"/>
          <w:color w:val="auto"/>
        </w:rPr>
      </w:pPr>
    </w:p>
    <w:p>
      <w:pPr>
        <w:ind w:left="20" w:right="279"/>
        <w:spacing w:after="0" w:line="255" w:lineRule="auto"/>
        <w:rPr>
          <w:sz w:val="20"/>
          <w:szCs w:val="20"/>
          <w:color w:val="auto"/>
        </w:rPr>
      </w:pPr>
      <w:r>
        <w:rPr>
          <w:rFonts w:ascii="Arial" w:cs="Arial" w:eastAsia="Arial" w:hAnsi="Arial"/>
          <w:sz w:val="12"/>
          <w:szCs w:val="12"/>
          <w:color w:val="auto"/>
        </w:rPr>
        <w:t>Fees for other services than statutory audit of the financial statements provided by PricewaterhouseCoopers Statsautoriseret Revisionspartnerselskab amounted to DKK 2.0 million in 2022 (DKK 1.9 million and DKK 1.3 million in 2021 and 2020, respectively). These services primarily include agreed-upon procedures, other assurance assessments and reports, accounting advice, educational training and tax and VAT compliance.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5.5 – Adjustments to Cash Flow Statements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90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380"/>
              <w:spacing w:after="0"/>
              <w:rPr>
                <w:sz w:val="20"/>
                <w:szCs w:val="20"/>
                <w:color w:val="auto"/>
              </w:rPr>
            </w:pPr>
            <w:r>
              <w:rPr>
                <w:rFonts w:ascii="Arial" w:cs="Arial" w:eastAsia="Arial" w:hAnsi="Arial"/>
                <w:sz w:val="12"/>
                <w:szCs w:val="12"/>
                <w:b w:val="1"/>
                <w:bCs w:val="1"/>
                <w:color w:val="auto"/>
              </w:rPr>
              <w:t>Note</w:t>
            </w:r>
          </w:p>
        </w:tc>
        <w:tc>
          <w:tcPr>
            <w:tcW w:w="1260" w:type="dxa"/>
            <w:vAlign w:val="bottom"/>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2"/>
                <w:szCs w:val="12"/>
                <w:color w:val="auto"/>
              </w:rPr>
            </w:pPr>
          </w:p>
        </w:tc>
        <w:tc>
          <w:tcPr>
            <w:tcW w:w="1260" w:type="dxa"/>
            <w:vAlign w:val="bottom"/>
          </w:tcPr>
          <w:p>
            <w:pPr>
              <w:jc w:val="right"/>
              <w:ind w:right="441"/>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2"/>
                <w:szCs w:val="12"/>
                <w:color w:val="auto"/>
              </w:rPr>
            </w:pPr>
          </w:p>
        </w:tc>
        <w:tc>
          <w:tcPr>
            <w:tcW w:w="1280" w:type="dxa"/>
            <w:vAlign w:val="bottom"/>
          </w:tcPr>
          <w:p>
            <w:pPr>
              <w:jc w:val="right"/>
              <w:ind w:right="442"/>
              <w:spacing w:after="0"/>
              <w:rPr>
                <w:sz w:val="20"/>
                <w:szCs w:val="20"/>
                <w:color w:val="auto"/>
              </w:rPr>
            </w:pPr>
            <w:r>
              <w:rPr>
                <w:rFonts w:ascii="Arial" w:cs="Arial" w:eastAsia="Arial" w:hAnsi="Arial"/>
                <w:sz w:val="12"/>
                <w:szCs w:val="12"/>
                <w:b w:val="1"/>
                <w:bCs w:val="1"/>
                <w:color w:val="auto"/>
              </w:rPr>
              <w:t>2020</w:t>
            </w:r>
          </w:p>
        </w:tc>
      </w:tr>
      <w:tr>
        <w:trPr>
          <w:trHeight w:val="384"/>
        </w:trPr>
        <w:tc>
          <w:tcPr>
            <w:tcW w:w="2900" w:type="dxa"/>
            <w:vAlign w:val="bottom"/>
          </w:tcPr>
          <w:p>
            <w:pPr>
              <w:spacing w:after="0"/>
              <w:rPr>
                <w:sz w:val="20"/>
                <w:szCs w:val="20"/>
                <w:color w:val="auto"/>
              </w:rPr>
            </w:pPr>
            <w:r>
              <w:rPr>
                <w:rFonts w:ascii="Arial" w:cs="Arial" w:eastAsia="Arial" w:hAnsi="Arial"/>
                <w:sz w:val="12"/>
                <w:szCs w:val="12"/>
                <w:b w:val="1"/>
                <w:bCs w:val="1"/>
                <w:color w:val="auto"/>
              </w:rPr>
              <w:t>Adjustments for non-cash transactions: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color w:val="auto"/>
              </w:rPr>
              <w:t>Depreciation, amortization and impairment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208"/>
              <w:spacing w:after="0"/>
              <w:rPr>
                <w:sz w:val="20"/>
                <w:szCs w:val="20"/>
                <w:color w:val="auto"/>
              </w:rPr>
            </w:pPr>
            <w:r>
              <w:rPr>
                <w:rFonts w:ascii="Arial" w:cs="Arial" w:eastAsia="Arial" w:hAnsi="Arial"/>
                <w:sz w:val="10"/>
                <w:szCs w:val="10"/>
                <w:color w:val="auto"/>
              </w:rPr>
              <w:t>3.1, 3.2, 3.3</w:t>
            </w:r>
          </w:p>
        </w:tc>
        <w:tc>
          <w:tcPr>
            <w:tcW w:w="4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362</w:t>
            </w:r>
          </w:p>
        </w:tc>
        <w:tc>
          <w:tcPr>
            <w:tcW w:w="6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248</w:t>
            </w:r>
          </w:p>
        </w:tc>
        <w:tc>
          <w:tcPr>
            <w:tcW w:w="4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259</w:t>
            </w: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color w:val="auto"/>
              </w:rPr>
              <w:t>Share-based compensation expenses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288"/>
              <w:spacing w:after="0"/>
              <w:rPr>
                <w:sz w:val="20"/>
                <w:szCs w:val="20"/>
                <w:color w:val="auto"/>
              </w:rPr>
            </w:pPr>
            <w:r>
              <w:rPr>
                <w:rFonts w:ascii="Arial" w:cs="Arial" w:eastAsia="Arial" w:hAnsi="Arial"/>
                <w:sz w:val="10"/>
                <w:szCs w:val="10"/>
                <w:color w:val="auto"/>
              </w:rPr>
              <w:t>2.3, 4.6</w:t>
            </w:r>
          </w:p>
        </w:tc>
        <w:tc>
          <w:tcPr>
            <w:tcW w:w="4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439</w:t>
            </w:r>
          </w:p>
        </w:tc>
        <w:tc>
          <w:tcPr>
            <w:tcW w:w="6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310</w:t>
            </w:r>
          </w:p>
        </w:tc>
        <w:tc>
          <w:tcPr>
            <w:tcW w:w="4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200</w:t>
            </w: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Other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(32)</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2900" w:type="dxa"/>
            <w:vAlign w:val="bottom"/>
          </w:tcPr>
          <w:p>
            <w:pPr>
              <w:spacing w:after="0"/>
              <w:rPr>
                <w:sz w:val="20"/>
                <w:szCs w:val="20"/>
                <w:color w:val="auto"/>
              </w:rPr>
            </w:pPr>
            <w:r>
              <w:rPr>
                <w:rFonts w:ascii="Arial" w:cs="Arial" w:eastAsia="Arial" w:hAnsi="Arial"/>
                <w:sz w:val="12"/>
                <w:szCs w:val="12"/>
                <w:b w:val="1"/>
                <w:bCs w:val="1"/>
                <w:color w:val="auto"/>
              </w:rPr>
              <w:t>Total adjustments for non-cash transactions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801</w:t>
            </w:r>
          </w:p>
        </w:tc>
        <w:tc>
          <w:tcPr>
            <w:tcW w:w="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526</w:t>
            </w:r>
          </w:p>
        </w:tc>
        <w:tc>
          <w:tcPr>
            <w:tcW w:w="4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459</w:t>
            </w:r>
          </w:p>
        </w:tc>
      </w:tr>
      <w:tr>
        <w:trPr>
          <w:trHeight w:val="248"/>
        </w:trPr>
        <w:tc>
          <w:tcPr>
            <w:tcW w:w="2900" w:type="dxa"/>
            <w:vAlign w:val="bottom"/>
          </w:tcPr>
          <w:p>
            <w:pPr>
              <w:spacing w:after="0"/>
              <w:rPr>
                <w:sz w:val="20"/>
                <w:szCs w:val="20"/>
                <w:color w:val="auto"/>
              </w:rPr>
            </w:pPr>
            <w:r>
              <w:rPr>
                <w:rFonts w:ascii="Arial" w:cs="Arial" w:eastAsia="Arial" w:hAnsi="Arial"/>
                <w:sz w:val="12"/>
                <w:szCs w:val="12"/>
                <w:b w:val="1"/>
                <w:bCs w:val="1"/>
                <w:color w:val="auto"/>
              </w:rPr>
              <w:t>Change in operating assets and liabilities: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color w:val="auto"/>
              </w:rPr>
              <w:t>Receivables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(2,213)</w:t>
            </w:r>
          </w:p>
        </w:tc>
        <w:tc>
          <w:tcPr>
            <w:tcW w:w="13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(1,074)</w:t>
            </w: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306</w:t>
            </w: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color w:val="auto"/>
              </w:rPr>
              <w:t>Deferred revenue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513</w:t>
            </w:r>
          </w:p>
        </w:tc>
      </w:tr>
      <w:tr>
        <w:trPr>
          <w:trHeight w:val="149"/>
        </w:trPr>
        <w:tc>
          <w:tcPr>
            <w:tcW w:w="2900" w:type="dxa"/>
            <w:vAlign w:val="bottom"/>
          </w:tcPr>
          <w:p>
            <w:pPr>
              <w:spacing w:after="0"/>
              <w:rPr>
                <w:sz w:val="20"/>
                <w:szCs w:val="20"/>
                <w:color w:val="auto"/>
              </w:rPr>
            </w:pPr>
            <w:r>
              <w:rPr>
                <w:rFonts w:ascii="Arial" w:cs="Arial" w:eastAsia="Arial" w:hAnsi="Arial"/>
                <w:sz w:val="12"/>
                <w:szCs w:val="12"/>
                <w:color w:val="auto"/>
              </w:rPr>
              <w:t>Other payables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w:t>
            </w:r>
          </w:p>
        </w:tc>
        <w:tc>
          <w:tcPr>
            <w:tcW w:w="6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w:t>
            </w:r>
          </w:p>
        </w:tc>
        <w:tc>
          <w:tcPr>
            <w:tcW w:w="4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r>
      <w:tr>
        <w:trPr>
          <w:trHeight w:val="261"/>
        </w:trPr>
        <w:tc>
          <w:tcPr>
            <w:tcW w:w="2900" w:type="dxa"/>
            <w:vAlign w:val="bottom"/>
          </w:tcPr>
          <w:p>
            <w:pPr>
              <w:spacing w:after="0"/>
              <w:rPr>
                <w:sz w:val="20"/>
                <w:szCs w:val="20"/>
                <w:color w:val="auto"/>
              </w:rPr>
            </w:pPr>
            <w:r>
              <w:rPr>
                <w:rFonts w:ascii="Arial" w:cs="Arial" w:eastAsia="Arial" w:hAnsi="Arial"/>
                <w:sz w:val="12"/>
                <w:szCs w:val="12"/>
                <w:b w:val="1"/>
                <w:bCs w:val="1"/>
                <w:color w:val="auto"/>
              </w:rPr>
              <w:t>Total change in operating assets and liabilities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(1,930)</w:t>
            </w:r>
          </w:p>
        </w:tc>
        <w:tc>
          <w:tcPr>
            <w:tcW w:w="13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(770)</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987</w:t>
            </w:r>
          </w:p>
        </w:tc>
      </w:tr>
      <w:tr>
        <w:trPr>
          <w:trHeight w:val="20"/>
        </w:trPr>
        <w:tc>
          <w:tcPr>
            <w:tcW w:w="29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510"/>
        </w:trPr>
        <w:tc>
          <w:tcPr>
            <w:tcW w:w="2900" w:type="dxa"/>
            <w:vAlign w:val="bottom"/>
          </w:tcPr>
          <w:p>
            <w:pPr>
              <w:spacing w:after="0"/>
              <w:rPr>
                <w:sz w:val="20"/>
                <w:szCs w:val="20"/>
                <w:color w:val="auto"/>
              </w:rPr>
            </w:pPr>
            <w:r>
              <w:rPr>
                <w:rFonts w:ascii="Arial" w:cs="Arial" w:eastAsia="Arial" w:hAnsi="Arial"/>
                <w:sz w:val="10"/>
                <w:szCs w:val="10"/>
                <w:color w:val="auto"/>
              </w:rPr>
              <w:t>Genmab A/S</w:t>
            </w:r>
          </w:p>
        </w:tc>
        <w:tc>
          <w:tcPr>
            <w:tcW w:w="1100" w:type="dxa"/>
            <w:vAlign w:val="bottom"/>
            <w:gridSpan w:val="3"/>
          </w:tcPr>
          <w:p>
            <w:pPr>
              <w:ind w:left="240"/>
              <w:spacing w:after="0"/>
              <w:rPr>
                <w:sz w:val="20"/>
                <w:szCs w:val="20"/>
                <w:color w:val="auto"/>
              </w:rPr>
            </w:pPr>
            <w:r>
              <w:rPr>
                <w:rFonts w:ascii="Arial" w:cs="Arial" w:eastAsia="Arial" w:hAnsi="Arial"/>
                <w:sz w:val="10"/>
                <w:szCs w:val="10"/>
                <w:color w:val="auto"/>
                <w:w w:val="97"/>
              </w:rPr>
              <w:t>Tel: +45 7020 2728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9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Page 124/158</w:t>
            </w:r>
          </w:p>
        </w:tc>
      </w:tr>
      <w:tr>
        <w:trPr>
          <w:trHeight w:val="105"/>
        </w:trPr>
        <w:tc>
          <w:tcPr>
            <w:tcW w:w="29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100" w:type="dxa"/>
            <w:vAlign w:val="bottom"/>
            <w:gridSpan w:val="3"/>
          </w:tcPr>
          <w:p>
            <w:pPr>
              <w:ind w:left="240"/>
              <w:spacing w:after="0" w:line="105" w:lineRule="exact"/>
              <w:rPr>
                <w:sz w:val="20"/>
                <w:szCs w:val="20"/>
                <w:color w:val="auto"/>
              </w:rPr>
            </w:pPr>
            <w:r>
              <w:rPr>
                <w:rFonts w:ascii="Arial" w:cs="Arial" w:eastAsia="Arial" w:hAnsi="Arial"/>
                <w:sz w:val="10"/>
                <w:szCs w:val="10"/>
                <w:color w:val="0000FF"/>
              </w:rPr>
              <w:t>www.genmab.com</w:t>
            </w: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7" w:name="page128"/>
    <w:bookmarkEnd w:id="12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5.6 – Collaborations and Technology Licenses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Collaborations</w:t>
      </w:r>
    </w:p>
    <w:p>
      <w:pPr>
        <w:spacing w:after="0" w:line="10" w:lineRule="exact"/>
        <w:rPr>
          <w:sz w:val="20"/>
          <w:szCs w:val="20"/>
          <w:color w:val="auto"/>
        </w:rPr>
      </w:pPr>
    </w:p>
    <w:p>
      <w:pPr>
        <w:ind w:left="20" w:right="39"/>
        <w:spacing w:after="0" w:line="241" w:lineRule="auto"/>
        <w:rPr>
          <w:sz w:val="20"/>
          <w:szCs w:val="20"/>
          <w:color w:val="auto"/>
        </w:rPr>
      </w:pPr>
      <w:r>
        <w:rPr>
          <w:rFonts w:ascii="Arial" w:cs="Arial" w:eastAsia="Arial" w:hAnsi="Arial"/>
          <w:sz w:val="12"/>
          <w:szCs w:val="12"/>
          <w:color w:val="auto"/>
        </w:rPr>
        <w:t>Genmab enters into collaborations with biotechnology and pharmaceutical companies to advance the development and commercialization of Genmab’s product candidates and to supplement its internal pipeline. Genmab seeks collaborations that will allow Genmab to retain significant future participation in product sales through either profit-sharing or royalties paid on net sales. Below is an overview of certain of Genmab’s collaborations that have had, or are expected in the near term to have, a significant impact on financial results.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Janssen (Daratumumab/DARZALEX)</w:t>
      </w:r>
    </w:p>
    <w:p>
      <w:pPr>
        <w:spacing w:after="0" w:line="10" w:lineRule="exact"/>
        <w:rPr>
          <w:sz w:val="20"/>
          <w:szCs w:val="20"/>
          <w:color w:val="auto"/>
        </w:rPr>
      </w:pPr>
    </w:p>
    <w:p>
      <w:pPr>
        <w:ind w:left="20" w:right="59"/>
        <w:spacing w:after="0" w:line="238" w:lineRule="auto"/>
        <w:rPr>
          <w:sz w:val="20"/>
          <w:szCs w:val="20"/>
          <w:color w:val="auto"/>
        </w:rPr>
      </w:pPr>
      <w:r>
        <w:rPr>
          <w:rFonts w:ascii="Arial" w:cs="Arial" w:eastAsia="Arial" w:hAnsi="Arial"/>
          <w:sz w:val="12"/>
          <w:szCs w:val="12"/>
          <w:color w:val="auto"/>
        </w:rPr>
        <w:t xml:space="preserve">In 2012, Genmab entered into a global license, development and commercialization agreement with Janssen for daratumumab (marketed for the treatment of certain multiple myeloma indications as DARZALEX for IV administration and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and DARZALEX SC in Europe for SC administration). Under this agreement, Janssen is fully responsible for developing and commercializing daratumumab, and all costs associated therewith. Genmab receives tiered royalty payments between 12% and 20% based on Janssen’s annual net product sales.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commercial sale of daratumumab in such country or upon the expiration of the last-to-expire relevant Genmab-owned patent (as defined in the agreement) covering daratumumab in such country. Genmab is also eligible to receive certain additional payments in connection with development, regulatory and sales milestones.</w:t>
      </w:r>
    </w:p>
    <w:p>
      <w:pPr>
        <w:spacing w:after="0" w:line="125" w:lineRule="exact"/>
        <w:rPr>
          <w:sz w:val="20"/>
          <w:szCs w:val="20"/>
          <w:color w:val="auto"/>
        </w:rPr>
      </w:pPr>
    </w:p>
    <w:p>
      <w:pPr>
        <w:ind w:left="20" w:right="79"/>
        <w:spacing w:after="0" w:line="248" w:lineRule="auto"/>
        <w:rPr>
          <w:sz w:val="20"/>
          <w:szCs w:val="20"/>
          <w:color w:val="auto"/>
        </w:rPr>
      </w:pPr>
      <w:r>
        <w:rPr>
          <w:rFonts w:ascii="Arial" w:cs="Arial" w:eastAsia="Arial" w:hAnsi="Arial"/>
          <w:sz w:val="12"/>
          <w:szCs w:val="12"/>
          <w:color w:val="auto"/>
        </w:rPr>
        <w:t xml:space="preserve">In September 2020, Genmab commenced binding arbitration of two matters arising under its license agreement with Janssen relating to daratumumab. Under the license agreement, Genmab is, among other things, entitled to royalties from Janssen on net sales of daratumumab (marketed as DARZALEX for IV administration and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and as DARZALEX SC in Europe for SC administration). In April 2022, the arbitral tribunal issued an award in the binding arbitration of the two matters. Genmab did not seek a review of the award, and the award is now final.</w:t>
      </w:r>
    </w:p>
    <w:p>
      <w:pPr>
        <w:spacing w:after="0" w:line="109" w:lineRule="exact"/>
        <w:rPr>
          <w:sz w:val="20"/>
          <w:szCs w:val="20"/>
          <w:color w:val="auto"/>
        </w:rPr>
      </w:pPr>
    </w:p>
    <w:p>
      <w:pPr>
        <w:ind w:left="20" w:right="159"/>
        <w:spacing w:after="0" w:line="243" w:lineRule="auto"/>
        <w:rPr>
          <w:sz w:val="20"/>
          <w:szCs w:val="20"/>
          <w:color w:val="auto"/>
        </w:rPr>
      </w:pPr>
      <w:r>
        <w:rPr>
          <w:rFonts w:ascii="Arial" w:cs="Arial" w:eastAsia="Arial" w:hAnsi="Arial"/>
          <w:sz w:val="12"/>
          <w:szCs w:val="12"/>
          <w:color w:val="auto"/>
        </w:rPr>
        <w:t>The first matter concerned the question as to whether Janssen’s obligation to pay royalties on sales of licensed product extends, in each applicable country, until the expiration or invalidation of the last-to-expire relevant Genmab-owned patent or the last-to-expire relevant Janssen-owned patent covering the product, as further defined and described in the license agreement. As to that matter, the tribunal determined by majority opinion that Janssen’s obligation to pay royalties to Genmab on sales of licensed product, in each applicable country, extends through the expiration or invalidation of the last-to-expire relevant Genmab-owned patent covering the product or use thereof, but not the relevant Janssen-owned patent. The relevant Genmab-owned issued U.S., European and Japanese patents will expire in the late 2020s and early 2030s.</w:t>
      </w:r>
    </w:p>
    <w:p>
      <w:pPr>
        <w:spacing w:after="0" w:line="113" w:lineRule="exact"/>
        <w:rPr>
          <w:sz w:val="20"/>
          <w:szCs w:val="20"/>
          <w:color w:val="auto"/>
        </w:rPr>
      </w:pPr>
    </w:p>
    <w:p>
      <w:pPr>
        <w:ind w:left="20" w:right="119"/>
        <w:spacing w:after="0" w:line="248" w:lineRule="auto"/>
        <w:rPr>
          <w:sz w:val="20"/>
          <w:szCs w:val="20"/>
          <w:color w:val="auto"/>
        </w:rPr>
      </w:pPr>
      <w:r>
        <w:rPr>
          <w:rFonts w:ascii="Arial" w:cs="Arial" w:eastAsia="Arial" w:hAnsi="Arial"/>
          <w:sz w:val="12"/>
          <w:szCs w:val="12"/>
          <w:color w:val="auto"/>
        </w:rPr>
        <w:t xml:space="preserve">The second matter concerned the question as to whether Genmab is required to share in Janssen’s royalty payments to Halozyme for the Halozyme enzyme technology used in the SC formulation of daratumumab (marketed as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in the U.S.). The royalties Janssen pays to Halozyme represent a mid-single digit percentage rate of SC daratumumab sales. As to that matter, the tribunal ruled by majority opinion that Janssen is permitted to continue reducing its royalty payments to Genmab as an offset against a share of Janssen’s royalty payments made to Halozyme.</w:t>
      </w:r>
    </w:p>
    <w:p>
      <w:pPr>
        <w:spacing w:after="0" w:line="109" w:lineRule="exact"/>
        <w:rPr>
          <w:sz w:val="20"/>
          <w:szCs w:val="20"/>
          <w:color w:val="auto"/>
        </w:rPr>
      </w:pPr>
    </w:p>
    <w:p>
      <w:pPr>
        <w:ind w:left="20" w:right="259"/>
        <w:spacing w:after="0" w:line="273" w:lineRule="auto"/>
        <w:rPr>
          <w:sz w:val="20"/>
          <w:szCs w:val="20"/>
          <w:color w:val="auto"/>
        </w:rPr>
      </w:pPr>
      <w:r>
        <w:rPr>
          <w:rFonts w:ascii="Arial" w:cs="Arial" w:eastAsia="Arial" w:hAnsi="Arial"/>
          <w:sz w:val="12"/>
          <w:szCs w:val="12"/>
          <w:color w:val="auto"/>
        </w:rPr>
        <w:t>On June 9, 2022, Genmab announced the commencement of a second arbitration under the daratumumab license agreement with Janssen. This second arbitration follows from the award in the prior arbitration, where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8" w:name="page129"/>
    <w:bookmarkEnd w:id="12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 xml:space="preserve">the tribunal ruled in favor of Janssen on the question as to whether Genmab is required to share in Janssen’s royalty payments to Halozyme for its technology used in the daratumumab SC product. The tribunal based its ruling on the finding that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constitutes a new licensed product under the license agreement.</w:t>
      </w:r>
    </w:p>
    <w:p>
      <w:pPr>
        <w:spacing w:after="0" w:line="94"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 xml:space="preserve">In this second arbitration, Genmab is consequently seeking an award of USD 405 million plus interest in accrued milestone payments for DARZALEX </w:t>
      </w:r>
      <w:r>
        <w:rPr>
          <w:rFonts w:ascii="Arial" w:cs="Arial" w:eastAsia="Arial" w:hAnsi="Arial"/>
          <w:sz w:val="12"/>
          <w:szCs w:val="12"/>
          <w:i w:val="1"/>
          <w:iCs w:val="1"/>
          <w:color w:val="auto"/>
        </w:rPr>
        <w:t>FASPRO</w:t>
      </w:r>
      <w:r>
        <w:rPr>
          <w:rFonts w:ascii="Arial" w:cs="Arial" w:eastAsia="Arial" w:hAnsi="Arial"/>
          <w:sz w:val="12"/>
          <w:szCs w:val="12"/>
          <w:color w:val="auto"/>
        </w:rPr>
        <w:t xml:space="preserve"> and a declaration that it is entitled to a new 13-year royalty term from the date of DARZALEX </w:t>
      </w:r>
      <w:r>
        <w:rPr>
          <w:rFonts w:ascii="Arial" w:cs="Arial" w:eastAsia="Arial" w:hAnsi="Arial"/>
          <w:sz w:val="12"/>
          <w:szCs w:val="12"/>
          <w:i w:val="1"/>
          <w:iCs w:val="1"/>
          <w:color w:val="auto"/>
        </w:rPr>
        <w:t>FASPRO</w:t>
      </w:r>
      <w:r>
        <w:rPr>
          <w:rFonts w:ascii="Arial" w:cs="Arial" w:eastAsia="Arial" w:hAnsi="Arial"/>
          <w:sz w:val="12"/>
          <w:szCs w:val="12"/>
          <w:color w:val="auto"/>
        </w:rPr>
        <w:t>’s first commercial sale. See Company Announcement no. 21/2022.</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Novartis (Ofatumumab/Kesimpta)</w:t>
      </w:r>
    </w:p>
    <w:p>
      <w:pPr>
        <w:spacing w:after="0" w:line="10" w:lineRule="exact"/>
        <w:rPr>
          <w:sz w:val="20"/>
          <w:szCs w:val="20"/>
          <w:color w:val="auto"/>
        </w:rPr>
      </w:pPr>
    </w:p>
    <w:p>
      <w:pPr>
        <w:ind w:left="20" w:right="119"/>
        <w:spacing w:after="0"/>
        <w:rPr>
          <w:sz w:val="20"/>
          <w:szCs w:val="20"/>
          <w:color w:val="auto"/>
        </w:rPr>
      </w:pPr>
      <w:r>
        <w:rPr>
          <w:rFonts w:ascii="Arial" w:cs="Arial" w:eastAsia="Arial" w:hAnsi="Arial"/>
          <w:sz w:val="12"/>
          <w:szCs w:val="12"/>
          <w:color w:val="auto"/>
        </w:rPr>
        <w:t>Genmab and GlaxoSmithKline (GSK) entered a co-development and collaboration agreement for ofatumumab in 2006. The full rights to ofatumumab were transferred from GSK to Novartis in 2015. Novartis is now fully responsible for the development and commercialization of ofatumumab in all potential indications, including autoimmune diseases. Genmab is entitled to a 10% royalty payment of net sales for non-cancer treatments. Novartis’s obligation to pay royalties under this agreement expire on a country-by-country basis only in the event Novartis is no longer selling such product is a given country. In 2020 SC ofatumumab was approved by the U.S. FDA, as Kesimpta, for the treatment of RMS in adults.</w:t>
      </w:r>
    </w:p>
    <w:p>
      <w:pPr>
        <w:spacing w:after="0" w:line="109" w:lineRule="exact"/>
        <w:rPr>
          <w:sz w:val="20"/>
          <w:szCs w:val="20"/>
          <w:color w:val="auto"/>
        </w:rPr>
      </w:pPr>
    </w:p>
    <w:p>
      <w:pPr>
        <w:ind w:left="20" w:right="119"/>
        <w:spacing w:after="0" w:line="216" w:lineRule="auto"/>
        <w:rPr>
          <w:sz w:val="20"/>
          <w:szCs w:val="20"/>
          <w:color w:val="auto"/>
        </w:rPr>
      </w:pPr>
      <w:r>
        <w:rPr>
          <w:rFonts w:ascii="Arial" w:cs="Arial" w:eastAsia="Arial" w:hAnsi="Arial"/>
          <w:sz w:val="12"/>
          <w:szCs w:val="12"/>
          <w:color w:val="auto"/>
        </w:rPr>
        <w:t>Ofatumumab was also previously approved as Arzerra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for certain CLL indications. In 2019, the marketing authorization for Arzerra was withdrawn in the EU and several other territories. In August 2020, Genmab announced that Novartis planned to transition Arzerra to an oncology access program for CLL patients in the U.S. In 2020, Genmab recognized USD 30 million lump sum from Novartis as payment for lost potential royalties. Ofatumumab is no longer in development for CLL.</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Roche (Teprotumumab/TEPEZZA)</w:t>
      </w:r>
    </w:p>
    <w:p>
      <w:pPr>
        <w:spacing w:after="0" w:line="10" w:lineRule="exact"/>
        <w:rPr>
          <w:sz w:val="20"/>
          <w:szCs w:val="20"/>
          <w:color w:val="auto"/>
        </w:rPr>
      </w:pPr>
    </w:p>
    <w:p>
      <w:pPr>
        <w:ind w:left="20" w:right="159"/>
        <w:spacing w:after="0" w:line="244" w:lineRule="auto"/>
        <w:rPr>
          <w:sz w:val="20"/>
          <w:szCs w:val="20"/>
          <w:color w:val="auto"/>
        </w:rPr>
      </w:pPr>
      <w:r>
        <w:rPr>
          <w:rFonts w:ascii="Arial" w:cs="Arial" w:eastAsia="Arial" w:hAnsi="Arial"/>
          <w:sz w:val="12"/>
          <w:szCs w:val="12"/>
          <w:color w:val="auto"/>
        </w:rPr>
        <w:t>In May 2001, Genmab entered a collaboration with Roche to develop human antibodies to disease targets identified by Roche. In 2002, this alliance was expanded, and Roche made an equity investment in Genmab. Under the agreement, Genmab will receive milestones as well as royalty payments on successful products and, in certain circumstances, Genmab could obtain rights to develop products based on disease targets identified by Roche.</w:t>
      </w:r>
    </w:p>
    <w:p>
      <w:pPr>
        <w:spacing w:after="0" w:line="120" w:lineRule="exact"/>
        <w:rPr>
          <w:sz w:val="20"/>
          <w:szCs w:val="20"/>
          <w:color w:val="auto"/>
        </w:rPr>
      </w:pPr>
    </w:p>
    <w:p>
      <w:pPr>
        <w:jc w:val="both"/>
        <w:ind w:left="20" w:right="39"/>
        <w:spacing w:after="0" w:line="255" w:lineRule="auto"/>
        <w:rPr>
          <w:sz w:val="20"/>
          <w:szCs w:val="20"/>
          <w:color w:val="auto"/>
        </w:rPr>
      </w:pPr>
      <w:r>
        <w:rPr>
          <w:rFonts w:ascii="Arial" w:cs="Arial" w:eastAsia="Arial" w:hAnsi="Arial"/>
          <w:sz w:val="12"/>
          <w:szCs w:val="12"/>
          <w:color w:val="auto"/>
        </w:rPr>
        <w:t>Teprotumumab was created by Genmab under the collaboration with Roche and development and commercialization of the product, approved in 2020 by the U.S. FDA, as TEPEZZA, for the treatment of TED, is now being conducted by Horizon under a license from Roche. Under the terms of Genmab’s agreement with Roche, Genmab will receive mid-single digit royalties on sales of TEPEZZA.</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Seagen (Tisotumab vedotin/Tivdak)</w:t>
      </w:r>
    </w:p>
    <w:p>
      <w:pPr>
        <w:spacing w:after="0" w:line="10" w:lineRule="exact"/>
        <w:rPr>
          <w:sz w:val="20"/>
          <w:szCs w:val="20"/>
          <w:color w:val="auto"/>
        </w:rPr>
      </w:pPr>
    </w:p>
    <w:p>
      <w:pPr>
        <w:ind w:left="20" w:right="39"/>
        <w:spacing w:after="0" w:line="238" w:lineRule="auto"/>
        <w:rPr>
          <w:sz w:val="20"/>
          <w:szCs w:val="20"/>
          <w:color w:val="auto"/>
        </w:rPr>
      </w:pPr>
      <w:r>
        <w:rPr>
          <w:rFonts w:ascii="Arial" w:cs="Arial" w:eastAsia="Arial" w:hAnsi="Arial"/>
          <w:sz w:val="12"/>
          <w:szCs w:val="12"/>
          <w:color w:val="auto"/>
        </w:rPr>
        <w:t>In September 2010, Genmab and Seagen entered into an ADC collaboration, and a commercial license and collaboration agreement was executed in October 2011. Under the agreement, Genmab was granted rights to utilize Seagen’s ADC technology with its human monoclonal TF antibody. Seagen was granted rights to exercise a co-development and co-commercialization option at the end of Phase 1 clinical development for tisotumab vedotin. In August 2017, Seagen exercised this option. In October 2020, Genmab and Seagen entered into a joint commercialization agreement. Genmab is co-promoting tisotumab vedotin in the U.S. and will lead commercial operational activities and book sales in Japan, while Seagen will lead operational commercial activities in the U.S., Europe and China with a 50:50 cost and profit split in those markets. In any other markets, Seagen will be responsible for commercializing tisotumab vedotin and Genmab will receive royalties based on a percentage of aggregate net sales ranging from the mid-teens to the mid-twenties. The companies will continue the practice of joint decision-making on the worldwide development and commercialization strategy for tisotumab vedotin.</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9" w:name="page130"/>
    <w:bookmarkEnd w:id="12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In September 2021, tisotumab vedotin was approved by the U.S. FDA and is marketed under the trade name Tivdak. Seagen records product sales of Tivdak in the U.S. and Genmab shares 50% of the profits for this product.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AbbVie (Epcoritamab)</w:t>
      </w:r>
    </w:p>
    <w:p>
      <w:pPr>
        <w:spacing w:after="0" w:line="10" w:lineRule="exact"/>
        <w:rPr>
          <w:sz w:val="20"/>
          <w:szCs w:val="20"/>
          <w:color w:val="auto"/>
        </w:rPr>
      </w:pPr>
    </w:p>
    <w:p>
      <w:pPr>
        <w:ind w:left="20" w:right="39"/>
        <w:spacing w:after="0" w:line="239" w:lineRule="auto"/>
        <w:rPr>
          <w:sz w:val="20"/>
          <w:szCs w:val="20"/>
          <w:color w:val="auto"/>
        </w:rPr>
      </w:pPr>
      <w:r>
        <w:rPr>
          <w:rFonts w:ascii="Arial" w:cs="Arial" w:eastAsia="Arial" w:hAnsi="Arial"/>
          <w:sz w:val="12"/>
          <w:szCs w:val="12"/>
          <w:color w:val="auto"/>
        </w:rPr>
        <w:t>On June 10, 2020, Genmab entered into a broad oncology collaboration agreement with AbbVie to jointly develop and commercialize epcoritamab, DuoHexaBody-CD37 and DuoBody-CD3x5T4, and a discovery research collaboration for future differentiated antibody therapeutics for cancer. For epcoritamab, the companies will share commercial responsibilities in the U.S. and Japan, with AbbVie responsible for further global commercialization. Genmab will book sales in the U.S. and Japan and receive tiered royalties on remaining global sales outside of these territories. For any product candidates developed as a result of the companies’ discovery research collaboration, Genmab and AbbVie will share responsibilities for global development and commercialization in the U.S. and Japan. Genmab retains the right to co-commercialize these products, along with AbbVie, outside of the U.S. and Japan.</w:t>
      </w:r>
    </w:p>
    <w:p>
      <w:pPr>
        <w:spacing w:after="0" w:line="124" w:lineRule="exact"/>
        <w:rPr>
          <w:sz w:val="20"/>
          <w:szCs w:val="20"/>
          <w:color w:val="auto"/>
        </w:rPr>
      </w:pPr>
    </w:p>
    <w:p>
      <w:pPr>
        <w:ind w:left="20" w:right="159"/>
        <w:spacing w:after="0" w:line="248" w:lineRule="auto"/>
        <w:rPr>
          <w:sz w:val="20"/>
          <w:szCs w:val="20"/>
          <w:color w:val="auto"/>
        </w:rPr>
      </w:pPr>
      <w:r>
        <w:rPr>
          <w:rFonts w:ascii="Arial" w:cs="Arial" w:eastAsia="Arial" w:hAnsi="Arial"/>
          <w:sz w:val="12"/>
          <w:szCs w:val="12"/>
          <w:color w:val="auto"/>
        </w:rPr>
        <w:t>Under the terms of the agreement, Genmab received a USD 750 million (DKK 4,911 million) upfront payment in June 2020 and was initially entitled to receive an aggregate of up to USD 3.15 billion in additional development, regulatory and sales milestone payments for all programs. Included in these potential milestones were up to USD 1.15 billion in payments related to clinical development and commercial success across the three bispecific antibody programs originally included in the agreement, one of which, DuoBody-CD3x5T4, was subsequently stopped and another, DuoHexaBody-CD37, now being solely developed by Genmab.</w:t>
      </w:r>
    </w:p>
    <w:p>
      <w:pPr>
        <w:spacing w:after="0" w:line="109" w:lineRule="exact"/>
        <w:rPr>
          <w:sz w:val="20"/>
          <w:szCs w:val="20"/>
          <w:color w:val="auto"/>
        </w:rPr>
      </w:pPr>
    </w:p>
    <w:p>
      <w:pPr>
        <w:ind w:left="20" w:right="99"/>
        <w:spacing w:after="0" w:line="241" w:lineRule="auto"/>
        <w:rPr>
          <w:sz w:val="20"/>
          <w:szCs w:val="20"/>
          <w:color w:val="auto"/>
        </w:rPr>
      </w:pPr>
      <w:r>
        <w:rPr>
          <w:rFonts w:ascii="Arial" w:cs="Arial" w:eastAsia="Arial" w:hAnsi="Arial"/>
          <w:sz w:val="12"/>
          <w:szCs w:val="12"/>
          <w:color w:val="auto"/>
        </w:rPr>
        <w:t>As a result of one program being stopped and another now being solely developed by Genmab, Genmab is instead contractually entitled to receive an aggregate of up to USD 2.55 billion in additional development, regulatory and sales milestone payments for all programs and up to USD 550 million in payments related to clinical development and commercial success for the one remaining bispecific antibody program, epcoritamab, included in the original agreement. In addition, and also included in these potential milestones, if all four next-generation antibody product candidates developed as a result of the discovery research collaboration are successful, Genmab is eligible to receive up to USD 2.0 billion in option exercise and success-based milestones. Genmab is further entitled to tiered royalties between 22% and 26% on net sales for epcoritamab outside the United States and Japan. Except for these royalty-bearing sales, Genmab will share with AbbVie pre-tax profits from the sale of licensed products on a 50:50 basis. Genmab and AbbVie split 50:50 the development costs related to epcoritamab, while Genmab will be responsible for 100% of the costs for DuoHexaBody-CD37 (after December 24, 2022) and the discovery research programs up to opt-in.</w:t>
      </w:r>
    </w:p>
    <w:p>
      <w:pPr>
        <w:spacing w:after="0" w:line="115" w:lineRule="exact"/>
        <w:rPr>
          <w:sz w:val="20"/>
          <w:szCs w:val="20"/>
          <w:color w:val="auto"/>
        </w:rPr>
      </w:pPr>
    </w:p>
    <w:p>
      <w:pPr>
        <w:ind w:left="20" w:right="139"/>
        <w:spacing w:after="0" w:line="273" w:lineRule="auto"/>
        <w:rPr>
          <w:sz w:val="20"/>
          <w:szCs w:val="20"/>
          <w:color w:val="auto"/>
        </w:rPr>
      </w:pPr>
      <w:r>
        <w:rPr>
          <w:rFonts w:ascii="Arial" w:cs="Arial" w:eastAsia="Arial" w:hAnsi="Arial"/>
          <w:sz w:val="12"/>
          <w:szCs w:val="12"/>
          <w:color w:val="auto"/>
        </w:rPr>
        <w:t>The total transaction price of USD 750 million (DKK 4,911 million) was allocated to the four performance obligations based on the best estimate of relative stand-alone selling prices. The allocation of the transaction price to the performance obligations is summarized below:</w:t>
      </w:r>
    </w:p>
    <w:p>
      <w:pPr>
        <w:spacing w:after="0" w:line="94" w:lineRule="exact"/>
        <w:rPr>
          <w:sz w:val="20"/>
          <w:szCs w:val="20"/>
          <w:color w:val="auto"/>
        </w:rPr>
      </w:pPr>
    </w:p>
    <w:p>
      <w:pPr>
        <w:ind w:left="100" w:hanging="78"/>
        <w:spacing w:after="0"/>
        <w:tabs>
          <w:tab w:leader="none" w:pos="1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Delivery of licenses for the three programs: USD 672 million (DKK 4,398 million)</w:t>
      </w:r>
    </w:p>
    <w:p>
      <w:pPr>
        <w:spacing w:after="0" w:line="9" w:lineRule="exact"/>
        <w:rPr>
          <w:rFonts w:ascii="Arial" w:cs="Arial" w:eastAsia="Arial" w:hAnsi="Arial"/>
          <w:sz w:val="12"/>
          <w:szCs w:val="12"/>
          <w:color w:val="auto"/>
        </w:rPr>
      </w:pPr>
    </w:p>
    <w:p>
      <w:pPr>
        <w:ind w:left="100" w:hanging="78"/>
        <w:spacing w:after="0"/>
        <w:tabs>
          <w:tab w:leader="none" w:pos="1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Co-development activities for the product concepts: USD 78 million (DKK 513 million)</w:t>
      </w:r>
    </w:p>
    <w:p>
      <w:pPr>
        <w:spacing w:after="0" w:line="122"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For the license grants, Genmab based the stand-alone selling price on a discounted cash flow approach and considered several factors including, but not limited to, discount rate, development timeline, regulatory risks, estimated market demand and future revenue potential. For co-development activities related to up to four product concepts, a cost-plus margin approach was utilized.</w:t>
      </w:r>
    </w:p>
    <w:p>
      <w:pPr>
        <w:spacing w:after="0" w:line="104" w:lineRule="exact"/>
        <w:rPr>
          <w:sz w:val="20"/>
          <w:szCs w:val="20"/>
          <w:color w:val="auto"/>
        </w:rPr>
      </w:pPr>
    </w:p>
    <w:p>
      <w:pPr>
        <w:ind w:left="20" w:right="379"/>
        <w:spacing w:after="0" w:line="273" w:lineRule="auto"/>
        <w:rPr>
          <w:sz w:val="20"/>
          <w:szCs w:val="20"/>
          <w:color w:val="auto"/>
        </w:rPr>
      </w:pPr>
      <w:r>
        <w:rPr>
          <w:rFonts w:ascii="Arial" w:cs="Arial" w:eastAsia="Arial" w:hAnsi="Arial"/>
          <w:sz w:val="12"/>
          <w:szCs w:val="12"/>
          <w:color w:val="auto"/>
        </w:rPr>
        <w:t>The performance obligations related to the delivery of licenses were completed at a point in time (June 2020) and Genmab recognized USD 672 million (DKK 4,398 million) as license fee revenue in June 2020. After delivery of the licenses, Genmab shares further development and commercial costs equally with AbbVie.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0" w:name="page131"/>
    <w:bookmarkEnd w:id="13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AbbVie is not assessed as a customer but as a collaboration partner, and as such this part of the collaboration is not in scope of IFRS 15.</w:t>
      </w:r>
    </w:p>
    <w:p>
      <w:pPr>
        <w:spacing w:after="0" w:line="134" w:lineRule="exact"/>
        <w:rPr>
          <w:sz w:val="20"/>
          <w:szCs w:val="20"/>
          <w:color w:val="auto"/>
        </w:rPr>
      </w:pPr>
    </w:p>
    <w:p>
      <w:pPr>
        <w:ind w:left="20" w:right="39"/>
        <w:spacing w:after="0" w:line="248" w:lineRule="auto"/>
        <w:rPr>
          <w:sz w:val="20"/>
          <w:szCs w:val="20"/>
          <w:color w:val="auto"/>
        </w:rPr>
      </w:pPr>
      <w:r>
        <w:rPr>
          <w:rFonts w:ascii="Arial" w:cs="Arial" w:eastAsia="Arial" w:hAnsi="Arial"/>
          <w:sz w:val="12"/>
          <w:szCs w:val="12"/>
          <w:color w:val="auto"/>
        </w:rPr>
        <w:t>In September 2021, Genmab, along with AbbVie, decided that the data did not support the further development of DuoBody-CD3x5T4. In June 2022, AbbVie decided to discontinue co-development of DuoHexaBody-CD37. Upon expiry of the 180-day notice period on December 24, 2022, Genmab became solely responsible for the further development of DuoHexaBody-CD37 against low-single digit royalty payments to AbbVie, up to an agreed maximum total royalty amount, based on future potential sales of the product.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3.6 for information pertaining to the remaining performance obligation related to co-development activities for the product concepts.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BioNTech</w:t>
      </w:r>
    </w:p>
    <w:p>
      <w:pPr>
        <w:spacing w:after="0" w:line="10" w:lineRule="exact"/>
        <w:rPr>
          <w:sz w:val="20"/>
          <w:szCs w:val="20"/>
          <w:color w:val="auto"/>
        </w:rPr>
      </w:pPr>
    </w:p>
    <w:p>
      <w:pPr>
        <w:ind w:left="20" w:right="59"/>
        <w:spacing w:after="0" w:line="238" w:lineRule="auto"/>
        <w:rPr>
          <w:sz w:val="20"/>
          <w:szCs w:val="20"/>
          <w:color w:val="auto"/>
        </w:rPr>
      </w:pPr>
      <w:r>
        <w:rPr>
          <w:rFonts w:ascii="Arial" w:cs="Arial" w:eastAsia="Arial" w:hAnsi="Arial"/>
          <w:sz w:val="12"/>
          <w:szCs w:val="12"/>
          <w:color w:val="auto"/>
        </w:rPr>
        <w:t>In May 2015, Genmab entered into an agreement with BioNTech to jointly research, develop and commercialize bispecific antibody products using Genmab’s DuoBody technology platform. Under the terms of the agreement, BioNTech will provide proprietary antibodies against key immunomodulatory targets, while Genmab provides proprietary antibodies and access to its DuoBody technology platform. Genmab paid an upfront fee of USD 10 million to BioNTech and an additional fee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During July 2022, Genmab and BioNTech expanded this collaboration to include the joint research, development and commercialization of monospecific antibody candidates using Genmab’s HexaBody technology platform.</w:t>
      </w:r>
    </w:p>
    <w:p>
      <w:pPr>
        <w:spacing w:after="0" w:line="126" w:lineRule="exact"/>
        <w:rPr>
          <w:sz w:val="20"/>
          <w:szCs w:val="20"/>
          <w:color w:val="auto"/>
        </w:rPr>
      </w:pPr>
    </w:p>
    <w:p>
      <w:pPr>
        <w:ind w:left="20" w:right="319"/>
        <w:spacing w:after="0" w:line="273" w:lineRule="auto"/>
        <w:rPr>
          <w:sz w:val="20"/>
          <w:szCs w:val="20"/>
          <w:color w:val="auto"/>
        </w:rPr>
      </w:pPr>
      <w:r>
        <w:rPr>
          <w:rFonts w:ascii="Arial" w:cs="Arial" w:eastAsia="Arial" w:hAnsi="Arial"/>
          <w:sz w:val="12"/>
          <w:szCs w:val="12"/>
          <w:color w:val="auto"/>
        </w:rPr>
        <w:t>Genmab and BioNTech have four investigational medicines currently in clinical development: DuoBody-CD40x4-1BB (GEN1042/BNT312), DuoBody-PD-L1x4-1BB (GEN1046/BNT311), HexaBody-CD27 (GEN1053/BNT313) and GEN1056 (BNT322).</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Janssen (DuoBody)</w:t>
      </w:r>
    </w:p>
    <w:p>
      <w:pPr>
        <w:spacing w:after="0" w:line="10" w:lineRule="exact"/>
        <w:rPr>
          <w:sz w:val="20"/>
          <w:szCs w:val="20"/>
          <w:color w:val="auto"/>
        </w:rPr>
      </w:pPr>
    </w:p>
    <w:p>
      <w:pPr>
        <w:ind w:left="20" w:right="99"/>
        <w:spacing w:after="0" w:line="241" w:lineRule="auto"/>
        <w:rPr>
          <w:sz w:val="20"/>
          <w:szCs w:val="20"/>
          <w:color w:val="auto"/>
        </w:rPr>
      </w:pPr>
      <w:r>
        <w:rPr>
          <w:rFonts w:ascii="Arial" w:cs="Arial" w:eastAsia="Arial" w:hAnsi="Arial"/>
          <w:sz w:val="12"/>
          <w:szCs w:val="12"/>
          <w:color w:val="auto"/>
        </w:rPr>
        <w:t>In July 2012, Genmab entered into a collaboration with Janssen to create and develop bispecific antibodies using our DuoBody technology platform. Under this original agreement, Janssen had the right to use the DuoBody technology platform to create panels of bispecific antibodies (up to 10 DuoBody programs) to multiple disease target combinations. Genmab received an upfront payment of USD 3.5 million from Janssen and will potentially be entitled to milestone and license payments of up to approximately USD 175 million, as well as royalties for each commercialized DuoBody product.</w:t>
      </w:r>
    </w:p>
    <w:p>
      <w:pPr>
        <w:spacing w:after="0" w:line="123" w:lineRule="exact"/>
        <w:rPr>
          <w:sz w:val="20"/>
          <w:szCs w:val="20"/>
          <w:color w:val="auto"/>
        </w:rPr>
      </w:pPr>
    </w:p>
    <w:p>
      <w:pPr>
        <w:ind w:left="20" w:right="99"/>
        <w:spacing w:after="0" w:line="248" w:lineRule="auto"/>
        <w:rPr>
          <w:sz w:val="20"/>
          <w:szCs w:val="20"/>
          <w:color w:val="auto"/>
        </w:rPr>
      </w:pPr>
      <w:r>
        <w:rPr>
          <w:rFonts w:ascii="Arial" w:cs="Arial" w:eastAsia="Arial" w:hAnsi="Arial"/>
          <w:sz w:val="12"/>
          <w:szCs w:val="12"/>
          <w:color w:val="auto"/>
        </w:rPr>
        <w:t>Under the terms of a December 2013 amendment, Janssen was entitled to work on up to 10 additional programs. Genmab received an initial payment of USD 2 million from Janssen. For each of the additional programs that Janssen successfully initiates, develops and commercializes, Genmab will potentially be entitled to receive average milestone and license payments of approximately USD 191 million. Genmab will be entitled to royalties on sales of any commercialized products. All research work is funded by Janssen.</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Janssen has exercised 14 licenses under this collaboration, not all of which are active, and no further options remain for use by Janssen.</w:t>
      </w:r>
    </w:p>
    <w:p>
      <w:pPr>
        <w:spacing w:after="0" w:line="143" w:lineRule="exact"/>
        <w:rPr>
          <w:sz w:val="20"/>
          <w:szCs w:val="20"/>
          <w:color w:val="auto"/>
        </w:rPr>
      </w:pPr>
    </w:p>
    <w:p>
      <w:pPr>
        <w:ind w:left="20" w:right="119"/>
        <w:spacing w:after="0" w:line="273" w:lineRule="auto"/>
        <w:rPr>
          <w:sz w:val="20"/>
          <w:szCs w:val="20"/>
          <w:color w:val="auto"/>
        </w:rPr>
      </w:pPr>
      <w:r>
        <w:rPr>
          <w:rFonts w:ascii="Arial" w:cs="Arial" w:eastAsia="Arial" w:hAnsi="Arial"/>
          <w:sz w:val="12"/>
          <w:szCs w:val="12"/>
          <w:color w:val="auto"/>
        </w:rPr>
        <w:t>As of December 31, 2022, three DuoBody-based products created under this collaboration were in active clinical development. Of these, RYBREVANT and TECVAYLI were the first and second medicines, respectively, created using the DuoBody technology platform to receive regulatory approval. In December</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1" w:name="page132"/>
    <w:bookmarkEnd w:id="13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59"/>
        <w:spacing w:after="0" w:line="245" w:lineRule="auto"/>
        <w:rPr>
          <w:sz w:val="20"/>
          <w:szCs w:val="20"/>
          <w:color w:val="auto"/>
        </w:rPr>
      </w:pPr>
      <w:r>
        <w:rPr>
          <w:rFonts w:ascii="Arial" w:cs="Arial" w:eastAsia="Arial" w:hAnsi="Arial"/>
          <w:sz w:val="12"/>
          <w:szCs w:val="12"/>
          <w:color w:val="auto"/>
        </w:rPr>
        <w:t>2022, Janssen submitted a BLA to the U.S. FDA for the third product in active clinical development, talquetamab, for the treatment of patients with relapsed or refractory multiple myeloma. Genmab receives milestones and royalties between 8% and 10% for RYBREVANT and milestones and a mid-single digit royalty for TECVAYLI based on Janssen’s annual net product sales. Pursuant to the terms of the DuoBody agreement, Janssen’s obligation to pay these royalties will expire on a country-by-country and licensed product-by-licensed product basis on the later of the date that is 10 years after the first sale of each licensed product in such country or upon the expiration of the last-to-expire relevant product patent (as defined in the agreement) covering the licensed product in such country.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5.7 – Subsequent Events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 events have occurred subsequent to the balance sheet date that could significantly affect the financial statements as of December 31, 2022.</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129/158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2" w:name="page133"/>
    <w:bookmarkEnd w:id="13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Table of Contents</w:t>
      </w:r>
    </w:p>
    <w:tbl>
      <w:tblPr>
        <w:tblLayout w:type="fixed"/>
        <w:tblInd w:w="20" w:type="dxa"/>
        <w:tblCellMar>
          <w:top w:w="0" w:type="dxa"/>
          <w:left w:w="0" w:type="dxa"/>
          <w:bottom w:w="0" w:type="dxa"/>
          <w:right w:w="0" w:type="dxa"/>
        </w:tblCellMar>
      </w:tblPr>
      <w:tr>
        <w:trPr>
          <w:trHeight w:val="127"/>
        </w:trPr>
        <w:tc>
          <w:tcPr>
            <w:tcW w:w="8760" w:type="dxa"/>
            <w:vAlign w:val="bottom"/>
            <w:gridSpan w:val="27"/>
          </w:tcPr>
          <w:p>
            <w:pPr>
              <w:spacing w:after="0" w:line="127" w:lineRule="exact"/>
              <w:rPr>
                <w:sz w:val="20"/>
                <w:szCs w:val="20"/>
                <w:color w:val="auto"/>
              </w:rPr>
            </w:pPr>
            <w:r>
              <w:rPr>
                <w:rFonts w:ascii="Arial" w:cs="Arial" w:eastAsia="Arial" w:hAnsi="Arial"/>
                <w:sz w:val="12"/>
                <w:szCs w:val="12"/>
                <w:b w:val="1"/>
                <w:bCs w:val="1"/>
                <w:color w:val="0000EE"/>
              </w:rPr>
              <w:t>FINANCIAL STATEMENTS OF THE PARENT COMPANY</w:t>
            </w:r>
          </w:p>
        </w:tc>
        <w:tc>
          <w:tcPr>
            <w:tcW w:w="200" w:type="dxa"/>
            <w:vAlign w:val="bottom"/>
          </w:tcPr>
          <w:p>
            <w:pPr>
              <w:jc w:val="right"/>
              <w:spacing w:after="0" w:line="127" w:lineRule="exact"/>
              <w:rPr>
                <w:sz w:val="20"/>
                <w:szCs w:val="20"/>
                <w:color w:val="auto"/>
              </w:rPr>
            </w:pPr>
            <w:r>
              <w:rPr>
                <w:rFonts w:ascii="Arial" w:cs="Arial" w:eastAsia="Arial" w:hAnsi="Arial"/>
                <w:sz w:val="12"/>
                <w:szCs w:val="12"/>
                <w:color w:val="0000EE"/>
                <w:w w:val="89"/>
              </w:rPr>
              <w:t>131</w:t>
            </w:r>
          </w:p>
        </w:tc>
        <w:tc>
          <w:tcPr>
            <w:tcW w:w="0" w:type="dxa"/>
            <w:vAlign w:val="bottom"/>
          </w:tcPr>
          <w:p>
            <w:pPr>
              <w:spacing w:after="0"/>
              <w:rPr>
                <w:sz w:val="1"/>
                <w:szCs w:val="1"/>
                <w:color w:val="auto"/>
              </w:rPr>
            </w:pPr>
          </w:p>
        </w:tc>
      </w:tr>
      <w:tr>
        <w:trPr>
          <w:trHeight w:val="116"/>
        </w:trPr>
        <w:tc>
          <w:tcPr>
            <w:tcW w:w="180" w:type="dxa"/>
            <w:vAlign w:val="bottom"/>
            <w:tcBorders>
              <w:top w:val="single" w:sz="8" w:color="0000EE"/>
            </w:tcBorders>
          </w:tcPr>
          <w:p>
            <w:pPr>
              <w:spacing w:after="0"/>
              <w:rPr>
                <w:sz w:val="10"/>
                <w:szCs w:val="10"/>
                <w:color w:val="auto"/>
              </w:rPr>
            </w:pPr>
          </w:p>
        </w:tc>
        <w:tc>
          <w:tcPr>
            <w:tcW w:w="2960" w:type="dxa"/>
            <w:vAlign w:val="bottom"/>
            <w:tcBorders>
              <w:top w:val="single" w:sz="8" w:color="0000EE"/>
            </w:tcBorders>
            <w:gridSpan w:val="23"/>
          </w:tcPr>
          <w:p>
            <w:pPr>
              <w:spacing w:after="0" w:line="116" w:lineRule="exact"/>
              <w:rPr>
                <w:sz w:val="20"/>
                <w:szCs w:val="20"/>
                <w:color w:val="auto"/>
              </w:rPr>
            </w:pPr>
            <w:r>
              <w:rPr>
                <w:rFonts w:ascii="Arial" w:cs="Arial" w:eastAsia="Arial" w:hAnsi="Arial"/>
                <w:sz w:val="12"/>
                <w:szCs w:val="12"/>
                <w:color w:val="0000EE"/>
              </w:rPr>
              <w:t>Income Statements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Borders>
              <w:top w:val="single" w:sz="8" w:color="0000EE"/>
            </w:tcBorders>
          </w:tcPr>
          <w:p>
            <w:pPr>
              <w:jc w:val="right"/>
              <w:spacing w:after="0" w:line="116" w:lineRule="exact"/>
              <w:rPr>
                <w:sz w:val="20"/>
                <w:szCs w:val="20"/>
                <w:color w:val="auto"/>
              </w:rPr>
            </w:pPr>
            <w:r>
              <w:rPr>
                <w:rFonts w:ascii="Arial" w:cs="Arial" w:eastAsia="Arial" w:hAnsi="Arial"/>
                <w:sz w:val="12"/>
                <w:szCs w:val="12"/>
                <w:color w:val="auto"/>
                <w:w w:val="89"/>
              </w:rPr>
              <w:t>131</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040" w:type="dxa"/>
            <w:vAlign w:val="bottom"/>
            <w:tcBorders>
              <w:top w:val="single" w:sz="8" w:color="0000EE"/>
            </w:tcBorders>
            <w:gridSpan w:val="10"/>
          </w:tcPr>
          <w:p>
            <w:pPr>
              <w:spacing w:after="0" w:line="116" w:lineRule="exact"/>
              <w:rPr>
                <w:sz w:val="20"/>
                <w:szCs w:val="20"/>
                <w:color w:val="auto"/>
              </w:rPr>
            </w:pPr>
            <w:r>
              <w:rPr>
                <w:rFonts w:ascii="Arial" w:cs="Arial" w:eastAsia="Arial" w:hAnsi="Arial"/>
                <w:sz w:val="12"/>
                <w:szCs w:val="12"/>
                <w:color w:val="0000EE"/>
              </w:rPr>
              <w:t>Balance Sheets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132</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40" w:type="dxa"/>
            <w:vAlign w:val="bottom"/>
            <w:tcBorders>
              <w:top w:val="single" w:sz="8" w:color="0000EE"/>
            </w:tcBorders>
            <w:gridSpan w:val="7"/>
          </w:tcPr>
          <w:p>
            <w:pPr>
              <w:spacing w:after="0" w:line="116" w:lineRule="exact"/>
              <w:rPr>
                <w:sz w:val="20"/>
                <w:szCs w:val="20"/>
                <w:color w:val="auto"/>
              </w:rPr>
            </w:pPr>
            <w:r>
              <w:rPr>
                <w:rFonts w:ascii="Arial" w:cs="Arial" w:eastAsia="Arial" w:hAnsi="Arial"/>
                <w:sz w:val="12"/>
                <w:szCs w:val="12"/>
                <w:color w:val="0000EE"/>
              </w:rPr>
              <w:t>Statements of</w:t>
            </w:r>
          </w:p>
        </w:tc>
        <w:tc>
          <w:tcPr>
            <w:tcW w:w="7740" w:type="dxa"/>
            <w:vAlign w:val="bottom"/>
            <w:gridSpan w:val="19"/>
          </w:tcPr>
          <w:p>
            <w:pPr>
              <w:jc w:val="center"/>
              <w:ind w:right="7160"/>
              <w:spacing w:after="0" w:line="116" w:lineRule="exact"/>
              <w:rPr>
                <w:sz w:val="20"/>
                <w:szCs w:val="20"/>
                <w:color w:val="auto"/>
              </w:rPr>
            </w:pPr>
            <w:r>
              <w:rPr>
                <w:rFonts w:ascii="Arial" w:cs="Arial" w:eastAsia="Arial" w:hAnsi="Arial"/>
                <w:sz w:val="12"/>
                <w:szCs w:val="12"/>
                <w:color w:val="0000EE"/>
                <w:w w:val="92"/>
              </w:rPr>
              <w:t>Cash Flows</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133</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420" w:type="dxa"/>
            <w:vAlign w:val="bottom"/>
            <w:tcBorders>
              <w:top w:val="single" w:sz="8" w:color="0000EE"/>
              <w:bottom w:val="single" w:sz="8" w:color="0000EE"/>
            </w:tcBorders>
            <w:gridSpan w:val="16"/>
          </w:tcPr>
          <w:p>
            <w:pPr>
              <w:spacing w:after="0" w:line="116" w:lineRule="exact"/>
              <w:rPr>
                <w:sz w:val="20"/>
                <w:szCs w:val="20"/>
                <w:color w:val="auto"/>
              </w:rPr>
            </w:pPr>
            <w:r>
              <w:rPr>
                <w:rFonts w:ascii="Arial" w:cs="Arial" w:eastAsia="Arial" w:hAnsi="Arial"/>
                <w:sz w:val="12"/>
                <w:szCs w:val="12"/>
                <w:color w:val="0000EE"/>
              </w:rPr>
              <w:t>Statements of Changes in</w:t>
            </w:r>
          </w:p>
        </w:tc>
        <w:tc>
          <w:tcPr>
            <w:tcW w:w="340" w:type="dxa"/>
            <w:vAlign w:val="bottom"/>
            <w:tcBorders>
              <w:bottom w:val="single" w:sz="8" w:color="0000EE"/>
            </w:tcBorders>
            <w:gridSpan w:val="4"/>
          </w:tcPr>
          <w:p>
            <w:pPr>
              <w:spacing w:after="0" w:line="116" w:lineRule="exact"/>
              <w:rPr>
                <w:sz w:val="20"/>
                <w:szCs w:val="20"/>
                <w:color w:val="auto"/>
              </w:rPr>
            </w:pPr>
            <w:r>
              <w:rPr>
                <w:rFonts w:ascii="Arial" w:cs="Arial" w:eastAsia="Arial" w:hAnsi="Arial"/>
                <w:sz w:val="12"/>
                <w:szCs w:val="12"/>
                <w:color w:val="0000EE"/>
                <w:w w:val="95"/>
              </w:rPr>
              <w:t>Equity</w:t>
            </w:r>
          </w:p>
        </w:tc>
        <w:tc>
          <w:tcPr>
            <w:tcW w:w="6820" w:type="dxa"/>
            <w:vAlign w:val="bottom"/>
            <w:gridSpan w:val="6"/>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134</w:t>
            </w:r>
          </w:p>
        </w:tc>
        <w:tc>
          <w:tcPr>
            <w:tcW w:w="0" w:type="dxa"/>
            <w:vAlign w:val="bottom"/>
          </w:tcPr>
          <w:p>
            <w:pPr>
              <w:spacing w:after="0"/>
              <w:rPr>
                <w:sz w:val="1"/>
                <w:szCs w:val="1"/>
                <w:color w:val="auto"/>
              </w:rPr>
            </w:pPr>
          </w:p>
        </w:tc>
      </w:tr>
      <w:tr>
        <w:trPr>
          <w:trHeight w:val="257"/>
        </w:trPr>
        <w:tc>
          <w:tcPr>
            <w:tcW w:w="8760" w:type="dxa"/>
            <w:vAlign w:val="bottom"/>
            <w:gridSpan w:val="27"/>
          </w:tcPr>
          <w:p>
            <w:pPr>
              <w:spacing w:after="0"/>
              <w:rPr>
                <w:sz w:val="20"/>
                <w:szCs w:val="20"/>
                <w:color w:val="auto"/>
              </w:rPr>
            </w:pPr>
            <w:r>
              <w:rPr>
                <w:rFonts w:ascii="Arial" w:cs="Arial" w:eastAsia="Arial" w:hAnsi="Arial"/>
                <w:sz w:val="12"/>
                <w:szCs w:val="12"/>
                <w:b w:val="1"/>
                <w:bCs w:val="1"/>
                <w:color w:val="auto"/>
              </w:rPr>
              <w:t>NOTES</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gridSpan w:val="2"/>
          </w:tcPr>
          <w:p>
            <w:pPr>
              <w:ind w:left="180"/>
              <w:spacing w:after="0" w:line="130" w:lineRule="exact"/>
              <w:rPr>
                <w:sz w:val="20"/>
                <w:szCs w:val="20"/>
                <w:color w:val="auto"/>
              </w:rPr>
            </w:pPr>
            <w:r>
              <w:rPr>
                <w:rFonts w:ascii="Arial" w:cs="Arial" w:eastAsia="Arial" w:hAnsi="Arial"/>
                <w:sz w:val="12"/>
                <w:szCs w:val="12"/>
                <w:color w:val="0000EE"/>
                <w:w w:val="89"/>
              </w:rPr>
              <w:t>1</w:t>
            </w:r>
          </w:p>
        </w:tc>
        <w:tc>
          <w:tcPr>
            <w:tcW w:w="8500" w:type="dxa"/>
            <w:vAlign w:val="bottom"/>
            <w:gridSpan w:val="25"/>
          </w:tcPr>
          <w:p>
            <w:pPr>
              <w:ind w:left="20"/>
              <w:spacing w:after="0" w:line="130" w:lineRule="exact"/>
              <w:rPr>
                <w:sz w:val="20"/>
                <w:szCs w:val="20"/>
                <w:color w:val="auto"/>
              </w:rPr>
            </w:pPr>
            <w:r>
              <w:rPr>
                <w:rFonts w:ascii="Arial" w:cs="Arial" w:eastAsia="Arial" w:hAnsi="Arial"/>
                <w:sz w:val="12"/>
                <w:szCs w:val="12"/>
                <w:color w:val="0000EE"/>
              </w:rPr>
              <w:t>Accounting Policies</w:t>
            </w:r>
          </w:p>
        </w:tc>
        <w:tc>
          <w:tcPr>
            <w:tcW w:w="200" w:type="dxa"/>
            <w:vAlign w:val="bottom"/>
          </w:tcPr>
          <w:p>
            <w:pPr>
              <w:jc w:val="right"/>
              <w:spacing w:after="0" w:line="130" w:lineRule="exact"/>
              <w:rPr>
                <w:sz w:val="20"/>
                <w:szCs w:val="20"/>
                <w:color w:val="auto"/>
              </w:rPr>
            </w:pPr>
            <w:r>
              <w:rPr>
                <w:rFonts w:ascii="Arial" w:cs="Arial" w:eastAsia="Arial" w:hAnsi="Arial"/>
                <w:sz w:val="12"/>
                <w:szCs w:val="12"/>
                <w:color w:val="auto"/>
                <w:w w:val="89"/>
              </w:rPr>
              <w:t>135</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140" w:type="dxa"/>
            <w:vAlign w:val="bottom"/>
            <w:tcBorders>
              <w:top w:val="single" w:sz="8" w:color="0000EE"/>
            </w:tcBorders>
            <w:gridSpan w:val="12"/>
          </w:tcPr>
          <w:p>
            <w:pPr>
              <w:spacing w:after="0" w:line="116" w:lineRule="exact"/>
              <w:rPr>
                <w:sz w:val="20"/>
                <w:szCs w:val="20"/>
                <w:color w:val="auto"/>
              </w:rPr>
            </w:pPr>
            <w:r>
              <w:rPr>
                <w:rFonts w:ascii="Arial" w:cs="Arial" w:eastAsia="Arial" w:hAnsi="Arial"/>
                <w:sz w:val="12"/>
                <w:szCs w:val="12"/>
                <w:color w:val="0000EE"/>
              </w:rPr>
              <w:t>2 Revenue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137</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vMerge w:val="restart"/>
          </w:tcPr>
          <w:p>
            <w:pPr>
              <w:jc w:val="right"/>
              <w:spacing w:after="0" w:line="136" w:lineRule="exact"/>
              <w:rPr>
                <w:sz w:val="20"/>
                <w:szCs w:val="20"/>
                <w:color w:val="auto"/>
              </w:rPr>
            </w:pPr>
            <w:r>
              <w:rPr>
                <w:rFonts w:ascii="Arial" w:cs="Arial" w:eastAsia="Arial" w:hAnsi="Arial"/>
                <w:sz w:val="12"/>
                <w:szCs w:val="12"/>
                <w:color w:val="auto"/>
                <w:w w:val="89"/>
              </w:rPr>
              <w:t>138</w:t>
            </w:r>
          </w:p>
        </w:tc>
        <w:tc>
          <w:tcPr>
            <w:tcW w:w="0" w:type="dxa"/>
            <w:vAlign w:val="bottom"/>
          </w:tcPr>
          <w:p>
            <w:pPr>
              <w:spacing w:after="0" w:line="20" w:lineRule="exact"/>
              <w:rPr>
                <w:sz w:val="1"/>
                <w:szCs w:val="1"/>
                <w:color w:val="auto"/>
              </w:rPr>
            </w:pPr>
          </w:p>
        </w:tc>
      </w:tr>
      <w:tr>
        <w:trPr>
          <w:trHeight w:val="116"/>
        </w:trPr>
        <w:tc>
          <w:tcPr>
            <w:tcW w:w="18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Arial" w:cs="Arial" w:eastAsia="Arial" w:hAnsi="Arial"/>
                <w:sz w:val="12"/>
                <w:szCs w:val="12"/>
                <w:color w:val="0000EE"/>
                <w:w w:val="89"/>
              </w:rPr>
              <w:t>3</w:t>
            </w:r>
          </w:p>
        </w:tc>
        <w:tc>
          <w:tcPr>
            <w:tcW w:w="8500" w:type="dxa"/>
            <w:vAlign w:val="bottom"/>
            <w:gridSpan w:val="25"/>
          </w:tcPr>
          <w:p>
            <w:pPr>
              <w:ind w:left="20"/>
              <w:spacing w:after="0" w:line="116" w:lineRule="exact"/>
              <w:rPr>
                <w:sz w:val="20"/>
                <w:szCs w:val="20"/>
                <w:color w:val="auto"/>
              </w:rPr>
            </w:pPr>
            <w:r>
              <w:rPr>
                <w:rFonts w:ascii="Arial" w:cs="Arial" w:eastAsia="Arial" w:hAnsi="Arial"/>
                <w:sz w:val="12"/>
                <w:szCs w:val="12"/>
                <w:color w:val="0000EE"/>
              </w:rPr>
              <w:t>Staff Costs</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0" w:type="dxa"/>
            <w:vAlign w:val="bottom"/>
            <w:tcBorders>
              <w:top w:val="single" w:sz="8" w:color="0000EE"/>
            </w:tcBorders>
          </w:tcPr>
          <w:p>
            <w:pPr>
              <w:spacing w:after="0" w:line="116" w:lineRule="exact"/>
              <w:rPr>
                <w:sz w:val="20"/>
                <w:szCs w:val="20"/>
                <w:color w:val="auto"/>
              </w:rPr>
            </w:pPr>
            <w:r>
              <w:rPr>
                <w:rFonts w:ascii="Arial" w:cs="Arial" w:eastAsia="Arial" w:hAnsi="Arial"/>
                <w:sz w:val="12"/>
                <w:szCs w:val="12"/>
                <w:color w:val="0000EE"/>
                <w:w w:val="89"/>
              </w:rPr>
              <w:t>4</w:t>
            </w:r>
          </w:p>
        </w:tc>
        <w:tc>
          <w:tcPr>
            <w:tcW w:w="600" w:type="dxa"/>
            <w:vAlign w:val="bottom"/>
            <w:tcBorders>
              <w:top w:val="single" w:sz="8" w:color="0000EE"/>
            </w:tcBorders>
            <w:gridSpan w:val="4"/>
          </w:tcPr>
          <w:p>
            <w:pPr>
              <w:ind w:left="20"/>
              <w:spacing w:after="0" w:line="116" w:lineRule="exact"/>
              <w:rPr>
                <w:sz w:val="20"/>
                <w:szCs w:val="20"/>
                <w:color w:val="auto"/>
              </w:rPr>
            </w:pPr>
            <w:r>
              <w:rPr>
                <w:rFonts w:ascii="Arial" w:cs="Arial" w:eastAsia="Arial" w:hAnsi="Arial"/>
                <w:sz w:val="12"/>
                <w:szCs w:val="12"/>
                <w:color w:val="0000EE"/>
              </w:rPr>
              <w:t>Corporate</w:t>
            </w:r>
          </w:p>
        </w:tc>
        <w:tc>
          <w:tcPr>
            <w:tcW w:w="7900" w:type="dxa"/>
            <w:vAlign w:val="bottom"/>
            <w:gridSpan w:val="21"/>
          </w:tcPr>
          <w:p>
            <w:pPr>
              <w:jc w:val="center"/>
              <w:ind w:right="6980"/>
              <w:spacing w:after="0" w:line="116" w:lineRule="exact"/>
              <w:rPr>
                <w:sz w:val="20"/>
                <w:szCs w:val="20"/>
                <w:color w:val="auto"/>
              </w:rPr>
            </w:pPr>
            <w:r>
              <w:rPr>
                <w:rFonts w:ascii="Arial" w:cs="Arial" w:eastAsia="Arial" w:hAnsi="Arial"/>
                <w:sz w:val="12"/>
                <w:szCs w:val="12"/>
                <w:color w:val="0000EE"/>
                <w:w w:val="98"/>
              </w:rPr>
              <w:t>and Deferred Tax</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139</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0" w:type="dxa"/>
            <w:vAlign w:val="bottom"/>
            <w:tcBorders>
              <w:top w:val="single" w:sz="8" w:color="0000EE"/>
            </w:tcBorders>
          </w:tcPr>
          <w:p>
            <w:pPr>
              <w:spacing w:after="0" w:line="116" w:lineRule="exact"/>
              <w:rPr>
                <w:sz w:val="20"/>
                <w:szCs w:val="20"/>
                <w:color w:val="auto"/>
              </w:rPr>
            </w:pPr>
            <w:r>
              <w:rPr>
                <w:rFonts w:ascii="Arial" w:cs="Arial" w:eastAsia="Arial" w:hAnsi="Arial"/>
                <w:sz w:val="12"/>
                <w:szCs w:val="12"/>
                <w:color w:val="0000EE"/>
                <w:w w:val="89"/>
              </w:rPr>
              <w:t>5</w:t>
            </w:r>
          </w:p>
        </w:tc>
        <w:tc>
          <w:tcPr>
            <w:tcW w:w="1520" w:type="dxa"/>
            <w:vAlign w:val="bottom"/>
            <w:tcBorders>
              <w:top w:val="single" w:sz="8" w:color="0000EE"/>
            </w:tcBorders>
            <w:gridSpan w:val="17"/>
          </w:tcPr>
          <w:p>
            <w:pPr>
              <w:ind w:left="20"/>
              <w:spacing w:after="0" w:line="116" w:lineRule="exact"/>
              <w:rPr>
                <w:sz w:val="20"/>
                <w:szCs w:val="20"/>
                <w:color w:val="auto"/>
              </w:rPr>
            </w:pPr>
            <w:r>
              <w:rPr>
                <w:rFonts w:ascii="Arial" w:cs="Arial" w:eastAsia="Arial" w:hAnsi="Arial"/>
                <w:sz w:val="12"/>
                <w:szCs w:val="12"/>
                <w:color w:val="0000EE"/>
              </w:rPr>
              <w:t>Intangible Assets</w:t>
            </w:r>
          </w:p>
        </w:tc>
        <w:tc>
          <w:tcPr>
            <w:tcW w:w="4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141</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vMerge w:val="restart"/>
          </w:tcPr>
          <w:p>
            <w:pPr>
              <w:jc w:val="right"/>
              <w:spacing w:after="0" w:line="136" w:lineRule="exact"/>
              <w:rPr>
                <w:sz w:val="20"/>
                <w:szCs w:val="20"/>
                <w:color w:val="auto"/>
              </w:rPr>
            </w:pPr>
            <w:r>
              <w:rPr>
                <w:rFonts w:ascii="Arial" w:cs="Arial" w:eastAsia="Arial" w:hAnsi="Arial"/>
                <w:sz w:val="12"/>
                <w:szCs w:val="12"/>
                <w:color w:val="auto"/>
                <w:w w:val="89"/>
              </w:rPr>
              <w:t>142</w:t>
            </w:r>
          </w:p>
        </w:tc>
        <w:tc>
          <w:tcPr>
            <w:tcW w:w="0" w:type="dxa"/>
            <w:vAlign w:val="bottom"/>
          </w:tcPr>
          <w:p>
            <w:pPr>
              <w:spacing w:after="0" w:line="20" w:lineRule="exact"/>
              <w:rPr>
                <w:sz w:val="1"/>
                <w:szCs w:val="1"/>
                <w:color w:val="auto"/>
              </w:rPr>
            </w:pPr>
          </w:p>
        </w:tc>
      </w:tr>
      <w:tr>
        <w:trPr>
          <w:trHeight w:val="116"/>
        </w:trPr>
        <w:tc>
          <w:tcPr>
            <w:tcW w:w="18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Arial" w:cs="Arial" w:eastAsia="Arial" w:hAnsi="Arial"/>
                <w:sz w:val="12"/>
                <w:szCs w:val="12"/>
                <w:color w:val="0000EE"/>
                <w:w w:val="89"/>
              </w:rPr>
              <w:t>6</w:t>
            </w:r>
          </w:p>
        </w:tc>
        <w:tc>
          <w:tcPr>
            <w:tcW w:w="8500" w:type="dxa"/>
            <w:vAlign w:val="bottom"/>
            <w:gridSpan w:val="25"/>
          </w:tcPr>
          <w:p>
            <w:pPr>
              <w:ind w:left="20"/>
              <w:spacing w:after="0" w:line="116" w:lineRule="exact"/>
              <w:rPr>
                <w:sz w:val="20"/>
                <w:szCs w:val="20"/>
                <w:color w:val="auto"/>
              </w:rPr>
            </w:pPr>
            <w:r>
              <w:rPr>
                <w:rFonts w:ascii="Arial" w:cs="Arial" w:eastAsia="Arial" w:hAnsi="Arial"/>
                <w:sz w:val="12"/>
                <w:szCs w:val="12"/>
                <w:color w:val="0000EE"/>
              </w:rPr>
              <w:t>Property and Equipment</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0" w:type="dxa"/>
            <w:vAlign w:val="bottom"/>
            <w:tcBorders>
              <w:top w:val="single" w:sz="8" w:color="0000EE"/>
            </w:tcBorders>
          </w:tcPr>
          <w:p>
            <w:pPr>
              <w:spacing w:after="0" w:line="116" w:lineRule="exact"/>
              <w:rPr>
                <w:sz w:val="20"/>
                <w:szCs w:val="20"/>
                <w:color w:val="auto"/>
              </w:rPr>
            </w:pPr>
            <w:r>
              <w:rPr>
                <w:rFonts w:ascii="Arial" w:cs="Arial" w:eastAsia="Arial" w:hAnsi="Arial"/>
                <w:sz w:val="12"/>
                <w:szCs w:val="12"/>
                <w:color w:val="0000EE"/>
                <w:w w:val="89"/>
              </w:rPr>
              <w:t>7</w:t>
            </w:r>
          </w:p>
        </w:tc>
        <w:tc>
          <w:tcPr>
            <w:tcW w:w="1320" w:type="dxa"/>
            <w:vAlign w:val="bottom"/>
            <w:tcBorders>
              <w:top w:val="single" w:sz="8" w:color="0000EE"/>
            </w:tcBorders>
            <w:gridSpan w:val="14"/>
          </w:tcPr>
          <w:p>
            <w:pPr>
              <w:ind w:left="20"/>
              <w:spacing w:after="0" w:line="116" w:lineRule="exact"/>
              <w:rPr>
                <w:sz w:val="20"/>
                <w:szCs w:val="20"/>
                <w:color w:val="auto"/>
              </w:rPr>
            </w:pPr>
            <w:r>
              <w:rPr>
                <w:rFonts w:ascii="Arial" w:cs="Arial" w:eastAsia="Arial" w:hAnsi="Arial"/>
                <w:sz w:val="12"/>
                <w:szCs w:val="12"/>
                <w:color w:val="0000EE"/>
              </w:rPr>
              <w:t>Leases</w:t>
            </w:r>
          </w:p>
        </w:tc>
        <w:tc>
          <w:tcPr>
            <w:tcW w:w="16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142</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0" w:type="dxa"/>
            <w:vAlign w:val="bottom"/>
            <w:tcBorders>
              <w:top w:val="single" w:sz="8" w:color="0000EE"/>
            </w:tcBorders>
          </w:tcPr>
          <w:p>
            <w:pPr>
              <w:spacing w:after="0" w:line="116" w:lineRule="exact"/>
              <w:rPr>
                <w:sz w:val="20"/>
                <w:szCs w:val="20"/>
                <w:color w:val="auto"/>
              </w:rPr>
            </w:pPr>
            <w:r>
              <w:rPr>
                <w:rFonts w:ascii="Arial" w:cs="Arial" w:eastAsia="Arial" w:hAnsi="Arial"/>
                <w:sz w:val="12"/>
                <w:szCs w:val="12"/>
                <w:color w:val="0000EE"/>
                <w:w w:val="89"/>
              </w:rPr>
              <w:t>8</w:t>
            </w:r>
          </w:p>
        </w:tc>
        <w:tc>
          <w:tcPr>
            <w:tcW w:w="420" w:type="dxa"/>
            <w:vAlign w:val="bottom"/>
            <w:tcBorders>
              <w:top w:val="single" w:sz="8" w:color="0000EE"/>
            </w:tcBorders>
            <w:gridSpan w:val="2"/>
          </w:tcPr>
          <w:p>
            <w:pPr>
              <w:ind w:left="20"/>
              <w:spacing w:after="0" w:line="116" w:lineRule="exact"/>
              <w:rPr>
                <w:sz w:val="20"/>
                <w:szCs w:val="20"/>
                <w:color w:val="auto"/>
              </w:rPr>
            </w:pPr>
            <w:r>
              <w:rPr>
                <w:rFonts w:ascii="Arial" w:cs="Arial" w:eastAsia="Arial" w:hAnsi="Arial"/>
                <w:sz w:val="12"/>
                <w:szCs w:val="12"/>
                <w:color w:val="0000EE"/>
              </w:rPr>
              <w:t>Other</w:t>
            </w:r>
          </w:p>
        </w:tc>
        <w:tc>
          <w:tcPr>
            <w:tcW w:w="8080" w:type="dxa"/>
            <w:vAlign w:val="bottom"/>
            <w:gridSpan w:val="23"/>
          </w:tcPr>
          <w:p>
            <w:pPr>
              <w:spacing w:after="0" w:line="116" w:lineRule="exact"/>
              <w:rPr>
                <w:sz w:val="20"/>
                <w:szCs w:val="20"/>
                <w:color w:val="auto"/>
              </w:rPr>
            </w:pPr>
            <w:r>
              <w:rPr>
                <w:rFonts w:ascii="Arial" w:cs="Arial" w:eastAsia="Arial" w:hAnsi="Arial"/>
                <w:sz w:val="12"/>
                <w:szCs w:val="12"/>
                <w:color w:val="0000EE"/>
              </w:rPr>
              <w:t>Investments</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144</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80" w:type="dxa"/>
            <w:vAlign w:val="bottom"/>
            <w:tcBorders>
              <w:top w:val="single" w:sz="8" w:color="0000EE"/>
            </w:tcBorders>
          </w:tcPr>
          <w:p>
            <w:pPr>
              <w:spacing w:after="0" w:line="116" w:lineRule="exact"/>
              <w:rPr>
                <w:sz w:val="20"/>
                <w:szCs w:val="20"/>
                <w:color w:val="auto"/>
              </w:rPr>
            </w:pPr>
            <w:r>
              <w:rPr>
                <w:rFonts w:ascii="Arial" w:cs="Arial" w:eastAsia="Arial" w:hAnsi="Arial"/>
                <w:sz w:val="12"/>
                <w:szCs w:val="12"/>
                <w:color w:val="0000EE"/>
                <w:w w:val="89"/>
              </w:rPr>
              <w:t>9</w:t>
            </w:r>
          </w:p>
        </w:tc>
        <w:tc>
          <w:tcPr>
            <w:tcW w:w="1000" w:type="dxa"/>
            <w:vAlign w:val="bottom"/>
            <w:tcBorders>
              <w:top w:val="single" w:sz="8" w:color="0000EE"/>
            </w:tcBorders>
            <w:gridSpan w:val="10"/>
          </w:tcPr>
          <w:p>
            <w:pPr>
              <w:ind w:left="20"/>
              <w:spacing w:after="0" w:line="116" w:lineRule="exact"/>
              <w:rPr>
                <w:sz w:val="20"/>
                <w:szCs w:val="20"/>
                <w:color w:val="auto"/>
              </w:rPr>
            </w:pPr>
            <w:r>
              <w:rPr>
                <w:rFonts w:ascii="Arial" w:cs="Arial" w:eastAsia="Arial" w:hAnsi="Arial"/>
                <w:sz w:val="12"/>
                <w:szCs w:val="12"/>
                <w:color w:val="0000EE"/>
              </w:rPr>
              <w:t>Receivables</w:t>
            </w:r>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144</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10</w:t>
            </w:r>
          </w:p>
        </w:tc>
        <w:tc>
          <w:tcPr>
            <w:tcW w:w="600" w:type="dxa"/>
            <w:vAlign w:val="bottom"/>
            <w:tcBorders>
              <w:top w:val="single" w:sz="8" w:color="0000EE"/>
            </w:tcBorders>
            <w:gridSpan w:val="4"/>
          </w:tcPr>
          <w:p>
            <w:pPr>
              <w:spacing w:after="0" w:line="116" w:lineRule="exact"/>
              <w:rPr>
                <w:sz w:val="20"/>
                <w:szCs w:val="20"/>
                <w:color w:val="auto"/>
              </w:rPr>
            </w:pPr>
            <w:r>
              <w:rPr>
                <w:rFonts w:ascii="Arial" w:cs="Arial" w:eastAsia="Arial" w:hAnsi="Arial"/>
                <w:sz w:val="12"/>
                <w:szCs w:val="12"/>
                <w:color w:val="0000EE"/>
              </w:rPr>
              <w:t>Deferred</w:t>
            </w:r>
          </w:p>
        </w:tc>
        <w:tc>
          <w:tcPr>
            <w:tcW w:w="7820" w:type="dxa"/>
            <w:vAlign w:val="bottom"/>
            <w:gridSpan w:val="20"/>
          </w:tcPr>
          <w:p>
            <w:pPr>
              <w:spacing w:after="0" w:line="116" w:lineRule="exact"/>
              <w:rPr>
                <w:sz w:val="20"/>
                <w:szCs w:val="20"/>
                <w:color w:val="auto"/>
              </w:rPr>
            </w:pPr>
            <w:r>
              <w:rPr>
                <w:rFonts w:ascii="Arial" w:cs="Arial" w:eastAsia="Arial" w:hAnsi="Arial"/>
                <w:sz w:val="12"/>
                <w:szCs w:val="12"/>
                <w:color w:val="0000EE"/>
              </w:rPr>
              <w:t>Revenue</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144</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020" w:type="dxa"/>
            <w:vAlign w:val="bottom"/>
            <w:tcBorders>
              <w:top w:val="single" w:sz="8" w:color="0000EE"/>
              <w:bottom w:val="single" w:sz="8" w:color="0000EE"/>
            </w:tcBorders>
            <w:gridSpan w:val="9"/>
          </w:tcPr>
          <w:p>
            <w:pPr>
              <w:spacing w:after="0" w:line="116" w:lineRule="exact"/>
              <w:rPr>
                <w:sz w:val="20"/>
                <w:szCs w:val="20"/>
                <w:color w:val="auto"/>
              </w:rPr>
            </w:pPr>
            <w:r>
              <w:rPr>
                <w:rFonts w:ascii="Arial" w:cs="Arial" w:eastAsia="Arial" w:hAnsi="Arial"/>
                <w:sz w:val="12"/>
                <w:szCs w:val="12"/>
                <w:color w:val="0000EE"/>
                <w:w w:val="98"/>
              </w:rPr>
              <w:t>11 Other Payables</w:t>
            </w:r>
          </w:p>
        </w:tc>
        <w:tc>
          <w:tcPr>
            <w:tcW w:w="140" w:type="dxa"/>
            <w:vAlign w:val="bottom"/>
            <w:tcBorders>
              <w:top w:val="single" w:sz="8" w:color="0000EE"/>
            </w:tcBorders>
            <w:gridSpan w:val="4"/>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145</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gridSpan w:val="2"/>
          </w:tcPr>
          <w:p>
            <w:pPr>
              <w:spacing w:after="0" w:line="116" w:lineRule="exact"/>
              <w:rPr>
                <w:sz w:val="20"/>
                <w:szCs w:val="20"/>
                <w:color w:val="auto"/>
              </w:rPr>
            </w:pPr>
            <w:r>
              <w:rPr>
                <w:rFonts w:ascii="Arial" w:cs="Arial" w:eastAsia="Arial" w:hAnsi="Arial"/>
                <w:sz w:val="12"/>
                <w:szCs w:val="12"/>
                <w:color w:val="0000EE"/>
              </w:rPr>
              <w:t>12</w:t>
            </w:r>
          </w:p>
        </w:tc>
        <w:tc>
          <w:tcPr>
            <w:tcW w:w="8420" w:type="dxa"/>
            <w:vAlign w:val="bottom"/>
            <w:gridSpan w:val="24"/>
          </w:tcPr>
          <w:p>
            <w:pPr>
              <w:spacing w:after="0" w:line="116" w:lineRule="exact"/>
              <w:rPr>
                <w:sz w:val="20"/>
                <w:szCs w:val="20"/>
                <w:color w:val="auto"/>
              </w:rPr>
            </w:pPr>
            <w:r>
              <w:rPr>
                <w:rFonts w:ascii="Arial" w:cs="Arial" w:eastAsia="Arial" w:hAnsi="Arial"/>
                <w:sz w:val="12"/>
                <w:szCs w:val="12"/>
                <w:color w:val="0000EE"/>
              </w:rPr>
              <w:t>Marketable Securities</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145</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13</w:t>
            </w:r>
          </w:p>
        </w:tc>
        <w:tc>
          <w:tcPr>
            <w:tcW w:w="1160" w:type="dxa"/>
            <w:vAlign w:val="bottom"/>
            <w:tcBorders>
              <w:top w:val="single" w:sz="8" w:color="0000EE"/>
            </w:tcBorders>
            <w:gridSpan w:val="12"/>
          </w:tcPr>
          <w:p>
            <w:pPr>
              <w:spacing w:after="0" w:line="116" w:lineRule="exact"/>
              <w:rPr>
                <w:sz w:val="20"/>
                <w:szCs w:val="20"/>
                <w:color w:val="auto"/>
              </w:rPr>
            </w:pPr>
            <w:r>
              <w:rPr>
                <w:rFonts w:ascii="Arial" w:cs="Arial" w:eastAsia="Arial" w:hAnsi="Arial"/>
                <w:sz w:val="12"/>
                <w:szCs w:val="12"/>
                <w:color w:val="0000EE"/>
                <w:w w:val="99"/>
              </w:rPr>
              <w:t>Financial Income and</w:t>
            </w:r>
          </w:p>
        </w:tc>
        <w:tc>
          <w:tcPr>
            <w:tcW w:w="7260" w:type="dxa"/>
            <w:vAlign w:val="bottom"/>
            <w:gridSpan w:val="12"/>
          </w:tcPr>
          <w:p>
            <w:pPr>
              <w:ind w:left="40"/>
              <w:spacing w:after="0" w:line="116" w:lineRule="exact"/>
              <w:rPr>
                <w:sz w:val="20"/>
                <w:szCs w:val="20"/>
                <w:color w:val="auto"/>
              </w:rPr>
            </w:pPr>
            <w:r>
              <w:rPr>
                <w:rFonts w:ascii="Arial" w:cs="Arial" w:eastAsia="Arial" w:hAnsi="Arial"/>
                <w:sz w:val="12"/>
                <w:szCs w:val="12"/>
                <w:color w:val="0000EE"/>
              </w:rPr>
              <w:t>Expenses</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145</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14</w:t>
            </w:r>
          </w:p>
        </w:tc>
        <w:tc>
          <w:tcPr>
            <w:tcW w:w="1720" w:type="dxa"/>
            <w:vAlign w:val="bottom"/>
            <w:tcBorders>
              <w:top w:val="single" w:sz="8" w:color="0000EE"/>
            </w:tcBorders>
            <w:gridSpan w:val="19"/>
          </w:tcPr>
          <w:p>
            <w:pPr>
              <w:spacing w:after="0" w:line="116" w:lineRule="exact"/>
              <w:rPr>
                <w:sz w:val="20"/>
                <w:szCs w:val="20"/>
                <w:color w:val="auto"/>
              </w:rPr>
            </w:pPr>
            <w:r>
              <w:rPr>
                <w:rFonts w:ascii="Arial" w:cs="Arial" w:eastAsia="Arial" w:hAnsi="Arial"/>
                <w:sz w:val="12"/>
                <w:szCs w:val="12"/>
                <w:color w:val="0000EE"/>
              </w:rPr>
              <w:t>Remuneration of the Board of</w:t>
            </w:r>
          </w:p>
        </w:tc>
        <w:tc>
          <w:tcPr>
            <w:tcW w:w="6700" w:type="dxa"/>
            <w:vAlign w:val="bottom"/>
            <w:gridSpan w:val="5"/>
          </w:tcPr>
          <w:p>
            <w:pPr>
              <w:spacing w:after="0" w:line="116" w:lineRule="exact"/>
              <w:rPr>
                <w:sz w:val="20"/>
                <w:szCs w:val="20"/>
                <w:color w:val="auto"/>
              </w:rPr>
            </w:pPr>
            <w:r>
              <w:rPr>
                <w:rFonts w:ascii="Arial" w:cs="Arial" w:eastAsia="Arial" w:hAnsi="Arial"/>
                <w:sz w:val="12"/>
                <w:szCs w:val="12"/>
                <w:color w:val="0000EE"/>
              </w:rPr>
              <w:t>Directors and Executive Management</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146</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15</w:t>
            </w:r>
          </w:p>
        </w:tc>
        <w:tc>
          <w:tcPr>
            <w:tcW w:w="3640" w:type="dxa"/>
            <w:vAlign w:val="bottom"/>
            <w:tcBorders>
              <w:top w:val="single" w:sz="8" w:color="0000EE"/>
            </w:tcBorders>
            <w:gridSpan w:val="23"/>
          </w:tcPr>
          <w:p>
            <w:pPr>
              <w:spacing w:after="0" w:line="116" w:lineRule="exact"/>
              <w:rPr>
                <w:sz w:val="20"/>
                <w:szCs w:val="20"/>
                <w:color w:val="auto"/>
              </w:rPr>
            </w:pPr>
            <w:r>
              <w:rPr>
                <w:rFonts w:ascii="Arial" w:cs="Arial" w:eastAsia="Arial" w:hAnsi="Arial"/>
                <w:sz w:val="12"/>
                <w:szCs w:val="12"/>
                <w:color w:val="0000EE"/>
              </w:rPr>
              <w:t>Related Party Disclosures</w:t>
            </w:r>
          </w:p>
        </w:tc>
        <w:tc>
          <w:tcPr>
            <w:tcW w:w="47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146</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bottom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16</w:t>
            </w:r>
          </w:p>
        </w:tc>
        <w:tc>
          <w:tcPr>
            <w:tcW w:w="1400" w:type="dxa"/>
            <w:vAlign w:val="bottom"/>
            <w:tcBorders>
              <w:top w:val="single" w:sz="8" w:color="0000EE"/>
              <w:bottom w:val="single" w:sz="8" w:color="0000EE"/>
            </w:tcBorders>
            <w:gridSpan w:val="15"/>
          </w:tcPr>
          <w:p>
            <w:pPr>
              <w:spacing w:after="0" w:line="116" w:lineRule="exact"/>
              <w:rPr>
                <w:sz w:val="20"/>
                <w:szCs w:val="20"/>
                <w:color w:val="auto"/>
              </w:rPr>
            </w:pPr>
            <w:r>
              <w:rPr>
                <w:rFonts w:ascii="Arial" w:cs="Arial" w:eastAsia="Arial" w:hAnsi="Arial"/>
                <w:sz w:val="12"/>
                <w:szCs w:val="12"/>
                <w:color w:val="0000EE"/>
                <w:w w:val="94"/>
              </w:rPr>
              <w:t>Investments in Subsidiaries</w:t>
            </w:r>
          </w:p>
        </w:tc>
        <w:tc>
          <w:tcPr>
            <w:tcW w:w="80" w:type="dxa"/>
            <w:vAlign w:val="bottom"/>
            <w:tcBorders>
              <w:bottom w:val="single" w:sz="8" w:color="0000EE"/>
            </w:tcBorders>
            <w:gridSpan w:val="2"/>
          </w:tcPr>
          <w:p>
            <w:pPr>
              <w:spacing w:after="0"/>
              <w:rPr>
                <w:sz w:val="10"/>
                <w:szCs w:val="10"/>
                <w:color w:val="auto"/>
              </w:rPr>
            </w:pPr>
          </w:p>
        </w:tc>
        <w:tc>
          <w:tcPr>
            <w:tcW w:w="580" w:type="dxa"/>
            <w:vAlign w:val="bottom"/>
            <w:gridSpan w:val="3"/>
          </w:tcPr>
          <w:p>
            <w:pPr>
              <w:spacing w:after="0"/>
              <w:rPr>
                <w:sz w:val="10"/>
                <w:szCs w:val="10"/>
                <w:color w:val="auto"/>
              </w:rPr>
            </w:pPr>
          </w:p>
        </w:tc>
        <w:tc>
          <w:tcPr>
            <w:tcW w:w="1080" w:type="dxa"/>
            <w:vAlign w:val="bottom"/>
            <w:gridSpan w:val="2"/>
          </w:tcPr>
          <w:p>
            <w:pPr>
              <w:spacing w:after="0"/>
              <w:rPr>
                <w:sz w:val="10"/>
                <w:szCs w:val="10"/>
                <w:color w:val="auto"/>
              </w:rPr>
            </w:pPr>
          </w:p>
        </w:tc>
        <w:tc>
          <w:tcPr>
            <w:tcW w:w="5280" w:type="dxa"/>
            <w:vAlign w:val="bottom"/>
            <w:gridSpan w:val="2"/>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147</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920" w:type="dxa"/>
            <w:vAlign w:val="bottom"/>
            <w:tcBorders>
              <w:bottom w:val="single" w:sz="8" w:color="0000EE"/>
            </w:tcBorders>
            <w:gridSpan w:val="8"/>
          </w:tcPr>
          <w:p>
            <w:pPr>
              <w:spacing w:after="0" w:line="116" w:lineRule="exact"/>
              <w:rPr>
                <w:sz w:val="20"/>
                <w:szCs w:val="20"/>
                <w:color w:val="auto"/>
              </w:rPr>
            </w:pPr>
            <w:r>
              <w:rPr>
                <w:rFonts w:ascii="Arial" w:cs="Arial" w:eastAsia="Arial" w:hAnsi="Arial"/>
                <w:sz w:val="12"/>
                <w:szCs w:val="12"/>
                <w:color w:val="0000EE"/>
                <w:w w:val="99"/>
              </w:rPr>
              <w:t>17 Commitments</w:t>
            </w:r>
          </w:p>
        </w:tc>
        <w:tc>
          <w:tcPr>
            <w:tcW w:w="720" w:type="dxa"/>
            <w:vAlign w:val="bottom"/>
            <w:gridSpan w:val="11"/>
          </w:tcPr>
          <w:p>
            <w:pPr>
              <w:spacing w:after="0"/>
              <w:rPr>
                <w:sz w:val="10"/>
                <w:szCs w:val="10"/>
                <w:color w:val="auto"/>
              </w:rPr>
            </w:pPr>
          </w:p>
        </w:tc>
        <w:tc>
          <w:tcPr>
            <w:tcW w:w="580" w:type="dxa"/>
            <w:vAlign w:val="bottom"/>
            <w:gridSpan w:val="3"/>
          </w:tcPr>
          <w:p>
            <w:pPr>
              <w:spacing w:after="0"/>
              <w:rPr>
                <w:sz w:val="10"/>
                <w:szCs w:val="10"/>
                <w:color w:val="auto"/>
              </w:rPr>
            </w:pPr>
          </w:p>
        </w:tc>
        <w:tc>
          <w:tcPr>
            <w:tcW w:w="1080" w:type="dxa"/>
            <w:vAlign w:val="bottom"/>
            <w:gridSpan w:val="2"/>
          </w:tcPr>
          <w:p>
            <w:pPr>
              <w:spacing w:after="0"/>
              <w:rPr>
                <w:sz w:val="10"/>
                <w:szCs w:val="10"/>
                <w:color w:val="auto"/>
              </w:rPr>
            </w:pPr>
          </w:p>
        </w:tc>
        <w:tc>
          <w:tcPr>
            <w:tcW w:w="5280" w:type="dxa"/>
            <w:vAlign w:val="bottom"/>
            <w:gridSpan w:val="2"/>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147</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gridSpan w:val="2"/>
          </w:tcPr>
          <w:p>
            <w:pPr>
              <w:spacing w:after="0" w:line="116" w:lineRule="exact"/>
              <w:rPr>
                <w:sz w:val="20"/>
                <w:szCs w:val="20"/>
                <w:color w:val="auto"/>
              </w:rPr>
            </w:pPr>
            <w:r>
              <w:rPr>
                <w:rFonts w:ascii="Arial" w:cs="Arial" w:eastAsia="Arial" w:hAnsi="Arial"/>
                <w:sz w:val="12"/>
                <w:szCs w:val="12"/>
                <w:color w:val="0000EE"/>
              </w:rPr>
              <w:t>18</w:t>
            </w:r>
          </w:p>
        </w:tc>
        <w:tc>
          <w:tcPr>
            <w:tcW w:w="8420" w:type="dxa"/>
            <w:vAlign w:val="bottom"/>
            <w:gridSpan w:val="24"/>
          </w:tcPr>
          <w:p>
            <w:pPr>
              <w:spacing w:after="0" w:line="116" w:lineRule="exact"/>
              <w:rPr>
                <w:sz w:val="20"/>
                <w:szCs w:val="20"/>
                <w:color w:val="auto"/>
              </w:rPr>
            </w:pPr>
            <w:r>
              <w:rPr>
                <w:rFonts w:ascii="Arial" w:cs="Arial" w:eastAsia="Arial" w:hAnsi="Arial"/>
                <w:sz w:val="12"/>
                <w:szCs w:val="12"/>
                <w:color w:val="0000EE"/>
              </w:rPr>
              <w:t>Fees to Auditors Appointed at the Annual General Meeting</w:t>
            </w: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148</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160" w:type="dxa"/>
            <w:vAlign w:val="bottom"/>
            <w:tcBorders>
              <w:top w:val="single" w:sz="8" w:color="0000EE"/>
              <w:bottom w:val="single" w:sz="8" w:color="0000EE"/>
            </w:tcBorders>
            <w:gridSpan w:val="2"/>
          </w:tcPr>
          <w:p>
            <w:pPr>
              <w:spacing w:after="0" w:line="116" w:lineRule="exact"/>
              <w:rPr>
                <w:sz w:val="20"/>
                <w:szCs w:val="20"/>
                <w:color w:val="auto"/>
              </w:rPr>
            </w:pPr>
            <w:r>
              <w:rPr>
                <w:rFonts w:ascii="Arial" w:cs="Arial" w:eastAsia="Arial" w:hAnsi="Arial"/>
                <w:sz w:val="12"/>
                <w:szCs w:val="12"/>
                <w:color w:val="0000EE"/>
              </w:rPr>
              <w:t>19</w:t>
            </w:r>
          </w:p>
        </w:tc>
        <w:tc>
          <w:tcPr>
            <w:tcW w:w="2060" w:type="dxa"/>
            <w:vAlign w:val="bottom"/>
            <w:tcBorders>
              <w:top w:val="single" w:sz="8" w:color="0000EE"/>
              <w:bottom w:val="single" w:sz="8" w:color="0000EE"/>
            </w:tcBorders>
            <w:gridSpan w:val="20"/>
          </w:tcPr>
          <w:p>
            <w:pPr>
              <w:spacing w:after="0" w:line="116" w:lineRule="exact"/>
              <w:rPr>
                <w:sz w:val="20"/>
                <w:szCs w:val="20"/>
                <w:color w:val="auto"/>
              </w:rPr>
            </w:pPr>
            <w:r>
              <w:rPr>
                <w:rFonts w:ascii="Arial" w:cs="Arial" w:eastAsia="Arial" w:hAnsi="Arial"/>
                <w:sz w:val="12"/>
                <w:szCs w:val="12"/>
                <w:color w:val="0000EE"/>
              </w:rPr>
              <w:t>Adjustments to Cash Flow Statements</w:t>
            </w:r>
          </w:p>
        </w:tc>
        <w:tc>
          <w:tcPr>
            <w:tcW w:w="1080" w:type="dxa"/>
            <w:vAlign w:val="bottom"/>
            <w:tcBorders>
              <w:top w:val="single" w:sz="8" w:color="0000EE"/>
            </w:tcBorders>
            <w:gridSpan w:val="2"/>
          </w:tcPr>
          <w:p>
            <w:pPr>
              <w:spacing w:after="0"/>
              <w:rPr>
                <w:sz w:val="10"/>
                <w:szCs w:val="10"/>
                <w:color w:val="auto"/>
              </w:rPr>
            </w:pPr>
          </w:p>
        </w:tc>
        <w:tc>
          <w:tcPr>
            <w:tcW w:w="5280" w:type="dxa"/>
            <w:vAlign w:val="bottom"/>
            <w:gridSpan w:val="2"/>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Arial" w:cs="Arial" w:eastAsia="Arial" w:hAnsi="Arial"/>
                <w:sz w:val="12"/>
                <w:szCs w:val="12"/>
                <w:color w:val="auto"/>
                <w:w w:val="89"/>
              </w:rPr>
              <w:t>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3" w:name="page134"/>
    <w:bookmarkEnd w:id="13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 of the Parent Company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Income Statements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40" w:type="dxa"/>
            <w:vAlign w:val="bottom"/>
            <w:vMerge w:val="restart"/>
          </w:tcPr>
          <w:p>
            <w:pPr>
              <w:spacing w:after="0"/>
              <w:rPr>
                <w:sz w:val="20"/>
                <w:szCs w:val="20"/>
                <w:color w:val="auto"/>
              </w:rPr>
            </w:pPr>
            <w:r>
              <w:rPr>
                <w:rFonts w:ascii="Arial" w:cs="Arial" w:eastAsia="Arial" w:hAnsi="Arial"/>
                <w:sz w:val="10"/>
                <w:szCs w:val="10"/>
                <w:color w:val="auto"/>
              </w:rPr>
              <w:t>(DKK million)</w:t>
            </w:r>
          </w:p>
        </w:tc>
        <w:tc>
          <w:tcPr>
            <w:tcW w:w="860" w:type="dxa"/>
            <w:vAlign w:val="bottom"/>
            <w:gridSpan w:val="2"/>
          </w:tcPr>
          <w:p>
            <w:pPr>
              <w:ind w:left="300"/>
              <w:spacing w:after="0"/>
              <w:rPr>
                <w:sz w:val="20"/>
                <w:szCs w:val="20"/>
                <w:color w:val="auto"/>
              </w:rPr>
            </w:pPr>
            <w:r>
              <w:rPr>
                <w:rFonts w:ascii="Arial" w:cs="Arial" w:eastAsia="Arial" w:hAnsi="Arial"/>
                <w:sz w:val="10"/>
                <w:szCs w:val="10"/>
                <w:color w:val="auto"/>
              </w:rPr>
              <w:t>Note</w:t>
            </w:r>
          </w:p>
        </w:tc>
        <w:tc>
          <w:tcPr>
            <w:tcW w:w="680" w:type="dxa"/>
            <w:vAlign w:val="bottom"/>
          </w:tcPr>
          <w:p>
            <w:pPr>
              <w:jc w:val="right"/>
              <w:spacing w:after="0"/>
              <w:rPr>
                <w:sz w:val="20"/>
                <w:szCs w:val="20"/>
                <w:color w:val="auto"/>
              </w:rPr>
            </w:pPr>
            <w:r>
              <w:rPr>
                <w:rFonts w:ascii="Arial" w:cs="Arial" w:eastAsia="Arial" w:hAnsi="Arial"/>
                <w:sz w:val="10"/>
                <w:szCs w:val="10"/>
                <w:color w:val="auto"/>
              </w:rPr>
              <w:t>2022</w:t>
            </w:r>
          </w:p>
        </w:tc>
        <w:tc>
          <w:tcPr>
            <w:tcW w:w="1220" w:type="dxa"/>
            <w:vAlign w:val="bottom"/>
            <w:gridSpan w:val="3"/>
          </w:tcPr>
          <w:p>
            <w:pPr>
              <w:jc w:val="right"/>
              <w:ind w:right="52"/>
              <w:spacing w:after="0"/>
              <w:rPr>
                <w:sz w:val="20"/>
                <w:szCs w:val="20"/>
                <w:color w:val="auto"/>
              </w:rPr>
            </w:pPr>
            <w:r>
              <w:rPr>
                <w:rFonts w:ascii="Arial" w:cs="Arial" w:eastAsia="Arial" w:hAnsi="Arial"/>
                <w:sz w:val="10"/>
                <w:szCs w:val="10"/>
                <w:color w:val="auto"/>
              </w:rPr>
              <w:t>2021</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jc w:val="right"/>
              <w:ind w:right="392"/>
              <w:spacing w:after="0"/>
              <w:rPr>
                <w:sz w:val="20"/>
                <w:szCs w:val="20"/>
                <w:color w:val="auto"/>
              </w:rPr>
            </w:pPr>
            <w:r>
              <w:rPr>
                <w:rFonts w:ascii="Arial" w:cs="Arial" w:eastAsia="Arial" w:hAnsi="Arial"/>
                <w:sz w:val="10"/>
                <w:szCs w:val="10"/>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40" w:type="dxa"/>
            <w:vAlign w:val="bottom"/>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jc w:val="center"/>
              <w:ind w:left="292"/>
              <w:spacing w:after="0"/>
              <w:rPr>
                <w:sz w:val="20"/>
                <w:szCs w:val="20"/>
                <w:color w:val="auto"/>
              </w:rPr>
            </w:pPr>
            <w:r>
              <w:rPr>
                <w:rFonts w:ascii="Arial" w:cs="Arial" w:eastAsia="Arial" w:hAnsi="Arial"/>
                <w:sz w:val="10"/>
                <w:szCs w:val="10"/>
                <w:color w:val="auto"/>
                <w:w w:val="95"/>
              </w:rPr>
              <w:t>Restated*</w:t>
            </w: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color w:val="auto"/>
              </w:rPr>
              <w:t>Restated*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740" w:type="dxa"/>
            <w:vAlign w:val="bottom"/>
          </w:tcPr>
          <w:p>
            <w:pPr>
              <w:spacing w:after="0"/>
              <w:rPr>
                <w:sz w:val="20"/>
                <w:szCs w:val="20"/>
                <w:color w:val="auto"/>
              </w:rPr>
            </w:pPr>
            <w:r>
              <w:rPr>
                <w:rFonts w:ascii="Arial" w:cs="Arial" w:eastAsia="Arial" w:hAnsi="Arial"/>
                <w:sz w:val="10"/>
                <w:szCs w:val="10"/>
                <w:b w:val="1"/>
                <w:bCs w:val="1"/>
                <w:color w:val="auto"/>
              </w:rPr>
              <w:t>Revenue (restated*)</w:t>
            </w:r>
          </w:p>
        </w:tc>
        <w:tc>
          <w:tcPr>
            <w:tcW w:w="800" w:type="dxa"/>
            <w:vAlign w:val="bottom"/>
          </w:tcPr>
          <w:p>
            <w:pPr>
              <w:jc w:val="center"/>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14,827</w:t>
            </w: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8,606</w:t>
            </w:r>
          </w:p>
        </w:tc>
        <w:tc>
          <w:tcPr>
            <w:tcW w:w="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20"/>
                <w:szCs w:val="20"/>
                <w:color w:val="auto"/>
              </w:rPr>
            </w:pPr>
            <w:r>
              <w:rPr>
                <w:rFonts w:ascii="Arial" w:cs="Arial" w:eastAsia="Arial" w:hAnsi="Arial"/>
                <w:sz w:val="10"/>
                <w:szCs w:val="10"/>
                <w:color w:val="auto"/>
              </w:rPr>
              <w:t>Research and development expenses (restated*)</w:t>
            </w:r>
          </w:p>
        </w:tc>
        <w:tc>
          <w:tcPr>
            <w:tcW w:w="800" w:type="dxa"/>
            <w:vAlign w:val="bottom"/>
          </w:tcPr>
          <w:p>
            <w:pPr>
              <w:jc w:val="center"/>
              <w:spacing w:after="0"/>
              <w:rPr>
                <w:sz w:val="20"/>
                <w:szCs w:val="20"/>
                <w:color w:val="auto"/>
              </w:rPr>
            </w:pPr>
            <w:r>
              <w:rPr>
                <w:rFonts w:ascii="Arial" w:cs="Arial" w:eastAsia="Arial" w:hAnsi="Arial"/>
                <w:sz w:val="10"/>
                <w:szCs w:val="10"/>
                <w:color w:val="auto"/>
                <w:w w:val="93"/>
              </w:rPr>
              <w:t>3, 5, 6</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(6,277)</w:t>
            </w:r>
          </w:p>
        </w:tc>
        <w:tc>
          <w:tcPr>
            <w:tcW w:w="76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w w:val="94"/>
              </w:rPr>
              <w:t>(3,870)</w:t>
            </w:r>
          </w:p>
        </w:tc>
        <w:tc>
          <w:tcPr>
            <w:tcW w:w="1120" w:type="dxa"/>
            <w:vAlign w:val="bottom"/>
            <w:gridSpan w:val="2"/>
          </w:tcPr>
          <w:p>
            <w:pPr>
              <w:jc w:val="right"/>
              <w:ind w:right="20"/>
              <w:spacing w:after="0"/>
              <w:rPr>
                <w:sz w:val="20"/>
                <w:szCs w:val="20"/>
                <w:color w:val="auto"/>
              </w:rPr>
            </w:pPr>
            <w:r>
              <w:rPr>
                <w:rFonts w:ascii="Arial" w:cs="Arial" w:eastAsia="Arial" w:hAnsi="Arial"/>
                <w:sz w:val="10"/>
                <w:szCs w:val="10"/>
                <w:color w:val="auto"/>
              </w:rPr>
              <w:t>(2,960)</w:t>
            </w:r>
          </w:p>
        </w:tc>
        <w:tc>
          <w:tcPr>
            <w:tcW w:w="0" w:type="dxa"/>
            <w:vAlign w:val="bottom"/>
          </w:tcPr>
          <w:p>
            <w:pPr>
              <w:spacing w:after="0"/>
              <w:rPr>
                <w:sz w:val="1"/>
                <w:szCs w:val="1"/>
                <w:color w:val="auto"/>
              </w:rPr>
            </w:pPr>
          </w:p>
        </w:tc>
      </w:tr>
      <w:tr>
        <w:trPr>
          <w:trHeight w:val="114"/>
        </w:trPr>
        <w:tc>
          <w:tcPr>
            <w:tcW w:w="4740" w:type="dxa"/>
            <w:vAlign w:val="bottom"/>
          </w:tcPr>
          <w:p>
            <w:pPr>
              <w:spacing w:after="0" w:line="114" w:lineRule="exact"/>
              <w:rPr>
                <w:sz w:val="20"/>
                <w:szCs w:val="20"/>
                <w:color w:val="auto"/>
              </w:rPr>
            </w:pPr>
            <w:r>
              <w:rPr>
                <w:rFonts w:ascii="Arial" w:cs="Arial" w:eastAsia="Arial" w:hAnsi="Arial"/>
                <w:sz w:val="10"/>
                <w:szCs w:val="10"/>
                <w:color w:val="auto"/>
              </w:rPr>
              <w:t>Selling, general and administrative expenses (restated*)</w:t>
            </w:r>
          </w:p>
        </w:tc>
        <w:tc>
          <w:tcPr>
            <w:tcW w:w="800" w:type="dxa"/>
            <w:vAlign w:val="bottom"/>
          </w:tcPr>
          <w:p>
            <w:pPr>
              <w:jc w:val="center"/>
              <w:spacing w:after="0" w:line="114" w:lineRule="exact"/>
              <w:rPr>
                <w:sz w:val="20"/>
                <w:szCs w:val="20"/>
                <w:color w:val="auto"/>
              </w:rPr>
            </w:pPr>
            <w:r>
              <w:rPr>
                <w:rFonts w:ascii="Arial" w:cs="Arial" w:eastAsia="Arial" w:hAnsi="Arial"/>
                <w:sz w:val="10"/>
                <w:szCs w:val="10"/>
                <w:color w:val="auto"/>
                <w:w w:val="95"/>
              </w:rPr>
              <w:t>3, 6</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(2,728)</w:t>
            </w:r>
          </w:p>
        </w:tc>
        <w:tc>
          <w:tcPr>
            <w:tcW w:w="760" w:type="dxa"/>
            <w:vAlign w:val="bottom"/>
          </w:tcPr>
          <w:p>
            <w:pPr>
              <w:spacing w:after="0"/>
              <w:rPr>
                <w:sz w:val="9"/>
                <w:szCs w:val="9"/>
                <w:color w:val="auto"/>
              </w:rPr>
            </w:pPr>
          </w:p>
        </w:tc>
        <w:tc>
          <w:tcPr>
            <w:tcW w:w="36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w w:val="94"/>
              </w:rPr>
              <w:t>(1,219)</w:t>
            </w:r>
          </w:p>
        </w:tc>
        <w:tc>
          <w:tcPr>
            <w:tcW w:w="112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(599)</w:t>
            </w:r>
          </w:p>
        </w:tc>
        <w:tc>
          <w:tcPr>
            <w:tcW w:w="0" w:type="dxa"/>
            <w:vAlign w:val="bottom"/>
          </w:tcPr>
          <w:p>
            <w:pPr>
              <w:spacing w:after="0"/>
              <w:rPr>
                <w:sz w:val="1"/>
                <w:szCs w:val="1"/>
                <w:color w:val="auto"/>
              </w:rPr>
            </w:pPr>
          </w:p>
        </w:tc>
      </w:tr>
      <w:tr>
        <w:trPr>
          <w:trHeight w:val="98"/>
        </w:trPr>
        <w:tc>
          <w:tcPr>
            <w:tcW w:w="4740" w:type="dxa"/>
            <w:vAlign w:val="bottom"/>
          </w:tcPr>
          <w:p>
            <w:pPr>
              <w:spacing w:after="0" w:line="98" w:lineRule="exact"/>
              <w:rPr>
                <w:sz w:val="20"/>
                <w:szCs w:val="20"/>
                <w:color w:val="auto"/>
              </w:rPr>
            </w:pPr>
            <w:r>
              <w:rPr>
                <w:rFonts w:ascii="Arial" w:cs="Arial" w:eastAsia="Arial" w:hAnsi="Arial"/>
                <w:sz w:val="10"/>
                <w:szCs w:val="10"/>
                <w:b w:val="1"/>
                <w:bCs w:val="1"/>
                <w:color w:val="auto"/>
              </w:rPr>
              <w:t>Operating expenses (restated*)</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(9,005)</w:t>
            </w: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4"/>
              </w:rPr>
              <w:t>(5,089)</w:t>
            </w:r>
          </w:p>
        </w:tc>
        <w:tc>
          <w:tcPr>
            <w:tcW w:w="40" w:type="dxa"/>
            <w:vAlign w:val="bottom"/>
          </w:tcPr>
          <w:p>
            <w:pPr>
              <w:spacing w:after="0"/>
              <w:rPr>
                <w:sz w:val="8"/>
                <w:szCs w:val="8"/>
                <w:color w:val="auto"/>
              </w:rPr>
            </w:pPr>
          </w:p>
        </w:tc>
        <w:tc>
          <w:tcPr>
            <w:tcW w:w="1120" w:type="dxa"/>
            <w:vAlign w:val="bottom"/>
            <w:tcBorders>
              <w:top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(3,559)</w:t>
            </w: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0"/>
                <w:szCs w:val="10"/>
                <w:b w:val="1"/>
                <w:bCs w:val="1"/>
                <w:color w:val="auto"/>
              </w:rPr>
              <w:t>Operating profit (restated*)</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5,822</w:t>
            </w: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3,517</w:t>
            </w:r>
          </w:p>
        </w:tc>
        <w:tc>
          <w:tcPr>
            <w:tcW w:w="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Arial" w:cs="Arial" w:eastAsia="Arial" w:hAnsi="Arial"/>
                <w:sz w:val="10"/>
                <w:szCs w:val="10"/>
                <w:color w:val="auto"/>
              </w:rPr>
              <w:t>Financial income</w:t>
            </w:r>
          </w:p>
        </w:tc>
        <w:tc>
          <w:tcPr>
            <w:tcW w:w="80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1,300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1,610</w:t>
            </w:r>
          </w:p>
        </w:tc>
        <w:tc>
          <w:tcPr>
            <w:tcW w:w="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740" w:type="dxa"/>
            <w:vAlign w:val="bottom"/>
          </w:tcPr>
          <w:p>
            <w:pPr>
              <w:spacing w:after="0" w:line="114" w:lineRule="exact"/>
              <w:rPr>
                <w:sz w:val="20"/>
                <w:szCs w:val="20"/>
                <w:color w:val="auto"/>
              </w:rPr>
            </w:pPr>
            <w:r>
              <w:rPr>
                <w:rFonts w:ascii="Arial" w:cs="Arial" w:eastAsia="Arial" w:hAnsi="Arial"/>
                <w:sz w:val="10"/>
                <w:szCs w:val="10"/>
                <w:color w:val="auto"/>
              </w:rPr>
              <w:t>Financial expenses</w:t>
            </w:r>
          </w:p>
        </w:tc>
        <w:tc>
          <w:tcPr>
            <w:tcW w:w="800" w:type="dxa"/>
            <w:vAlign w:val="bottom"/>
          </w:tcPr>
          <w:p>
            <w:pPr>
              <w:jc w:val="center"/>
              <w:spacing w:after="0" w:line="114" w:lineRule="exact"/>
              <w:rPr>
                <w:sz w:val="20"/>
                <w:szCs w:val="20"/>
                <w:color w:val="auto"/>
              </w:rPr>
            </w:pPr>
            <w:r>
              <w:rPr>
                <w:rFonts w:ascii="Arial" w:cs="Arial" w:eastAsia="Arial" w:hAnsi="Arial"/>
                <w:sz w:val="10"/>
                <w:szCs w:val="10"/>
                <w:color w:val="auto"/>
                <w:w w:val="89"/>
              </w:rPr>
              <w:t>13</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(369)</w:t>
            </w:r>
          </w:p>
        </w:tc>
        <w:tc>
          <w:tcPr>
            <w:tcW w:w="760" w:type="dxa"/>
            <w:vAlign w:val="bottom"/>
          </w:tcPr>
          <w:p>
            <w:pPr>
              <w:spacing w:after="0"/>
              <w:rPr>
                <w:sz w:val="9"/>
                <w:szCs w:val="9"/>
                <w:color w:val="auto"/>
              </w:rPr>
            </w:pPr>
          </w:p>
        </w:tc>
        <w:tc>
          <w:tcPr>
            <w:tcW w:w="36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(254)</w:t>
            </w:r>
          </w:p>
        </w:tc>
        <w:tc>
          <w:tcPr>
            <w:tcW w:w="112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(1,519)</w:t>
            </w: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0"/>
                <w:szCs w:val="10"/>
                <w:b w:val="1"/>
                <w:bCs w:val="1"/>
                <w:color w:val="auto"/>
              </w:rPr>
              <w:t>Net profit before tax (restated*)</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6,753</w:t>
            </w: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4,873</w:t>
            </w:r>
          </w:p>
        </w:tc>
        <w:tc>
          <w:tcPr>
            <w:tcW w:w="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40" w:type="dxa"/>
            <w:vAlign w:val="bottom"/>
          </w:tcPr>
          <w:p>
            <w:pPr>
              <w:spacing w:after="0"/>
              <w:rPr>
                <w:sz w:val="20"/>
                <w:szCs w:val="20"/>
                <w:color w:val="auto"/>
              </w:rPr>
            </w:pPr>
            <w:r>
              <w:rPr>
                <w:rFonts w:ascii="Arial" w:cs="Arial" w:eastAsia="Arial" w:hAnsi="Arial"/>
                <w:sz w:val="10"/>
                <w:szCs w:val="10"/>
                <w:color w:val="auto"/>
              </w:rPr>
              <w:t>Corporate tax</w:t>
            </w:r>
          </w:p>
        </w:tc>
        <w:tc>
          <w:tcPr>
            <w:tcW w:w="800" w:type="dxa"/>
            <w:vAlign w:val="bottom"/>
          </w:tcPr>
          <w:p>
            <w:pPr>
              <w:jc w:val="center"/>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(1,511)</w:t>
            </w:r>
          </w:p>
        </w:tc>
        <w:tc>
          <w:tcPr>
            <w:tcW w:w="76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(975)</w:t>
            </w:r>
          </w:p>
        </w:tc>
        <w:tc>
          <w:tcPr>
            <w:tcW w:w="1120" w:type="dxa"/>
            <w:vAlign w:val="bottom"/>
            <w:gridSpan w:val="2"/>
          </w:tcPr>
          <w:p>
            <w:pPr>
              <w:jc w:val="right"/>
              <w:ind w:right="20"/>
              <w:spacing w:after="0"/>
              <w:rPr>
                <w:sz w:val="20"/>
                <w:szCs w:val="20"/>
                <w:color w:val="auto"/>
              </w:rPr>
            </w:pPr>
            <w:r>
              <w:rPr>
                <w:rFonts w:ascii="Arial" w:cs="Arial" w:eastAsia="Arial" w:hAnsi="Arial"/>
                <w:sz w:val="10"/>
                <w:szCs w:val="10"/>
                <w:color w:val="auto"/>
              </w:rPr>
              <w:t>(1,077)</w:t>
            </w:r>
          </w:p>
        </w:tc>
        <w:tc>
          <w:tcPr>
            <w:tcW w:w="0" w:type="dxa"/>
            <w:vAlign w:val="bottom"/>
          </w:tcPr>
          <w:p>
            <w:pPr>
              <w:spacing w:after="0"/>
              <w:rPr>
                <w:sz w:val="1"/>
                <w:szCs w:val="1"/>
                <w:color w:val="auto"/>
              </w:rPr>
            </w:pPr>
          </w:p>
        </w:tc>
      </w:tr>
      <w:tr>
        <w:trPr>
          <w:trHeight w:val="207"/>
        </w:trPr>
        <w:tc>
          <w:tcPr>
            <w:tcW w:w="4740" w:type="dxa"/>
            <w:vAlign w:val="bottom"/>
          </w:tcPr>
          <w:p>
            <w:pPr>
              <w:spacing w:after="0"/>
              <w:rPr>
                <w:sz w:val="20"/>
                <w:szCs w:val="20"/>
                <w:color w:val="auto"/>
              </w:rPr>
            </w:pPr>
            <w:r>
              <w:rPr>
                <w:rFonts w:ascii="Arial" w:cs="Arial" w:eastAsia="Arial" w:hAnsi="Arial"/>
                <w:sz w:val="10"/>
                <w:szCs w:val="10"/>
                <w:b w:val="1"/>
                <w:bCs w:val="1"/>
                <w:color w:val="auto"/>
              </w:rPr>
              <w:t>Net profit (restated*)</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5,242</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3,898</w:t>
            </w:r>
          </w:p>
        </w:tc>
        <w:tc>
          <w:tcPr>
            <w:tcW w:w="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0"/>
                <w:szCs w:val="10"/>
                <w:color w:val="auto"/>
              </w:rPr>
              <w:t>* See Note 1 for details regarding the restatement as a result of errors and change in accounting policies.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4" w:name="page135"/>
    <w:bookmarkEnd w:id="13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Sheets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312"/>
              <w:spacing w:after="0"/>
              <w:rPr>
                <w:sz w:val="20"/>
                <w:szCs w:val="20"/>
                <w:color w:val="auto"/>
              </w:rPr>
            </w:pPr>
            <w:r>
              <w:rPr>
                <w:rFonts w:ascii="Arial" w:cs="Arial" w:eastAsia="Arial" w:hAnsi="Arial"/>
                <w:sz w:val="10"/>
                <w:szCs w:val="10"/>
                <w:color w:val="auto"/>
                <w:w w:val="98"/>
              </w:rPr>
              <w:t>December 31,</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December 31,</w:t>
            </w:r>
          </w:p>
        </w:tc>
        <w:tc>
          <w:tcPr>
            <w:tcW w:w="1180" w:type="dxa"/>
            <w:vAlign w:val="bottom"/>
          </w:tcPr>
          <w:p>
            <w:pPr>
              <w:jc w:val="center"/>
              <w:spacing w:after="0"/>
              <w:rPr>
                <w:sz w:val="20"/>
                <w:szCs w:val="20"/>
                <w:color w:val="auto"/>
              </w:rPr>
            </w:pPr>
            <w:r>
              <w:rPr>
                <w:rFonts w:ascii="Arial" w:cs="Arial" w:eastAsia="Arial" w:hAnsi="Arial"/>
                <w:sz w:val="10"/>
                <w:szCs w:val="10"/>
                <w:color w:val="auto"/>
                <w:w w:val="98"/>
              </w:rPr>
              <w:t>January 1,</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(DKK million)</w:t>
            </w:r>
          </w:p>
        </w:tc>
        <w:tc>
          <w:tcPr>
            <w:tcW w:w="600" w:type="dxa"/>
            <w:vAlign w:val="bottom"/>
            <w:gridSpan w:val="2"/>
          </w:tcPr>
          <w:p>
            <w:pPr>
              <w:ind w:left="160"/>
              <w:spacing w:after="0" w:line="114" w:lineRule="exact"/>
              <w:rPr>
                <w:sz w:val="20"/>
                <w:szCs w:val="20"/>
                <w:color w:val="auto"/>
              </w:rPr>
            </w:pPr>
            <w:r>
              <w:rPr>
                <w:rFonts w:ascii="Arial" w:cs="Arial" w:eastAsia="Arial" w:hAnsi="Arial"/>
                <w:sz w:val="10"/>
                <w:szCs w:val="10"/>
                <w:color w:val="auto"/>
              </w:rPr>
              <w:t>Note</w:t>
            </w:r>
          </w:p>
        </w:tc>
        <w:tc>
          <w:tcPr>
            <w:tcW w:w="1020" w:type="dxa"/>
            <w:vAlign w:val="bottom"/>
          </w:tcPr>
          <w:p>
            <w:pPr>
              <w:jc w:val="right"/>
              <w:ind w:right="172"/>
              <w:spacing w:after="0" w:line="114" w:lineRule="exact"/>
              <w:rPr>
                <w:sz w:val="20"/>
                <w:szCs w:val="20"/>
                <w:color w:val="auto"/>
              </w:rPr>
            </w:pPr>
            <w:r>
              <w:rPr>
                <w:rFonts w:ascii="Arial" w:cs="Arial" w:eastAsia="Arial" w:hAnsi="Arial"/>
                <w:sz w:val="10"/>
                <w:szCs w:val="10"/>
                <w:color w:val="auto"/>
              </w:rPr>
              <w:t>2022</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jc w:val="center"/>
              <w:spacing w:after="0" w:line="114" w:lineRule="exact"/>
              <w:rPr>
                <w:sz w:val="20"/>
                <w:szCs w:val="20"/>
                <w:color w:val="auto"/>
              </w:rPr>
            </w:pPr>
            <w:r>
              <w:rPr>
                <w:rFonts w:ascii="Arial" w:cs="Arial" w:eastAsia="Arial" w:hAnsi="Arial"/>
                <w:sz w:val="10"/>
                <w:szCs w:val="10"/>
                <w:color w:val="auto"/>
                <w:w w:val="98"/>
              </w:rPr>
              <w:t>2021</w:t>
            </w:r>
          </w:p>
        </w:tc>
        <w:tc>
          <w:tcPr>
            <w:tcW w:w="120" w:type="dxa"/>
            <w:vAlign w:val="bottom"/>
          </w:tcPr>
          <w:p>
            <w:pPr>
              <w:spacing w:after="0"/>
              <w:rPr>
                <w:sz w:val="9"/>
                <w:szCs w:val="9"/>
                <w:color w:val="auto"/>
              </w:rPr>
            </w:pPr>
          </w:p>
        </w:tc>
        <w:tc>
          <w:tcPr>
            <w:tcW w:w="1180" w:type="dxa"/>
            <w:vAlign w:val="bottom"/>
          </w:tcPr>
          <w:p>
            <w:pPr>
              <w:jc w:val="center"/>
              <w:spacing w:after="0" w:line="114" w:lineRule="exact"/>
              <w:rPr>
                <w:sz w:val="20"/>
                <w:szCs w:val="20"/>
                <w:color w:val="auto"/>
              </w:rPr>
            </w:pPr>
            <w:r>
              <w:rPr>
                <w:rFonts w:ascii="Arial" w:cs="Arial" w:eastAsia="Arial" w:hAnsi="Arial"/>
                <w:sz w:val="10"/>
                <w:szCs w:val="10"/>
                <w:color w:val="auto"/>
                <w:w w:val="98"/>
              </w:rPr>
              <w:t>2021</w:t>
            </w:r>
          </w:p>
        </w:tc>
        <w:tc>
          <w:tcPr>
            <w:tcW w:w="0" w:type="dxa"/>
            <w:vAlign w:val="bottom"/>
          </w:tcPr>
          <w:p>
            <w:pPr>
              <w:spacing w:after="0"/>
              <w:rPr>
                <w:sz w:val="1"/>
                <w:szCs w:val="1"/>
                <w:color w:val="auto"/>
              </w:rPr>
            </w:pPr>
          </w:p>
        </w:tc>
      </w:tr>
      <w:tr>
        <w:trPr>
          <w:trHeight w:val="115"/>
        </w:trPr>
        <w:tc>
          <w:tcPr>
            <w:tcW w:w="43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Restated*</w:t>
            </w:r>
          </w:p>
        </w:tc>
        <w:tc>
          <w:tcPr>
            <w:tcW w:w="120" w:type="dxa"/>
            <w:vAlign w:val="bottom"/>
          </w:tcPr>
          <w:p>
            <w:pPr>
              <w:spacing w:after="0"/>
              <w:rPr>
                <w:sz w:val="9"/>
                <w:szCs w:val="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Restated*</w:t>
            </w:r>
          </w:p>
        </w:tc>
        <w:tc>
          <w:tcPr>
            <w:tcW w:w="0" w:type="dxa"/>
            <w:vAlign w:val="bottom"/>
          </w:tcPr>
          <w:p>
            <w:pPr>
              <w:spacing w:after="0"/>
              <w:rPr>
                <w:sz w:val="1"/>
                <w:szCs w:val="1"/>
                <w:color w:val="auto"/>
              </w:rPr>
            </w:pPr>
          </w:p>
        </w:tc>
      </w:tr>
      <w:tr>
        <w:trPr>
          <w:trHeight w:val="110"/>
        </w:trPr>
        <w:tc>
          <w:tcPr>
            <w:tcW w:w="43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0"/>
                <w:szCs w:val="10"/>
                <w:color w:val="auto"/>
              </w:rPr>
              <w:t>Intangible assets</w:t>
            </w:r>
          </w:p>
        </w:tc>
        <w:tc>
          <w:tcPr>
            <w:tcW w:w="520" w:type="dxa"/>
            <w:vAlign w:val="bottom"/>
          </w:tcPr>
          <w:p>
            <w:pPr>
              <w:jc w:val="center"/>
              <w:spacing w:after="0"/>
              <w:rPr>
                <w:sz w:val="20"/>
                <w:szCs w:val="20"/>
                <w:color w:val="auto"/>
              </w:rPr>
            </w:pPr>
            <w:r>
              <w:rPr>
                <w:rFonts w:ascii="Arial" w:cs="Arial" w:eastAsia="Arial" w:hAnsi="Arial"/>
                <w:sz w:val="10"/>
                <w:szCs w:val="10"/>
                <w:color w:val="auto"/>
                <w:w w:val="71"/>
              </w:rPr>
              <w:t>5</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357</w:t>
            </w: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236</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Property and equipment</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6</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26</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13</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Right-of-use assets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7</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9</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12</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Investments in subsidiaries (restated*)</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rPr>
              <w:t>16</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2,806</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2,506</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1,954</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Receivables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9</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35</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8</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Deferred tax assets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4</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243</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252</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Other investments</w:t>
            </w:r>
          </w:p>
        </w:tc>
        <w:tc>
          <w:tcPr>
            <w:tcW w:w="520" w:type="dxa"/>
            <w:vAlign w:val="bottom"/>
          </w:tcPr>
          <w:p>
            <w:pPr>
              <w:jc w:val="center"/>
              <w:spacing w:after="0" w:line="114" w:lineRule="exact"/>
              <w:rPr>
                <w:sz w:val="20"/>
                <w:szCs w:val="20"/>
                <w:color w:val="auto"/>
              </w:rPr>
            </w:pPr>
            <w:r>
              <w:rPr>
                <w:rFonts w:ascii="Arial" w:cs="Arial" w:eastAsia="Arial" w:hAnsi="Arial"/>
                <w:sz w:val="10"/>
                <w:szCs w:val="10"/>
                <w:color w:val="auto"/>
                <w:w w:val="71"/>
              </w:rPr>
              <w:t>8</w:t>
            </w:r>
          </w:p>
        </w:tc>
        <w:tc>
          <w:tcPr>
            <w:tcW w:w="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66</w:t>
            </w:r>
          </w:p>
        </w:tc>
        <w:tc>
          <w:tcPr>
            <w:tcW w:w="60" w:type="dxa"/>
            <w:vAlign w:val="bottom"/>
          </w:tcPr>
          <w:p>
            <w:pPr>
              <w:spacing w:after="0"/>
              <w:rPr>
                <w:sz w:val="9"/>
                <w:szCs w:val="9"/>
                <w:color w:val="auto"/>
              </w:rPr>
            </w:pPr>
          </w:p>
        </w:tc>
        <w:tc>
          <w:tcPr>
            <w:tcW w:w="12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27</w:t>
            </w:r>
          </w:p>
        </w:tc>
        <w:tc>
          <w:tcPr>
            <w:tcW w:w="120" w:type="dxa"/>
            <w:vAlign w:val="bottom"/>
          </w:tcPr>
          <w:p>
            <w:pPr>
              <w:spacing w:after="0"/>
              <w:rPr>
                <w:sz w:val="9"/>
                <w:szCs w:val="9"/>
                <w:color w:val="auto"/>
              </w:rPr>
            </w:pPr>
          </w:p>
        </w:tc>
        <w:tc>
          <w:tcPr>
            <w:tcW w:w="11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non-current assets (restated*)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3,542</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3,054</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2,489</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20"/>
                <w:szCs w:val="20"/>
                <w:color w:val="auto"/>
              </w:rPr>
            </w:pPr>
            <w:r>
              <w:rPr>
                <w:rFonts w:ascii="Arial" w:cs="Arial" w:eastAsia="Arial" w:hAnsi="Arial"/>
                <w:sz w:val="10"/>
                <w:szCs w:val="10"/>
                <w:color w:val="auto"/>
              </w:rPr>
              <w:t>Corporate tax receivable</w:t>
            </w:r>
          </w:p>
        </w:tc>
        <w:tc>
          <w:tcPr>
            <w:tcW w:w="520" w:type="dxa"/>
            <w:vAlign w:val="bottom"/>
          </w:tcPr>
          <w:p>
            <w:pPr>
              <w:jc w:val="center"/>
              <w:spacing w:after="0"/>
              <w:rPr>
                <w:sz w:val="20"/>
                <w:szCs w:val="20"/>
                <w:color w:val="auto"/>
              </w:rPr>
            </w:pPr>
            <w:r>
              <w:rPr>
                <w:rFonts w:ascii="Arial" w:cs="Arial" w:eastAsia="Arial" w:hAnsi="Arial"/>
                <w:sz w:val="10"/>
                <w:szCs w:val="10"/>
                <w:color w:val="auto"/>
                <w:w w:val="71"/>
              </w:rPr>
              <w:t>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150</w:t>
            </w: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250</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Receivables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9</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5,756</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3,187</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2,379</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Receivables from subsidiaries (restated*)</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9</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129</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9</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Marketable securities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w w:val="97"/>
              </w:rPr>
              <w:t>12,431</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10,381</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8,819</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Cash and cash equivalents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8,830</w:t>
            </w:r>
          </w:p>
        </w:tc>
        <w:tc>
          <w:tcPr>
            <w:tcW w:w="60" w:type="dxa"/>
            <w:vAlign w:val="bottom"/>
          </w:tcPr>
          <w:p>
            <w:pPr>
              <w:spacing w:after="0"/>
              <w:rPr>
                <w:sz w:val="9"/>
                <w:szCs w:val="9"/>
                <w:color w:val="auto"/>
              </w:rPr>
            </w:pPr>
          </w:p>
        </w:tc>
        <w:tc>
          <w:tcPr>
            <w:tcW w:w="12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8,783</w:t>
            </w:r>
          </w:p>
        </w:tc>
        <w:tc>
          <w:tcPr>
            <w:tcW w:w="120" w:type="dxa"/>
            <w:vAlign w:val="bottom"/>
          </w:tcPr>
          <w:p>
            <w:pPr>
              <w:spacing w:after="0"/>
              <w:rPr>
                <w:sz w:val="9"/>
                <w:szCs w:val="9"/>
                <w:color w:val="auto"/>
              </w:rPr>
            </w:pPr>
          </w:p>
        </w:tc>
        <w:tc>
          <w:tcPr>
            <w:tcW w:w="11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7,133</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current assets (restated*)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27,296</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22,399</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18,654</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assets (restated*)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30,838</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25,453</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21,143</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0"/>
                <w:szCs w:val="10"/>
                <w:b w:val="1"/>
                <w:bCs w:val="1"/>
                <w:color w:val="auto"/>
              </w:rPr>
              <w:t>SHAREHOLDERS' EQUITY AND LIABILITIES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0"/>
                <w:szCs w:val="10"/>
                <w:color w:val="auto"/>
              </w:rPr>
              <w:t>Share capital</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66</w:t>
            </w: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66</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Share premium</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w w:val="97"/>
              </w:rPr>
              <w:t>12,309</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12,029</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11,894</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Retained earnings (restated*)</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7"/>
              </w:rPr>
              <w:t>15,900</w:t>
            </w:r>
          </w:p>
        </w:tc>
        <w:tc>
          <w:tcPr>
            <w:tcW w:w="60" w:type="dxa"/>
            <w:vAlign w:val="bottom"/>
          </w:tcPr>
          <w:p>
            <w:pPr>
              <w:spacing w:after="0"/>
              <w:rPr>
                <w:sz w:val="9"/>
                <w:szCs w:val="9"/>
                <w:color w:val="auto"/>
              </w:rPr>
            </w:pPr>
          </w:p>
        </w:tc>
        <w:tc>
          <w:tcPr>
            <w:tcW w:w="12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11,226</w:t>
            </w:r>
          </w:p>
        </w:tc>
        <w:tc>
          <w:tcPr>
            <w:tcW w:w="120" w:type="dxa"/>
            <w:vAlign w:val="bottom"/>
          </w:tcPr>
          <w:p>
            <w:pPr>
              <w:spacing w:after="0"/>
              <w:rPr>
                <w:sz w:val="9"/>
                <w:szCs w:val="9"/>
                <w:color w:val="auto"/>
              </w:rPr>
            </w:pPr>
          </w:p>
        </w:tc>
        <w:tc>
          <w:tcPr>
            <w:tcW w:w="11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7,423</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shareholders' equity (restated*)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28,275</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23,321</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19,383</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20"/>
                <w:szCs w:val="20"/>
                <w:color w:val="auto"/>
              </w:rPr>
            </w:pPr>
            <w:r>
              <w:rPr>
                <w:rFonts w:ascii="Arial" w:cs="Arial" w:eastAsia="Arial" w:hAnsi="Arial"/>
                <w:sz w:val="10"/>
                <w:szCs w:val="10"/>
                <w:color w:val="auto"/>
              </w:rPr>
              <w:t>Lease liabilities</w:t>
            </w:r>
          </w:p>
        </w:tc>
        <w:tc>
          <w:tcPr>
            <w:tcW w:w="520" w:type="dxa"/>
            <w:vAlign w:val="bottom"/>
          </w:tcPr>
          <w:p>
            <w:pPr>
              <w:jc w:val="center"/>
              <w:spacing w:after="0"/>
              <w:rPr>
                <w:sz w:val="20"/>
                <w:szCs w:val="20"/>
                <w:color w:val="auto"/>
              </w:rPr>
            </w:pPr>
            <w:r>
              <w:rPr>
                <w:rFonts w:ascii="Arial" w:cs="Arial" w:eastAsia="Arial" w:hAnsi="Arial"/>
                <w:sz w:val="10"/>
                <w:szCs w:val="10"/>
                <w:color w:val="auto"/>
                <w:w w:val="71"/>
              </w:rPr>
              <w:t>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Deferred revenue</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480</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487</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487</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Other payables</w:t>
            </w:r>
          </w:p>
        </w:tc>
        <w:tc>
          <w:tcPr>
            <w:tcW w:w="520" w:type="dxa"/>
            <w:vAlign w:val="bottom"/>
          </w:tcPr>
          <w:p>
            <w:pPr>
              <w:jc w:val="center"/>
              <w:spacing w:after="0" w:line="114" w:lineRule="exact"/>
              <w:rPr>
                <w:sz w:val="20"/>
                <w:szCs w:val="20"/>
                <w:color w:val="auto"/>
              </w:rPr>
            </w:pPr>
            <w:r>
              <w:rPr>
                <w:rFonts w:ascii="Arial" w:cs="Arial" w:eastAsia="Arial" w:hAnsi="Arial"/>
                <w:sz w:val="10"/>
                <w:szCs w:val="10"/>
                <w:color w:val="auto"/>
                <w:w w:val="89"/>
              </w:rPr>
              <w:t>11</w:t>
            </w:r>
          </w:p>
        </w:tc>
        <w:tc>
          <w:tcPr>
            <w:tcW w:w="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2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w:t>
            </w:r>
          </w:p>
        </w:tc>
        <w:tc>
          <w:tcPr>
            <w:tcW w:w="120" w:type="dxa"/>
            <w:vAlign w:val="bottom"/>
          </w:tcPr>
          <w:p>
            <w:pPr>
              <w:spacing w:after="0"/>
              <w:rPr>
                <w:sz w:val="9"/>
                <w:szCs w:val="9"/>
                <w:color w:val="auto"/>
              </w:rPr>
            </w:pPr>
          </w:p>
        </w:tc>
        <w:tc>
          <w:tcPr>
            <w:tcW w:w="11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non-current liabilities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480</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493</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503</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20"/>
                <w:szCs w:val="20"/>
                <w:color w:val="auto"/>
              </w:rPr>
            </w:pPr>
            <w:r>
              <w:rPr>
                <w:rFonts w:ascii="Arial" w:cs="Arial" w:eastAsia="Arial" w:hAnsi="Arial"/>
                <w:sz w:val="10"/>
                <w:szCs w:val="10"/>
                <w:color w:val="auto"/>
              </w:rPr>
              <w:t>Payable to subsidiaries</w:t>
            </w:r>
          </w:p>
        </w:tc>
        <w:tc>
          <w:tcPr>
            <w:tcW w:w="520" w:type="dxa"/>
            <w:vAlign w:val="bottom"/>
          </w:tcPr>
          <w:p>
            <w:pPr>
              <w:jc w:val="center"/>
              <w:spacing w:after="0"/>
              <w:rPr>
                <w:sz w:val="20"/>
                <w:szCs w:val="20"/>
                <w:color w:val="auto"/>
              </w:rPr>
            </w:pPr>
            <w:r>
              <w:rPr>
                <w:rFonts w:ascii="Arial" w:cs="Arial" w:eastAsia="Arial" w:hAnsi="Arial"/>
                <w:sz w:val="10"/>
                <w:szCs w:val="10"/>
                <w:color w:val="auto"/>
                <w:w w:val="89"/>
              </w:rPr>
              <w:t>11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1,136</w:t>
            </w: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770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358</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Lease liabilities</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w w:val="71"/>
              </w:rPr>
              <w:t>7</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5</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11</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9"/>
        </w:trPr>
        <w:tc>
          <w:tcPr>
            <w:tcW w:w="4340" w:type="dxa"/>
            <w:vAlign w:val="bottom"/>
          </w:tcPr>
          <w:p>
            <w:pPr>
              <w:spacing w:after="0" w:line="109" w:lineRule="exact"/>
              <w:rPr>
                <w:sz w:val="20"/>
                <w:szCs w:val="20"/>
                <w:color w:val="auto"/>
              </w:rPr>
            </w:pPr>
            <w:r>
              <w:rPr>
                <w:rFonts w:ascii="Arial" w:cs="Arial" w:eastAsia="Arial" w:hAnsi="Arial"/>
                <w:sz w:val="10"/>
                <w:szCs w:val="10"/>
                <w:color w:val="auto"/>
              </w:rPr>
              <w:t>Deferred revenue</w:t>
            </w:r>
          </w:p>
        </w:tc>
        <w:tc>
          <w:tcPr>
            <w:tcW w:w="520" w:type="dxa"/>
            <w:vAlign w:val="bottom"/>
          </w:tcPr>
          <w:p>
            <w:pPr>
              <w:jc w:val="center"/>
              <w:spacing w:after="0" w:line="109" w:lineRule="exact"/>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1280" w:type="dxa"/>
            <w:vAlign w:val="bottom"/>
          </w:tcPr>
          <w:p>
            <w:pPr>
              <w:jc w:val="right"/>
              <w:spacing w:after="0" w:line="109" w:lineRule="exact"/>
              <w:rPr>
                <w:sz w:val="20"/>
                <w:szCs w:val="20"/>
                <w:color w:val="auto"/>
              </w:rPr>
            </w:pPr>
            <w:r>
              <w:rPr>
                <w:rFonts w:ascii="Arial" w:cs="Arial" w:eastAsia="Arial" w:hAnsi="Arial"/>
                <w:sz w:val="10"/>
                <w:szCs w:val="10"/>
                <w:color w:val="auto"/>
              </w:rPr>
              <w:t>26</w:t>
            </w:r>
          </w:p>
        </w:tc>
        <w:tc>
          <w:tcPr>
            <w:tcW w:w="1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14"/>
        </w:trPr>
        <w:tc>
          <w:tcPr>
            <w:tcW w:w="4340" w:type="dxa"/>
            <w:vAlign w:val="bottom"/>
          </w:tcPr>
          <w:p>
            <w:pPr>
              <w:spacing w:after="0" w:line="114" w:lineRule="exact"/>
              <w:rPr>
                <w:sz w:val="20"/>
                <w:szCs w:val="20"/>
                <w:color w:val="auto"/>
              </w:rPr>
            </w:pPr>
            <w:r>
              <w:rPr>
                <w:rFonts w:ascii="Arial" w:cs="Arial" w:eastAsia="Arial" w:hAnsi="Arial"/>
                <w:sz w:val="10"/>
                <w:szCs w:val="10"/>
                <w:color w:val="auto"/>
              </w:rPr>
              <w:t>Other payables</w:t>
            </w:r>
          </w:p>
        </w:tc>
        <w:tc>
          <w:tcPr>
            <w:tcW w:w="520" w:type="dxa"/>
            <w:vAlign w:val="bottom"/>
          </w:tcPr>
          <w:p>
            <w:pPr>
              <w:jc w:val="center"/>
              <w:spacing w:after="0" w:line="114" w:lineRule="exact"/>
              <w:rPr>
                <w:sz w:val="20"/>
                <w:szCs w:val="20"/>
                <w:color w:val="auto"/>
              </w:rPr>
            </w:pPr>
            <w:r>
              <w:rPr>
                <w:rFonts w:ascii="Arial" w:cs="Arial" w:eastAsia="Arial" w:hAnsi="Arial"/>
                <w:sz w:val="10"/>
                <w:szCs w:val="10"/>
                <w:color w:val="auto"/>
                <w:w w:val="89"/>
              </w:rPr>
              <w:t>11</w:t>
            </w:r>
          </w:p>
        </w:tc>
        <w:tc>
          <w:tcPr>
            <w:tcW w:w="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909</w:t>
            </w:r>
          </w:p>
        </w:tc>
        <w:tc>
          <w:tcPr>
            <w:tcW w:w="60" w:type="dxa"/>
            <w:vAlign w:val="bottom"/>
          </w:tcPr>
          <w:p>
            <w:pPr>
              <w:spacing w:after="0"/>
              <w:rPr>
                <w:sz w:val="9"/>
                <w:szCs w:val="9"/>
                <w:color w:val="auto"/>
              </w:rPr>
            </w:pPr>
          </w:p>
        </w:tc>
        <w:tc>
          <w:tcPr>
            <w:tcW w:w="12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832</w:t>
            </w:r>
          </w:p>
        </w:tc>
        <w:tc>
          <w:tcPr>
            <w:tcW w:w="120" w:type="dxa"/>
            <w:vAlign w:val="bottom"/>
          </w:tcPr>
          <w:p>
            <w:pPr>
              <w:spacing w:after="0"/>
              <w:rPr>
                <w:sz w:val="9"/>
                <w:szCs w:val="9"/>
                <w:color w:val="auto"/>
              </w:rPr>
            </w:pPr>
          </w:p>
        </w:tc>
        <w:tc>
          <w:tcPr>
            <w:tcW w:w="11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861</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current liabilities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2,083</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1,639</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1,257</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liabilities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2,563</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2,132</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1,760</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0"/>
                <w:szCs w:val="10"/>
                <w:b w:val="1"/>
                <w:bCs w:val="1"/>
                <w:color w:val="auto"/>
              </w:rPr>
              <w:t>Total shareholders' equity and liabilities (restated*)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30,838</w:t>
            </w: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25,453</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21,143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right="4879" w:firstLine="2"/>
        <w:spacing w:after="0" w:line="248" w:lineRule="auto"/>
        <w:tabs>
          <w:tab w:leader="none" w:pos="84" w:val="left"/>
        </w:tabs>
        <w:numPr>
          <w:ilvl w:val="0"/>
          <w:numId w:val="92"/>
        </w:numPr>
        <w:rPr>
          <w:rFonts w:ascii="Arial" w:cs="Arial" w:eastAsia="Arial" w:hAnsi="Arial"/>
          <w:sz w:val="10"/>
          <w:szCs w:val="10"/>
          <w:color w:val="auto"/>
        </w:rPr>
      </w:pPr>
      <w:r>
        <w:rPr>
          <w:rFonts w:ascii="Arial" w:cs="Arial" w:eastAsia="Arial" w:hAnsi="Arial"/>
          <w:sz w:val="10"/>
          <w:szCs w:val="10"/>
          <w:color w:val="auto"/>
        </w:rPr>
        <w:t>See Note 1 for details regarding the restatement as a result of errors and change in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5" w:name="page136"/>
    <w:bookmarkEnd w:id="13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Statements of Cash Flows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20" w:type="dxa"/>
            <w:vAlign w:val="bottom"/>
          </w:tcPr>
          <w:p>
            <w:pPr>
              <w:spacing w:after="0"/>
              <w:rPr>
                <w:sz w:val="20"/>
                <w:szCs w:val="20"/>
                <w:color w:val="auto"/>
              </w:rPr>
            </w:pPr>
            <w:r>
              <w:rPr>
                <w:rFonts w:ascii="Arial" w:cs="Arial" w:eastAsia="Arial" w:hAnsi="Arial"/>
                <w:sz w:val="10"/>
                <w:szCs w:val="10"/>
                <w:color w:val="auto"/>
              </w:rPr>
              <w:t>(DKK million)</w:t>
            </w:r>
          </w:p>
        </w:tc>
        <w:tc>
          <w:tcPr>
            <w:tcW w:w="520" w:type="dxa"/>
            <w:vAlign w:val="bottom"/>
            <w:gridSpan w:val="2"/>
          </w:tcPr>
          <w:p>
            <w:pPr>
              <w:ind w:left="140"/>
              <w:spacing w:after="0"/>
              <w:rPr>
                <w:sz w:val="20"/>
                <w:szCs w:val="20"/>
                <w:color w:val="auto"/>
              </w:rPr>
            </w:pPr>
            <w:r>
              <w:rPr>
                <w:rFonts w:ascii="Arial" w:cs="Arial" w:eastAsia="Arial" w:hAnsi="Arial"/>
                <w:sz w:val="10"/>
                <w:szCs w:val="10"/>
                <w:color w:val="auto"/>
              </w:rPr>
              <w:t>Note</w:t>
            </w:r>
          </w:p>
        </w:tc>
        <w:tc>
          <w:tcPr>
            <w:tcW w:w="1080" w:type="dxa"/>
            <w:vAlign w:val="bottom"/>
          </w:tcPr>
          <w:p>
            <w:pPr>
              <w:jc w:val="right"/>
              <w:ind w:right="372"/>
              <w:spacing w:after="0"/>
              <w:rPr>
                <w:sz w:val="20"/>
                <w:szCs w:val="20"/>
                <w:color w:val="auto"/>
              </w:rPr>
            </w:pPr>
            <w:r>
              <w:rPr>
                <w:rFonts w:ascii="Arial" w:cs="Arial" w:eastAsia="Arial" w:hAnsi="Arial"/>
                <w:sz w:val="10"/>
                <w:szCs w:val="10"/>
                <w:color w:val="auto"/>
              </w:rPr>
              <w:t>2022</w:t>
            </w:r>
          </w:p>
        </w:tc>
        <w:tc>
          <w:tcPr>
            <w:tcW w:w="60" w:type="dxa"/>
            <w:vAlign w:val="bottom"/>
          </w:tcPr>
          <w:p>
            <w:pPr>
              <w:spacing w:after="0"/>
              <w:rPr>
                <w:sz w:val="10"/>
                <w:szCs w:val="10"/>
                <w:color w:val="auto"/>
              </w:rPr>
            </w:pPr>
          </w:p>
        </w:tc>
        <w:tc>
          <w:tcPr>
            <w:tcW w:w="1100" w:type="dxa"/>
            <w:vAlign w:val="bottom"/>
          </w:tcPr>
          <w:p>
            <w:pPr>
              <w:jc w:val="right"/>
              <w:ind w:right="392"/>
              <w:spacing w:after="0"/>
              <w:rPr>
                <w:sz w:val="20"/>
                <w:szCs w:val="20"/>
                <w:color w:val="auto"/>
              </w:rPr>
            </w:pPr>
            <w:r>
              <w:rPr>
                <w:rFonts w:ascii="Arial" w:cs="Arial" w:eastAsia="Arial" w:hAnsi="Arial"/>
                <w:sz w:val="10"/>
                <w:szCs w:val="10"/>
                <w:color w:val="auto"/>
              </w:rPr>
              <w:t>2021</w:t>
            </w:r>
          </w:p>
        </w:tc>
        <w:tc>
          <w:tcPr>
            <w:tcW w:w="60" w:type="dxa"/>
            <w:vAlign w:val="bottom"/>
          </w:tcPr>
          <w:p>
            <w:pPr>
              <w:spacing w:after="0"/>
              <w:rPr>
                <w:sz w:val="10"/>
                <w:szCs w:val="10"/>
                <w:color w:val="auto"/>
              </w:rPr>
            </w:pPr>
          </w:p>
        </w:tc>
        <w:tc>
          <w:tcPr>
            <w:tcW w:w="1120" w:type="dxa"/>
            <w:vAlign w:val="bottom"/>
          </w:tcPr>
          <w:p>
            <w:pPr>
              <w:jc w:val="right"/>
              <w:ind w:right="412"/>
              <w:spacing w:after="0"/>
              <w:rPr>
                <w:sz w:val="20"/>
                <w:szCs w:val="20"/>
                <w:color w:val="auto"/>
              </w:rPr>
            </w:pPr>
            <w:r>
              <w:rPr>
                <w:rFonts w:ascii="Arial" w:cs="Arial" w:eastAsia="Arial" w:hAnsi="Arial"/>
                <w:sz w:val="10"/>
                <w:szCs w:val="10"/>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20" w:type="dxa"/>
            <w:vAlign w:val="bottom"/>
            <w:vMerge w:val="restart"/>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color w:val="auto"/>
              </w:rPr>
              <w:t>Restated*</w:t>
            </w:r>
          </w:p>
        </w:tc>
        <w:tc>
          <w:tcPr>
            <w:tcW w:w="60" w:type="dxa"/>
            <w:vAlign w:val="bottom"/>
          </w:tcPr>
          <w:p>
            <w:pPr>
              <w:spacing w:after="0"/>
              <w:rPr>
                <w:sz w:val="9"/>
                <w:szCs w:val="9"/>
                <w:color w:val="auto"/>
              </w:rPr>
            </w:pP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0"/>
                <w:szCs w:val="10"/>
                <w:color w:val="auto"/>
              </w:rPr>
              <w:t>Restated*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0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Arial" w:cs="Arial" w:eastAsia="Arial" w:hAnsi="Arial"/>
                <w:sz w:val="10"/>
                <w:szCs w:val="10"/>
                <w:b w:val="1"/>
                <w:bCs w:val="1"/>
                <w:color w:val="auto"/>
              </w:rPr>
              <w:t>Net profit before tax (restated*)</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6,753</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4,873</w:t>
            </w: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spacing w:after="0"/>
              <w:rPr>
                <w:sz w:val="20"/>
                <w:szCs w:val="20"/>
                <w:color w:val="auto"/>
              </w:rPr>
            </w:pPr>
            <w:r>
              <w:rPr>
                <w:rFonts w:ascii="Arial" w:cs="Arial" w:eastAsia="Arial" w:hAnsi="Arial"/>
                <w:sz w:val="10"/>
                <w:szCs w:val="10"/>
                <w:color w:val="auto"/>
              </w:rPr>
              <w:t>Reversal of financial items, net</w:t>
            </w:r>
          </w:p>
        </w:tc>
        <w:tc>
          <w:tcPr>
            <w:tcW w:w="48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4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color w:val="auto"/>
              </w:rPr>
              <w:t>(931)</w:t>
            </w:r>
          </w:p>
        </w:tc>
        <w:tc>
          <w:tcPr>
            <w:tcW w:w="1160" w:type="dxa"/>
            <w:vAlign w:val="bottom"/>
            <w:gridSpan w:val="2"/>
          </w:tcPr>
          <w:p>
            <w:pPr>
              <w:jc w:val="right"/>
              <w:ind w:right="60"/>
              <w:spacing w:after="0"/>
              <w:rPr>
                <w:sz w:val="20"/>
                <w:szCs w:val="20"/>
                <w:color w:val="auto"/>
              </w:rPr>
            </w:pPr>
            <w:r>
              <w:rPr>
                <w:rFonts w:ascii="Arial" w:cs="Arial" w:eastAsia="Arial" w:hAnsi="Arial"/>
                <w:sz w:val="10"/>
                <w:szCs w:val="10"/>
                <w:color w:val="auto"/>
              </w:rPr>
              <w:t>(1,356)</w:t>
            </w:r>
          </w:p>
        </w:tc>
        <w:tc>
          <w:tcPr>
            <w:tcW w:w="1120" w:type="dxa"/>
            <w:vAlign w:val="bottom"/>
          </w:tcPr>
          <w:p>
            <w:pPr>
              <w:jc w:val="right"/>
              <w:spacing w:after="0"/>
              <w:rPr>
                <w:sz w:val="20"/>
                <w:szCs w:val="20"/>
                <w:color w:val="auto"/>
              </w:rPr>
            </w:pPr>
            <w:r>
              <w:rPr>
                <w:rFonts w:ascii="Arial" w:cs="Arial" w:eastAsia="Arial" w:hAnsi="Arial"/>
                <w:sz w:val="10"/>
                <w:szCs w:val="10"/>
                <w:color w:val="auto"/>
              </w:rPr>
              <w:t>1,265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Adjustment for non-cash transactions (restated*)</w:t>
            </w:r>
          </w:p>
        </w:tc>
        <w:tc>
          <w:tcPr>
            <w:tcW w:w="480" w:type="dxa"/>
            <w:vAlign w:val="bottom"/>
          </w:tcPr>
          <w:p>
            <w:pPr>
              <w:jc w:val="center"/>
              <w:spacing w:after="0" w:line="109" w:lineRule="exact"/>
              <w:rPr>
                <w:sz w:val="20"/>
                <w:szCs w:val="20"/>
                <w:color w:val="auto"/>
              </w:rPr>
            </w:pPr>
            <w:r>
              <w:rPr>
                <w:rFonts w:ascii="Arial" w:cs="Arial" w:eastAsia="Arial" w:hAnsi="Arial"/>
                <w:sz w:val="10"/>
                <w:szCs w:val="10"/>
                <w:color w:val="auto"/>
                <w:w w:val="89"/>
              </w:rPr>
              <w:t>19</w:t>
            </w: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172</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139</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177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Change in operating assets and liabilities (restated*)</w:t>
            </w:r>
          </w:p>
        </w:tc>
        <w:tc>
          <w:tcPr>
            <w:tcW w:w="480" w:type="dxa"/>
            <w:vAlign w:val="bottom"/>
          </w:tcPr>
          <w:p>
            <w:pPr>
              <w:jc w:val="center"/>
              <w:spacing w:after="0" w:line="114" w:lineRule="exact"/>
              <w:rPr>
                <w:sz w:val="20"/>
                <w:szCs w:val="20"/>
                <w:color w:val="auto"/>
              </w:rPr>
            </w:pPr>
            <w:r>
              <w:rPr>
                <w:rFonts w:ascii="Arial" w:cs="Arial" w:eastAsia="Arial" w:hAnsi="Arial"/>
                <w:sz w:val="10"/>
                <w:szCs w:val="10"/>
                <w:color w:val="auto"/>
                <w:w w:val="89"/>
              </w:rPr>
              <w:t>19</w:t>
            </w:r>
          </w:p>
        </w:tc>
        <w:tc>
          <w:tcPr>
            <w:tcW w:w="40" w:type="dxa"/>
            <w:vAlign w:val="bottom"/>
          </w:tcPr>
          <w:p>
            <w:pPr>
              <w:spacing w:after="0"/>
              <w:rPr>
                <w:sz w:val="9"/>
                <w:szCs w:val="9"/>
                <w:color w:val="auto"/>
              </w:rPr>
            </w:pPr>
          </w:p>
        </w:tc>
        <w:tc>
          <w:tcPr>
            <w:tcW w:w="11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(2,186)</w:t>
            </w:r>
          </w:p>
        </w:tc>
        <w:tc>
          <w:tcPr>
            <w:tcW w:w="116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(954)</w:t>
            </w: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1,039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0"/>
                <w:szCs w:val="10"/>
                <w:b w:val="1"/>
                <w:bCs w:val="1"/>
                <w:color w:val="auto"/>
              </w:rPr>
              <w:t>Cash provided by operating activities before financial items (restated*)</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3,808</w:t>
            </w:r>
          </w:p>
        </w:tc>
        <w:tc>
          <w:tcPr>
            <w:tcW w:w="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2,702</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20" w:type="dxa"/>
            <w:vAlign w:val="bottom"/>
          </w:tcPr>
          <w:p>
            <w:pPr>
              <w:spacing w:after="0"/>
              <w:rPr>
                <w:sz w:val="20"/>
                <w:szCs w:val="20"/>
                <w:color w:val="auto"/>
              </w:rPr>
            </w:pPr>
            <w:r>
              <w:rPr>
                <w:rFonts w:ascii="Arial" w:cs="Arial" w:eastAsia="Arial" w:hAnsi="Arial"/>
                <w:sz w:val="10"/>
                <w:szCs w:val="10"/>
                <w:color w:val="auto"/>
              </w:rPr>
              <w:t>Interest received</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280</w:t>
            </w:r>
          </w:p>
        </w:tc>
        <w:tc>
          <w:tcPr>
            <w:tcW w:w="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207</w:t>
            </w:r>
          </w:p>
        </w:tc>
        <w:tc>
          <w:tcPr>
            <w:tcW w:w="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Interest elements of lease payments</w:t>
            </w:r>
          </w:p>
        </w:tc>
        <w:tc>
          <w:tcPr>
            <w:tcW w:w="480" w:type="dxa"/>
            <w:vAlign w:val="bottom"/>
          </w:tcPr>
          <w:p>
            <w:pPr>
              <w:jc w:val="center"/>
              <w:spacing w:after="0" w:line="109" w:lineRule="exact"/>
              <w:rPr>
                <w:sz w:val="20"/>
                <w:szCs w:val="20"/>
                <w:color w:val="auto"/>
              </w:rPr>
            </w:pPr>
            <w:r>
              <w:rPr>
                <w:rFonts w:ascii="Arial" w:cs="Arial" w:eastAsia="Arial" w:hAnsi="Arial"/>
                <w:sz w:val="10"/>
                <w:szCs w:val="10"/>
                <w:color w:val="auto"/>
              </w:rPr>
              <w:t>7</w:t>
            </w: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Interest paid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w:t>
            </w: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Corporate taxes (paid)/received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(1,583)</w:t>
            </w:r>
          </w:p>
        </w:tc>
        <w:tc>
          <w:tcPr>
            <w:tcW w:w="116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(739)</w:t>
            </w:r>
          </w:p>
        </w:tc>
        <w:tc>
          <w:tcPr>
            <w:tcW w:w="114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(1,476)</w:t>
            </w: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0"/>
                <w:szCs w:val="10"/>
                <w:b w:val="1"/>
                <w:bCs w:val="1"/>
                <w:color w:val="auto"/>
              </w:rPr>
              <w:t>Net cash provided by operating activities (restated*)</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2,504</w:t>
            </w:r>
          </w:p>
        </w:tc>
        <w:tc>
          <w:tcPr>
            <w:tcW w:w="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2,170</w:t>
            </w:r>
          </w:p>
        </w:tc>
        <w:tc>
          <w:tcPr>
            <w:tcW w:w="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Investment in intangible assets</w:t>
            </w:r>
          </w:p>
        </w:tc>
        <w:tc>
          <w:tcPr>
            <w:tcW w:w="480" w:type="dxa"/>
            <w:vAlign w:val="bottom"/>
          </w:tcPr>
          <w:p>
            <w:pPr>
              <w:jc w:val="center"/>
              <w:spacing w:after="0" w:line="109" w:lineRule="exact"/>
              <w:rPr>
                <w:sz w:val="20"/>
                <w:szCs w:val="20"/>
                <w:color w:val="auto"/>
              </w:rPr>
            </w:pPr>
            <w:r>
              <w:rPr>
                <w:rFonts w:ascii="Arial" w:cs="Arial" w:eastAsia="Arial" w:hAnsi="Arial"/>
                <w:sz w:val="10"/>
                <w:szCs w:val="10"/>
                <w:color w:val="auto"/>
              </w:rPr>
              <w:t>5</w:t>
            </w: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(191)</w:t>
            </w: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Investment in tangible assets</w:t>
            </w:r>
          </w:p>
        </w:tc>
        <w:tc>
          <w:tcPr>
            <w:tcW w:w="480" w:type="dxa"/>
            <w:vAlign w:val="bottom"/>
          </w:tcPr>
          <w:p>
            <w:pPr>
              <w:jc w:val="center"/>
              <w:spacing w:after="0" w:line="109" w:lineRule="exact"/>
              <w:rPr>
                <w:sz w:val="20"/>
                <w:szCs w:val="20"/>
                <w:color w:val="auto"/>
              </w:rPr>
            </w:pPr>
            <w:r>
              <w:rPr>
                <w:rFonts w:ascii="Arial" w:cs="Arial" w:eastAsia="Arial" w:hAnsi="Arial"/>
                <w:sz w:val="10"/>
                <w:szCs w:val="10"/>
                <w:color w:val="auto"/>
              </w:rPr>
              <w:t>6</w:t>
            </w: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(21)</w:t>
            </w:r>
          </w:p>
        </w:tc>
        <w:tc>
          <w:tcPr>
            <w:tcW w:w="116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(7)</w:t>
            </w: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Transactions with subsidiaries (restated*)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374</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93</w:t>
            </w:r>
          </w:p>
        </w:tc>
        <w:tc>
          <w:tcPr>
            <w:tcW w:w="60" w:type="dxa"/>
            <w:vAlign w:val="bottom"/>
          </w:tcPr>
          <w:p>
            <w:pPr>
              <w:spacing w:after="0"/>
              <w:rPr>
                <w:sz w:val="9"/>
                <w:szCs w:val="9"/>
                <w:color w:val="auto"/>
              </w:rPr>
            </w:pP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Marketable securities bought</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(9,659)</w:t>
            </w:r>
          </w:p>
        </w:tc>
        <w:tc>
          <w:tcPr>
            <w:tcW w:w="116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(15,514)</w:t>
            </w: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(12,414)</w:t>
            </w: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Marketable securities sold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7,254</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14,469</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10,370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Other investments bought</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(39)</w:t>
            </w:r>
          </w:p>
        </w:tc>
        <w:tc>
          <w:tcPr>
            <w:tcW w:w="116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(18)</w:t>
            </w: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0"/>
                <w:szCs w:val="10"/>
                <w:b w:val="1"/>
                <w:bCs w:val="1"/>
                <w:color w:val="auto"/>
              </w:rPr>
              <w:t>Net cash (used in) investing activities (restated*)</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(2,282)</w:t>
            </w:r>
          </w:p>
        </w:tc>
        <w:tc>
          <w:tcPr>
            <w:tcW w:w="11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(977)</w:t>
            </w:r>
          </w:p>
        </w:tc>
        <w:tc>
          <w:tcPr>
            <w:tcW w:w="11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(2,164)</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Warrants exercised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280</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135</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140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Principal elements of lease payments</w:t>
            </w:r>
          </w:p>
        </w:tc>
        <w:tc>
          <w:tcPr>
            <w:tcW w:w="480" w:type="dxa"/>
            <w:vAlign w:val="bottom"/>
          </w:tcPr>
          <w:p>
            <w:pPr>
              <w:jc w:val="center"/>
              <w:spacing w:after="0" w:line="109" w:lineRule="exact"/>
              <w:rPr>
                <w:sz w:val="20"/>
                <w:szCs w:val="20"/>
                <w:color w:val="auto"/>
              </w:rPr>
            </w:pPr>
            <w:r>
              <w:rPr>
                <w:rFonts w:ascii="Arial" w:cs="Arial" w:eastAsia="Arial" w:hAnsi="Arial"/>
                <w:sz w:val="10"/>
                <w:szCs w:val="10"/>
                <w:color w:val="auto"/>
              </w:rPr>
              <w:t>7</w:t>
            </w: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(13)</w:t>
            </w:r>
          </w:p>
        </w:tc>
        <w:tc>
          <w:tcPr>
            <w:tcW w:w="116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(13)</w:t>
            </w:r>
          </w:p>
        </w:tc>
        <w:tc>
          <w:tcPr>
            <w:tcW w:w="11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Purchase of treasury shares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(908)</w:t>
            </w:r>
          </w:p>
        </w:tc>
        <w:tc>
          <w:tcPr>
            <w:tcW w:w="116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(447)</w:t>
            </w: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Payment of withholding taxes on behalf of employees on net settled RSUs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(88)</w:t>
            </w:r>
          </w:p>
        </w:tc>
        <w:tc>
          <w:tcPr>
            <w:tcW w:w="116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(50)</w:t>
            </w:r>
          </w:p>
        </w:tc>
        <w:tc>
          <w:tcPr>
            <w:tcW w:w="114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(729)</w:t>
            </w:r>
          </w:p>
        </w:tc>
        <w:tc>
          <w:tcPr>
            <w:tcW w:w="11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(375)</w:t>
            </w: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0"/>
                <w:szCs w:val="10"/>
                <w:b w:val="1"/>
                <w:bCs w:val="1"/>
                <w:color w:val="auto"/>
              </w:rPr>
              <w:t>Changes in cash and cash equivalents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(507)</w:t>
            </w: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818</w:t>
            </w:r>
          </w:p>
        </w:tc>
        <w:tc>
          <w:tcPr>
            <w:tcW w:w="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4,304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Cash and cash equivalents at the beginning of the period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8,783</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7,133</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3,274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Exchange rate adjustments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Arial" w:cs="Arial" w:eastAsia="Arial" w:hAnsi="Arial"/>
                <w:sz w:val="10"/>
                <w:szCs w:val="10"/>
                <w:color w:val="auto"/>
              </w:rPr>
              <w:t>554</w:t>
            </w:r>
          </w:p>
        </w:tc>
        <w:tc>
          <w:tcPr>
            <w:tcW w:w="60" w:type="dxa"/>
            <w:vAlign w:val="bottom"/>
          </w:tcPr>
          <w:p>
            <w:pPr>
              <w:spacing w:after="0"/>
              <w:rPr>
                <w:sz w:val="9"/>
                <w:szCs w:val="9"/>
                <w:color w:val="auto"/>
              </w:rPr>
            </w:pPr>
          </w:p>
        </w:tc>
        <w:tc>
          <w:tcPr>
            <w:tcW w:w="1100" w:type="dxa"/>
            <w:vAlign w:val="bottom"/>
          </w:tcPr>
          <w:p>
            <w:pPr>
              <w:jc w:val="right"/>
              <w:spacing w:after="0" w:line="114" w:lineRule="exact"/>
              <w:rPr>
                <w:sz w:val="20"/>
                <w:szCs w:val="20"/>
                <w:color w:val="auto"/>
              </w:rPr>
            </w:pPr>
            <w:r>
              <w:rPr>
                <w:rFonts w:ascii="Arial" w:cs="Arial" w:eastAsia="Arial" w:hAnsi="Arial"/>
                <w:sz w:val="10"/>
                <w:szCs w:val="10"/>
                <w:color w:val="auto"/>
              </w:rPr>
              <w:t>832</w:t>
            </w:r>
          </w:p>
        </w:tc>
        <w:tc>
          <w:tcPr>
            <w:tcW w:w="60" w:type="dxa"/>
            <w:vAlign w:val="bottom"/>
          </w:tcPr>
          <w:p>
            <w:pPr>
              <w:spacing w:after="0"/>
              <w:rPr>
                <w:sz w:val="9"/>
                <w:szCs w:val="9"/>
                <w:color w:val="auto"/>
              </w:rPr>
            </w:pPr>
          </w:p>
        </w:tc>
        <w:tc>
          <w:tcPr>
            <w:tcW w:w="114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(445)</w:t>
            </w: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0"/>
                <w:szCs w:val="10"/>
                <w:b w:val="1"/>
                <w:bCs w:val="1"/>
                <w:color w:val="auto"/>
              </w:rPr>
              <w:t>Cash and cash equivalents at the end of the period</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8,830</w:t>
            </w:r>
          </w:p>
        </w:tc>
        <w:tc>
          <w:tcPr>
            <w:tcW w:w="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8,783</w:t>
            </w:r>
          </w:p>
        </w:tc>
        <w:tc>
          <w:tcPr>
            <w:tcW w:w="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0"/>
                <w:szCs w:val="10"/>
                <w:b w:val="1"/>
                <w:bCs w:val="1"/>
                <w:color w:val="auto"/>
              </w:rPr>
              <w:t>Cash and cash equivalents include:</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5020" w:type="dxa"/>
            <w:vAlign w:val="bottom"/>
          </w:tcPr>
          <w:p>
            <w:pPr>
              <w:spacing w:after="0" w:line="109" w:lineRule="exact"/>
              <w:rPr>
                <w:sz w:val="20"/>
                <w:szCs w:val="20"/>
                <w:color w:val="auto"/>
              </w:rPr>
            </w:pPr>
            <w:r>
              <w:rPr>
                <w:rFonts w:ascii="Arial" w:cs="Arial" w:eastAsia="Arial" w:hAnsi="Arial"/>
                <w:sz w:val="10"/>
                <w:szCs w:val="10"/>
                <w:color w:val="auto"/>
              </w:rPr>
              <w:t>Bank deposits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8,236</w:t>
            </w:r>
          </w:p>
        </w:tc>
        <w:tc>
          <w:tcPr>
            <w:tcW w:w="60" w:type="dxa"/>
            <w:vAlign w:val="bottom"/>
          </w:tcPr>
          <w:p>
            <w:pPr>
              <w:spacing w:after="0"/>
              <w:rPr>
                <w:sz w:val="9"/>
                <w:szCs w:val="9"/>
                <w:color w:val="auto"/>
              </w:rPr>
            </w:pPr>
          </w:p>
        </w:tc>
        <w:tc>
          <w:tcPr>
            <w:tcW w:w="1100" w:type="dxa"/>
            <w:vAlign w:val="bottom"/>
          </w:tcPr>
          <w:p>
            <w:pPr>
              <w:jc w:val="right"/>
              <w:spacing w:after="0" w:line="109" w:lineRule="exact"/>
              <w:rPr>
                <w:sz w:val="20"/>
                <w:szCs w:val="20"/>
                <w:color w:val="auto"/>
              </w:rPr>
            </w:pPr>
            <w:r>
              <w:rPr>
                <w:rFonts w:ascii="Arial" w:cs="Arial" w:eastAsia="Arial" w:hAnsi="Arial"/>
                <w:sz w:val="10"/>
                <w:szCs w:val="10"/>
                <w:color w:val="auto"/>
              </w:rPr>
              <w:t>8,487</w:t>
            </w:r>
          </w:p>
        </w:tc>
        <w:tc>
          <w:tcPr>
            <w:tcW w:w="60" w:type="dxa"/>
            <w:vAlign w:val="bottom"/>
          </w:tcPr>
          <w:p>
            <w:pPr>
              <w:spacing w:after="0"/>
              <w:rPr>
                <w:sz w:val="9"/>
                <w:szCs w:val="9"/>
                <w:color w:val="auto"/>
              </w:rPr>
            </w:pPr>
          </w:p>
        </w:tc>
        <w:tc>
          <w:tcPr>
            <w:tcW w:w="1120" w:type="dxa"/>
            <w:vAlign w:val="bottom"/>
          </w:tcPr>
          <w:p>
            <w:pPr>
              <w:jc w:val="right"/>
              <w:spacing w:after="0" w:line="109" w:lineRule="exact"/>
              <w:rPr>
                <w:sz w:val="20"/>
                <w:szCs w:val="20"/>
                <w:color w:val="auto"/>
              </w:rPr>
            </w:pPr>
            <w:r>
              <w:rPr>
                <w:rFonts w:ascii="Arial" w:cs="Arial" w:eastAsia="Arial" w:hAnsi="Arial"/>
                <w:sz w:val="10"/>
                <w:szCs w:val="10"/>
                <w:color w:val="auto"/>
              </w:rPr>
              <w:t>4,927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20" w:type="dxa"/>
            <w:vAlign w:val="bottom"/>
          </w:tcPr>
          <w:p>
            <w:pPr>
              <w:spacing w:after="0" w:line="114" w:lineRule="exact"/>
              <w:rPr>
                <w:sz w:val="20"/>
                <w:szCs w:val="20"/>
                <w:color w:val="auto"/>
              </w:rPr>
            </w:pPr>
            <w:r>
              <w:rPr>
                <w:rFonts w:ascii="Arial" w:cs="Arial" w:eastAsia="Arial" w:hAnsi="Arial"/>
                <w:sz w:val="10"/>
                <w:szCs w:val="10"/>
                <w:color w:val="auto"/>
              </w:rPr>
              <w:t>Short-term marketable securities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594</w:t>
            </w:r>
          </w:p>
        </w:tc>
        <w:tc>
          <w:tcPr>
            <w:tcW w:w="60" w:type="dxa"/>
            <w:vAlign w:val="bottom"/>
          </w:tcPr>
          <w:p>
            <w:pPr>
              <w:spacing w:after="0"/>
              <w:rPr>
                <w:sz w:val="9"/>
                <w:szCs w:val="9"/>
                <w:color w:val="auto"/>
              </w:rPr>
            </w:pPr>
          </w:p>
        </w:tc>
        <w:tc>
          <w:tcPr>
            <w:tcW w:w="11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296</w:t>
            </w:r>
          </w:p>
        </w:tc>
        <w:tc>
          <w:tcPr>
            <w:tcW w:w="60" w:type="dxa"/>
            <w:vAlign w:val="bottom"/>
          </w:tcPr>
          <w:p>
            <w:pPr>
              <w:spacing w:after="0"/>
              <w:rPr>
                <w:sz w:val="9"/>
                <w:szCs w:val="9"/>
                <w:color w:val="auto"/>
              </w:rPr>
            </w:pPr>
          </w:p>
        </w:tc>
        <w:tc>
          <w:tcPr>
            <w:tcW w:w="11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2,206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020" w:type="dxa"/>
            <w:vAlign w:val="bottom"/>
          </w:tcPr>
          <w:p>
            <w:pPr>
              <w:spacing w:after="0" w:line="98" w:lineRule="exact"/>
              <w:rPr>
                <w:sz w:val="20"/>
                <w:szCs w:val="20"/>
                <w:color w:val="auto"/>
              </w:rPr>
            </w:pPr>
            <w:r>
              <w:rPr>
                <w:rFonts w:ascii="Arial" w:cs="Arial" w:eastAsia="Arial" w:hAnsi="Arial"/>
                <w:sz w:val="10"/>
                <w:szCs w:val="10"/>
                <w:b w:val="1"/>
                <w:bCs w:val="1"/>
                <w:color w:val="auto"/>
              </w:rPr>
              <w:t>Cash and cash equivalents at the end of the period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8,830</w:t>
            </w:r>
          </w:p>
        </w:tc>
        <w:tc>
          <w:tcPr>
            <w:tcW w:w="60" w:type="dxa"/>
            <w:vAlign w:val="bottom"/>
          </w:tcPr>
          <w:p>
            <w:pPr>
              <w:spacing w:after="0"/>
              <w:rPr>
                <w:sz w:val="8"/>
                <w:szCs w:val="8"/>
                <w:color w:val="auto"/>
              </w:rPr>
            </w:pPr>
          </w:p>
        </w:tc>
        <w:tc>
          <w:tcPr>
            <w:tcW w:w="11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8,783</w:t>
            </w:r>
          </w:p>
        </w:tc>
        <w:tc>
          <w:tcPr>
            <w:tcW w:w="60" w:type="dxa"/>
            <w:vAlign w:val="bottom"/>
          </w:tcPr>
          <w:p>
            <w:pPr>
              <w:spacing w:after="0"/>
              <w:rPr>
                <w:sz w:val="8"/>
                <w:szCs w:val="8"/>
                <w:color w:val="auto"/>
              </w:rPr>
            </w:pPr>
          </w:p>
        </w:tc>
        <w:tc>
          <w:tcPr>
            <w:tcW w:w="11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7,133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 See Note 1 for details regarding the restatement as a result of errors and change in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6" w:name="page137"/>
    <w:bookmarkEnd w:id="13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Statements of Changes in Equity</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80" w:type="dxa"/>
            <w:vAlign w:val="bottom"/>
            <w:vMerge w:val="restart"/>
          </w:tcPr>
          <w:p>
            <w:pPr>
              <w:spacing w:after="0"/>
              <w:rPr>
                <w:sz w:val="20"/>
                <w:szCs w:val="20"/>
                <w:color w:val="auto"/>
              </w:rPr>
            </w:pPr>
            <w:r>
              <w:rPr>
                <w:rFonts w:ascii="Arial" w:cs="Arial" w:eastAsia="Arial" w:hAnsi="Arial"/>
                <w:sz w:val="10"/>
                <w:szCs w:val="10"/>
                <w:color w:val="auto"/>
              </w:rPr>
              <w:t>(DKK million)</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Share capital</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Share premium</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99"/>
              </w:rPr>
              <w:t>Translation Reserves</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Retained earnings</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Shareholders' equity</w:t>
            </w:r>
          </w:p>
        </w:tc>
        <w:tc>
          <w:tcPr>
            <w:tcW w:w="0" w:type="dxa"/>
            <w:vAlign w:val="bottom"/>
          </w:tcPr>
          <w:p>
            <w:pPr>
              <w:spacing w:after="0"/>
              <w:rPr>
                <w:sz w:val="1"/>
                <w:szCs w:val="1"/>
                <w:color w:val="auto"/>
              </w:rPr>
            </w:pPr>
          </w:p>
        </w:tc>
      </w:tr>
      <w:tr>
        <w:trPr>
          <w:trHeight w:val="110"/>
        </w:trPr>
        <w:tc>
          <w:tcPr>
            <w:tcW w:w="38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at December 31, 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65</w:t>
            </w: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11,755</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98</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2,130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14,048</w:t>
            </w:r>
          </w:p>
        </w:tc>
        <w:tc>
          <w:tcPr>
            <w:tcW w:w="0" w:type="dxa"/>
            <w:vAlign w:val="bottom"/>
          </w:tcPr>
          <w:p>
            <w:pPr>
              <w:spacing w:after="0"/>
              <w:rPr>
                <w:sz w:val="1"/>
                <w:szCs w:val="1"/>
                <w:color w:val="auto"/>
              </w:rPr>
            </w:pPr>
          </w:p>
        </w:tc>
      </w:tr>
      <w:tr>
        <w:trPr>
          <w:trHeight w:val="98"/>
        </w:trPr>
        <w:tc>
          <w:tcPr>
            <w:tcW w:w="3880" w:type="dxa"/>
            <w:vAlign w:val="bottom"/>
          </w:tcPr>
          <w:p>
            <w:pPr>
              <w:spacing w:after="0" w:line="98" w:lineRule="exact"/>
              <w:rPr>
                <w:sz w:val="20"/>
                <w:szCs w:val="20"/>
                <w:color w:val="auto"/>
              </w:rPr>
            </w:pPr>
            <w:r>
              <w:rPr>
                <w:rFonts w:ascii="Arial" w:cs="Arial" w:eastAsia="Arial" w:hAnsi="Arial"/>
                <w:sz w:val="10"/>
                <w:szCs w:val="10"/>
                <w:color w:val="auto"/>
              </w:rPr>
              <w:t>Change in accounting policy</w:t>
            </w:r>
          </w:p>
        </w:tc>
        <w:tc>
          <w:tcPr>
            <w:tcW w:w="7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12"/>
              <w:spacing w:after="0" w:line="98"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52"/>
              <w:spacing w:after="0" w:line="98" w:lineRule="exact"/>
              <w:rPr>
                <w:sz w:val="20"/>
                <w:szCs w:val="20"/>
                <w:color w:val="auto"/>
              </w:rPr>
            </w:pPr>
            <w:r>
              <w:rPr>
                <w:rFonts w:ascii="Arial" w:cs="Arial" w:eastAsia="Arial" w:hAnsi="Arial"/>
                <w:sz w:val="10"/>
                <w:szCs w:val="10"/>
                <w:color w:val="auto"/>
              </w:rPr>
              <w:t>(98)</w:t>
            </w:r>
          </w:p>
        </w:tc>
        <w:tc>
          <w:tcPr>
            <w:tcW w:w="114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color w:val="auto"/>
              </w:rPr>
              <w:t>949</w:t>
            </w:r>
          </w:p>
        </w:tc>
        <w:tc>
          <w:tcPr>
            <w:tcW w:w="10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851</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at December 31, 2019 (restated*)</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65</w:t>
            </w:r>
          </w:p>
        </w:tc>
        <w:tc>
          <w:tcPr>
            <w:tcW w:w="40" w:type="dxa"/>
            <w:vAlign w:val="bottom"/>
          </w:tcPr>
          <w:p>
            <w:pPr>
              <w:spacing w:after="0"/>
              <w:rPr>
                <w:sz w:val="10"/>
                <w:szCs w:val="10"/>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b w:val="1"/>
                <w:bCs w:val="1"/>
                <w:color w:val="auto"/>
              </w:rPr>
              <w:t>11,755</w:t>
            </w:r>
          </w:p>
        </w:tc>
        <w:tc>
          <w:tcPr>
            <w:tcW w:w="11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0"/>
                <w:szCs w:val="10"/>
                <w:b w:val="1"/>
                <w:bCs w:val="1"/>
                <w:color w:val="auto"/>
              </w:rPr>
              <w:t>3,079</w:t>
            </w: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14,899</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Arial" w:cs="Arial" w:eastAsia="Arial" w:hAnsi="Arial"/>
                <w:sz w:val="10"/>
                <w:szCs w:val="10"/>
                <w:color w:val="auto"/>
              </w:rPr>
              <w:t>Net profit (restated*)</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rPr>
                <w:sz w:val="20"/>
                <w:szCs w:val="20"/>
                <w:color w:val="auto"/>
              </w:rPr>
            </w:pPr>
            <w:r>
              <w:rPr>
                <w:rFonts w:ascii="Arial" w:cs="Arial" w:eastAsia="Arial" w:hAnsi="Arial"/>
                <w:sz w:val="10"/>
                <w:szCs w:val="10"/>
                <w:color w:val="auto"/>
              </w:rPr>
              <w:t>4,125</w:t>
            </w:r>
          </w:p>
        </w:tc>
        <w:tc>
          <w:tcPr>
            <w:tcW w:w="1080" w:type="dxa"/>
            <w:vAlign w:val="bottom"/>
          </w:tcPr>
          <w:p>
            <w:pPr>
              <w:jc w:val="right"/>
              <w:spacing w:after="0"/>
              <w:rPr>
                <w:sz w:val="20"/>
                <w:szCs w:val="20"/>
                <w:color w:val="auto"/>
              </w:rPr>
            </w:pPr>
            <w:r>
              <w:rPr>
                <w:rFonts w:ascii="Arial" w:cs="Arial" w:eastAsia="Arial" w:hAnsi="Arial"/>
                <w:sz w:val="10"/>
                <w:szCs w:val="10"/>
                <w:color w:val="auto"/>
              </w:rPr>
              <w:t>4,125</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139</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200</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200</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(25)</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14"/>
        </w:trPr>
        <w:tc>
          <w:tcPr>
            <w:tcW w:w="3880" w:type="dxa"/>
            <w:vAlign w:val="bottom"/>
          </w:tcPr>
          <w:p>
            <w:pPr>
              <w:spacing w:after="0" w:line="114" w:lineRule="exact"/>
              <w:rPr>
                <w:sz w:val="20"/>
                <w:szCs w:val="20"/>
                <w:color w:val="auto"/>
              </w:rPr>
            </w:pPr>
            <w:r>
              <w:rPr>
                <w:rFonts w:ascii="Arial" w:cs="Arial" w:eastAsia="Arial" w:hAnsi="Arial"/>
                <w:sz w:val="10"/>
                <w:szCs w:val="10"/>
                <w:color w:val="auto"/>
              </w:rPr>
              <w:t>Tax on items recognized directly in equity</w:t>
            </w:r>
          </w:p>
        </w:tc>
        <w:tc>
          <w:tcPr>
            <w:tcW w:w="7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12"/>
              <w:spacing w:after="0" w:line="114"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color w:val="auto"/>
              </w:rPr>
              <w:t>44</w:t>
            </w:r>
          </w:p>
        </w:tc>
        <w:tc>
          <w:tcPr>
            <w:tcW w:w="10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at December 31, 2020 (restated*)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w:t>
            </w: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11,894</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7,423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19,383</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0"/>
                <w:szCs w:val="10"/>
                <w:color w:val="auto"/>
              </w:rPr>
              <w:t>Net profit (restated*)</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rPr>
                <w:sz w:val="20"/>
                <w:szCs w:val="20"/>
                <w:color w:val="auto"/>
              </w:rPr>
            </w:pPr>
            <w:r>
              <w:rPr>
                <w:rFonts w:ascii="Arial" w:cs="Arial" w:eastAsia="Arial" w:hAnsi="Arial"/>
                <w:sz w:val="10"/>
                <w:szCs w:val="10"/>
                <w:color w:val="auto"/>
              </w:rPr>
              <w:t>3,898</w:t>
            </w:r>
          </w:p>
        </w:tc>
        <w:tc>
          <w:tcPr>
            <w:tcW w:w="1080" w:type="dxa"/>
            <w:vAlign w:val="bottom"/>
          </w:tcPr>
          <w:p>
            <w:pPr>
              <w:jc w:val="right"/>
              <w:spacing w:after="0"/>
              <w:rPr>
                <w:sz w:val="20"/>
                <w:szCs w:val="20"/>
                <w:color w:val="auto"/>
              </w:rPr>
            </w:pPr>
            <w:r>
              <w:rPr>
                <w:rFonts w:ascii="Arial" w:cs="Arial" w:eastAsia="Arial" w:hAnsi="Arial"/>
                <w:sz w:val="10"/>
                <w:szCs w:val="10"/>
                <w:color w:val="auto"/>
              </w:rPr>
              <w:t>3,898</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135</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Purchase of treasury shares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(447)</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(447)</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310</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310</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(50)</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14"/>
        </w:trPr>
        <w:tc>
          <w:tcPr>
            <w:tcW w:w="3880" w:type="dxa"/>
            <w:vAlign w:val="bottom"/>
          </w:tcPr>
          <w:p>
            <w:pPr>
              <w:spacing w:after="0" w:line="114" w:lineRule="exact"/>
              <w:rPr>
                <w:sz w:val="20"/>
                <w:szCs w:val="20"/>
                <w:color w:val="auto"/>
              </w:rPr>
            </w:pPr>
            <w:r>
              <w:rPr>
                <w:rFonts w:ascii="Arial" w:cs="Arial" w:eastAsia="Arial" w:hAnsi="Arial"/>
                <w:sz w:val="10"/>
                <w:szCs w:val="10"/>
                <w:color w:val="auto"/>
              </w:rPr>
              <w:t>Tax on items recognized directly in equity</w:t>
            </w:r>
          </w:p>
        </w:tc>
        <w:tc>
          <w:tcPr>
            <w:tcW w:w="7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Borders>
              <w:bottom w:val="single" w:sz="8" w:color="auto"/>
            </w:tcBorders>
          </w:tcPr>
          <w:p>
            <w:pPr>
              <w:jc w:val="right"/>
              <w:ind w:right="12"/>
              <w:spacing w:after="0" w:line="114"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color w:val="auto"/>
              </w:rPr>
              <w:t>92</w:t>
            </w:r>
          </w:p>
        </w:tc>
        <w:tc>
          <w:tcPr>
            <w:tcW w:w="10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at December 31, 2021 (restated*)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w:t>
            </w: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12,029</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11,226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23,321</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0"/>
                <w:szCs w:val="10"/>
                <w:color w:val="auto"/>
              </w:rPr>
              <w:t>Net profit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rPr>
                <w:sz w:val="20"/>
                <w:szCs w:val="20"/>
                <w:color w:val="auto"/>
              </w:rPr>
            </w:pPr>
            <w:r>
              <w:rPr>
                <w:rFonts w:ascii="Arial" w:cs="Arial" w:eastAsia="Arial" w:hAnsi="Arial"/>
                <w:sz w:val="10"/>
                <w:szCs w:val="10"/>
                <w:color w:val="auto"/>
              </w:rPr>
              <w:t>5,242</w:t>
            </w:r>
          </w:p>
        </w:tc>
        <w:tc>
          <w:tcPr>
            <w:tcW w:w="1080" w:type="dxa"/>
            <w:vAlign w:val="bottom"/>
          </w:tcPr>
          <w:p>
            <w:pPr>
              <w:jc w:val="right"/>
              <w:spacing w:after="0"/>
              <w:rPr>
                <w:sz w:val="20"/>
                <w:szCs w:val="20"/>
                <w:color w:val="auto"/>
              </w:rPr>
            </w:pPr>
            <w:r>
              <w:rPr>
                <w:rFonts w:ascii="Arial" w:cs="Arial" w:eastAsia="Arial" w:hAnsi="Arial"/>
                <w:sz w:val="10"/>
                <w:szCs w:val="10"/>
                <w:color w:val="auto"/>
              </w:rPr>
              <w:t>5,242</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Exercise of warrants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280</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280</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Purchase of treasury shares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(908)</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(908)</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Share-based compensation expenses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439</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439</w:t>
            </w:r>
          </w:p>
        </w:tc>
        <w:tc>
          <w:tcPr>
            <w:tcW w:w="0" w:type="dxa"/>
            <w:vAlign w:val="bottom"/>
          </w:tcPr>
          <w:p>
            <w:pPr>
              <w:spacing w:after="0"/>
              <w:rPr>
                <w:sz w:val="1"/>
                <w:szCs w:val="1"/>
                <w:color w:val="auto"/>
              </w:rPr>
            </w:pPr>
          </w:p>
        </w:tc>
      </w:tr>
      <w:tr>
        <w:trPr>
          <w:trHeight w:val="109"/>
        </w:trPr>
        <w:tc>
          <w:tcPr>
            <w:tcW w:w="3880" w:type="dxa"/>
            <w:vAlign w:val="bottom"/>
          </w:tcPr>
          <w:p>
            <w:pPr>
              <w:spacing w:after="0" w:line="109" w:lineRule="exact"/>
              <w:rPr>
                <w:sz w:val="20"/>
                <w:szCs w:val="20"/>
                <w:color w:val="auto"/>
              </w:rPr>
            </w:pPr>
            <w:r>
              <w:rPr>
                <w:rFonts w:ascii="Arial" w:cs="Arial" w:eastAsia="Arial" w:hAnsi="Arial"/>
                <w:sz w:val="10"/>
                <w:szCs w:val="10"/>
                <w:color w:val="auto"/>
              </w:rPr>
              <w:t>Net settlement of RSUs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(88)</w:t>
            </w:r>
          </w:p>
        </w:tc>
        <w:tc>
          <w:tcPr>
            <w:tcW w:w="1080" w:type="dxa"/>
            <w:vAlign w:val="bottom"/>
          </w:tcPr>
          <w:p>
            <w:pPr>
              <w:jc w:val="right"/>
              <w:spacing w:after="0" w:line="109" w:lineRule="exact"/>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14"/>
        </w:trPr>
        <w:tc>
          <w:tcPr>
            <w:tcW w:w="3880" w:type="dxa"/>
            <w:vAlign w:val="bottom"/>
          </w:tcPr>
          <w:p>
            <w:pPr>
              <w:spacing w:after="0" w:line="114" w:lineRule="exact"/>
              <w:rPr>
                <w:sz w:val="20"/>
                <w:szCs w:val="20"/>
                <w:color w:val="auto"/>
              </w:rPr>
            </w:pPr>
            <w:r>
              <w:rPr>
                <w:rFonts w:ascii="Arial" w:cs="Arial" w:eastAsia="Arial" w:hAnsi="Arial"/>
                <w:sz w:val="10"/>
                <w:szCs w:val="10"/>
                <w:color w:val="auto"/>
              </w:rPr>
              <w:t>Tax on items recognized directly in equity</w:t>
            </w:r>
          </w:p>
        </w:tc>
        <w:tc>
          <w:tcPr>
            <w:tcW w:w="7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12"/>
              <w:spacing w:after="0" w:line="114"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line="114" w:lineRule="exact"/>
              <w:rPr>
                <w:sz w:val="20"/>
                <w:szCs w:val="20"/>
                <w:color w:val="auto"/>
              </w:rPr>
            </w:pPr>
            <w:r>
              <w:rPr>
                <w:rFonts w:ascii="Arial" w:cs="Arial" w:eastAsia="Arial" w:hAnsi="Arial"/>
                <w:sz w:val="10"/>
                <w:szCs w:val="10"/>
                <w:color w:val="auto"/>
              </w:rPr>
              <w:t>(11)</w:t>
            </w:r>
          </w:p>
        </w:tc>
        <w:tc>
          <w:tcPr>
            <w:tcW w:w="10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at December 31, 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w:t>
            </w: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12,309</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15,900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28,275</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right="5379" w:firstLine="2"/>
        <w:spacing w:after="0" w:line="248" w:lineRule="auto"/>
        <w:tabs>
          <w:tab w:leader="none" w:pos="84" w:val="left"/>
        </w:tabs>
        <w:numPr>
          <w:ilvl w:val="0"/>
          <w:numId w:val="93"/>
        </w:numPr>
        <w:rPr>
          <w:rFonts w:ascii="Arial" w:cs="Arial" w:eastAsia="Arial" w:hAnsi="Arial"/>
          <w:sz w:val="10"/>
          <w:szCs w:val="10"/>
          <w:color w:val="auto"/>
        </w:rPr>
      </w:pPr>
      <w:r>
        <w:rPr>
          <w:rFonts w:ascii="Arial" w:cs="Arial" w:eastAsia="Arial" w:hAnsi="Arial"/>
          <w:sz w:val="10"/>
          <w:szCs w:val="10"/>
          <w:color w:val="auto"/>
        </w:rPr>
        <w:t>See Note 1 for details regarding the restatement as a result of errors and change in accounting policies.</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DISTRIBUTION OF THE YEAR’S PROFIT</w:t>
      </w:r>
    </w:p>
    <w:p>
      <w:pPr>
        <w:spacing w:after="0" w:line="14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The Board of Directors proposes that the parent company’s 2022 net profit of DKK 5,242 million (2021: restated net profit of DKK 3,898 million and 2020: restated net profit of DKK 4,125 million) be carried forward to next year by transfer to retained earnings.</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134/158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7" w:name="page138"/>
    <w:bookmarkEnd w:id="13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 – Accounting Policies</w:t>
      </w:r>
    </w:p>
    <w:p>
      <w:pPr>
        <w:spacing w:after="0" w:line="141"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The financial statements of the parent company have been prepared in accordance with the International Financial Reporting Standards (IFRS) as issued by the International Accounting Standards Board (IASB) and in accordance with IFRS as endorsed by the EU and further requirements in the Danish Financial Statements Act (Class D).</w:t>
      </w:r>
    </w:p>
    <w:p>
      <w:pPr>
        <w:spacing w:after="0" w:line="11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A number of new or amended standards became applicable for the current reporting period. Genmab A/S did not have to change its accounting policies as a result of the adoption of these standards.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1.2 in the consolidated financial statements for a description of new accounting policies and disclosures of the Group.</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Changes to Accounting Policies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Investments in Subsidiaries</w:t>
      </w:r>
    </w:p>
    <w:p>
      <w:pPr>
        <w:spacing w:after="0" w:line="10" w:lineRule="exact"/>
        <w:rPr>
          <w:sz w:val="20"/>
          <w:szCs w:val="20"/>
          <w:color w:val="auto"/>
        </w:rPr>
      </w:pPr>
    </w:p>
    <w:p>
      <w:pPr>
        <w:ind w:left="20" w:right="99"/>
        <w:spacing w:after="0"/>
        <w:rPr>
          <w:sz w:val="20"/>
          <w:szCs w:val="20"/>
          <w:color w:val="auto"/>
        </w:rPr>
      </w:pPr>
      <w:r>
        <w:rPr>
          <w:rFonts w:ascii="Arial" w:cs="Arial" w:eastAsia="Arial" w:hAnsi="Arial"/>
          <w:sz w:val="12"/>
          <w:szCs w:val="12"/>
          <w:color w:val="auto"/>
        </w:rPr>
        <w:t>IFRS standard IAS 27 “Separate Financial Statements” permits investments in subsidiaries to be accounted for either at cost, at fair value in accordance with IFRS 9 “Financial Instruments” or using the equity method as described in IAS 28 “Investments in Associates and Joint Ventures”. Effective January 1, 2022, Genmab A/S has elected to measure investments in subsidiaries at cost in the financial statements of the parent company. Previously, investments in subsidiaries were measured using the equity method. This election was made as Genmab A/S has determined that measurement at cost provides more relevant information about the conditions of the parent company financial statements.</w:t>
      </w:r>
    </w:p>
    <w:p>
      <w:pPr>
        <w:spacing w:after="0" w:line="123"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Under the cost method, investments in subsidiaries are measured at historical cost. Equity interests in foreign currencies are translated to the reporting currency by use of historical exchange rates prevailing at the time of investment.</w:t>
      </w:r>
    </w:p>
    <w:p>
      <w:pPr>
        <w:spacing w:after="0" w:line="103" w:lineRule="exact"/>
        <w:rPr>
          <w:sz w:val="20"/>
          <w:szCs w:val="20"/>
          <w:color w:val="auto"/>
        </w:rPr>
      </w:pPr>
    </w:p>
    <w:p>
      <w:pPr>
        <w:ind w:left="20" w:right="579"/>
        <w:spacing w:after="0" w:line="273" w:lineRule="auto"/>
        <w:rPr>
          <w:sz w:val="20"/>
          <w:szCs w:val="20"/>
          <w:color w:val="auto"/>
        </w:rPr>
      </w:pPr>
      <w:r>
        <w:rPr>
          <w:rFonts w:ascii="Arial" w:cs="Arial" w:eastAsia="Arial" w:hAnsi="Arial"/>
          <w:sz w:val="12"/>
          <w:szCs w:val="12"/>
          <w:color w:val="auto"/>
        </w:rPr>
        <w:t>Additions to the carrying value of investment in subsidiaries include capital contributions made by the parent and share-based payment transactions related to employees of the respective subsidiaries based on where the employee has rendered service.</w:t>
      </w:r>
    </w:p>
    <w:p>
      <w:pPr>
        <w:spacing w:after="0" w:line="103" w:lineRule="exact"/>
        <w:rPr>
          <w:sz w:val="20"/>
          <w:szCs w:val="20"/>
          <w:color w:val="auto"/>
        </w:rPr>
      </w:pPr>
    </w:p>
    <w:p>
      <w:pPr>
        <w:ind w:left="20" w:right="139"/>
        <w:spacing w:after="0" w:line="255" w:lineRule="auto"/>
        <w:rPr>
          <w:sz w:val="20"/>
          <w:szCs w:val="20"/>
          <w:color w:val="auto"/>
        </w:rPr>
      </w:pPr>
      <w:r>
        <w:rPr>
          <w:rFonts w:ascii="Arial" w:cs="Arial" w:eastAsia="Arial" w:hAnsi="Arial"/>
          <w:sz w:val="12"/>
          <w:szCs w:val="12"/>
          <w:color w:val="auto"/>
        </w:rPr>
        <w:t>Distributions from the investment are recognized as income when declared, if any. If the distribution exceeds the current period income or if circumstances or changes in Genmab’s operations indicate that the carrying amount of the subsidiary may not be recoverable, the carrying amount is tested for impairment. Where the recoverable amount of the investments is lower than cost, the investments are written down to this lower value.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Correction of Prior Period Errors</w:t>
      </w:r>
    </w:p>
    <w:p>
      <w:pPr>
        <w:spacing w:after="0" w:line="10" w:lineRule="exact"/>
        <w:rPr>
          <w:sz w:val="20"/>
          <w:szCs w:val="20"/>
          <w:color w:val="auto"/>
        </w:rPr>
      </w:pPr>
    </w:p>
    <w:p>
      <w:pPr>
        <w:ind w:left="20" w:right="59"/>
        <w:spacing w:after="0" w:line="241" w:lineRule="auto"/>
        <w:rPr>
          <w:sz w:val="20"/>
          <w:szCs w:val="20"/>
          <w:color w:val="auto"/>
        </w:rPr>
      </w:pPr>
      <w:r>
        <w:rPr>
          <w:rFonts w:ascii="Arial" w:cs="Arial" w:eastAsia="Arial" w:hAnsi="Arial"/>
          <w:sz w:val="12"/>
          <w:szCs w:val="12"/>
          <w:color w:val="auto"/>
        </w:rPr>
        <w:t>During the period ending December 31, 2022, the parent company revised its income statements and statements of cash flows to correct an error related to share-based compensation expenses recorded by the parent company that should have been reported by its subsidiaries. Under IFRS 2, share-based payment transactions among group entities should be recorded as an expense by the entity that is receiving goods or services. The error resulted in an overstatement of Genmab A/S’ share-based compensation expenses and an understatement of (loss) in subsidiaries, net of tax in the prior financial years.</w:t>
      </w:r>
    </w:p>
    <w:p>
      <w:pPr>
        <w:spacing w:after="0" w:line="123" w:lineRule="exact"/>
        <w:rPr>
          <w:sz w:val="20"/>
          <w:szCs w:val="20"/>
          <w:color w:val="auto"/>
        </w:rPr>
      </w:pPr>
    </w:p>
    <w:p>
      <w:pPr>
        <w:ind w:left="20" w:right="459"/>
        <w:spacing w:after="0" w:line="273" w:lineRule="auto"/>
        <w:rPr>
          <w:sz w:val="20"/>
          <w:szCs w:val="20"/>
          <w:color w:val="auto"/>
        </w:rPr>
      </w:pPr>
      <w:r>
        <w:rPr>
          <w:rFonts w:ascii="Arial" w:cs="Arial" w:eastAsia="Arial" w:hAnsi="Arial"/>
          <w:sz w:val="12"/>
          <w:szCs w:val="12"/>
          <w:color w:val="auto"/>
        </w:rPr>
        <w:t>In addition, an error was discovered related to cost sharing reimbursements with subsidiaries that were incorrectly recorded as a reduction to revenue. The error resulted in an understatement of revenue and research and development expenses, resulting in a revision in the parent company’s income statements.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135/158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8" w:name="page139"/>
    <w:bookmarkEnd w:id="13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right="279"/>
        <w:spacing w:after="0" w:line="273" w:lineRule="auto"/>
        <w:rPr>
          <w:sz w:val="20"/>
          <w:szCs w:val="20"/>
          <w:color w:val="auto"/>
        </w:rPr>
      </w:pPr>
      <w:r>
        <w:rPr>
          <w:rFonts w:ascii="Arial" w:cs="Arial" w:eastAsia="Arial" w:hAnsi="Arial"/>
          <w:sz w:val="12"/>
          <w:szCs w:val="12"/>
          <w:color w:val="auto"/>
        </w:rPr>
        <w:t>The impact of the change in accounting policy and the correction of the prior period errors on the financial statements are shown below. The comparative figures for fiscal years 2021 and 2020 have been restated accordingly.</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57"/>
        </w:trPr>
        <w:tc>
          <w:tcPr>
            <w:tcW w:w="1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5"/>
                <w:szCs w:val="5"/>
                <w:color w:val="auto"/>
                <w:w w:val="89"/>
              </w:rPr>
              <w:t>2022</w:t>
            </w: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5"/>
                <w:szCs w:val="5"/>
                <w:color w:val="auto"/>
                <w:w w:val="89"/>
              </w:rPr>
              <w:t>2021</w:t>
            </w:r>
          </w:p>
        </w:tc>
        <w:tc>
          <w:tcPr>
            <w:tcW w:w="6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5"/>
                <w:szCs w:val="5"/>
                <w:color w:val="auto"/>
              </w:rPr>
              <w:t>2020</w:t>
            </w:r>
          </w:p>
        </w:tc>
        <w:tc>
          <w:tcPr>
            <w:tcW w:w="5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1"/>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jc w:val="center"/>
              <w:spacing w:after="0" w:line="42" w:lineRule="exact"/>
              <w:rPr>
                <w:sz w:val="20"/>
                <w:szCs w:val="20"/>
                <w:color w:val="auto"/>
              </w:rPr>
            </w:pPr>
            <w:r>
              <w:rPr>
                <w:rFonts w:ascii="Arial" w:cs="Arial" w:eastAsia="Arial" w:hAnsi="Arial"/>
                <w:sz w:val="4"/>
                <w:szCs w:val="4"/>
                <w:color w:val="auto"/>
              </w:rPr>
              <w:t>Effect of Error Correction -</w:t>
            </w: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jc w:val="center"/>
              <w:spacing w:after="0" w:line="42" w:lineRule="exact"/>
              <w:rPr>
                <w:sz w:val="20"/>
                <w:szCs w:val="20"/>
                <w:color w:val="auto"/>
              </w:rPr>
            </w:pPr>
            <w:r>
              <w:rPr>
                <w:rFonts w:ascii="Arial" w:cs="Arial" w:eastAsia="Arial" w:hAnsi="Arial"/>
                <w:sz w:val="4"/>
                <w:szCs w:val="4"/>
                <w:color w:val="auto"/>
              </w:rPr>
              <w:t>Effect of Error Correction</w:t>
            </w: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54"/>
        </w:trPr>
        <w:tc>
          <w:tcPr>
            <w:tcW w:w="1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jc w:val="center"/>
              <w:spacing w:after="0" w:line="55" w:lineRule="exact"/>
              <w:rPr>
                <w:sz w:val="20"/>
                <w:szCs w:val="20"/>
                <w:color w:val="auto"/>
              </w:rPr>
            </w:pPr>
            <w:r>
              <w:rPr>
                <w:rFonts w:ascii="Arial" w:cs="Arial" w:eastAsia="Arial" w:hAnsi="Arial"/>
                <w:sz w:val="5"/>
                <w:szCs w:val="5"/>
                <w:color w:val="auto"/>
                <w:w w:val="93"/>
              </w:rPr>
              <w:t>Effect of Change in</w:t>
            </w:r>
          </w:p>
        </w:tc>
        <w:tc>
          <w:tcPr>
            <w:tcW w:w="620" w:type="dxa"/>
            <w:vAlign w:val="bottom"/>
            <w:gridSpan w:val="2"/>
          </w:tcPr>
          <w:p>
            <w:pPr>
              <w:jc w:val="center"/>
              <w:ind w:right="60"/>
              <w:spacing w:after="0" w:line="55" w:lineRule="exact"/>
              <w:rPr>
                <w:sz w:val="20"/>
                <w:szCs w:val="20"/>
                <w:color w:val="auto"/>
              </w:rPr>
            </w:pPr>
            <w:r>
              <w:rPr>
                <w:rFonts w:ascii="Arial" w:cs="Arial" w:eastAsia="Arial" w:hAnsi="Arial"/>
                <w:sz w:val="5"/>
                <w:szCs w:val="5"/>
                <w:color w:val="auto"/>
                <w:w w:val="93"/>
              </w:rPr>
              <w:t>Balances Before Change</w:t>
            </w:r>
          </w:p>
        </w:tc>
        <w:tc>
          <w:tcPr>
            <w:tcW w:w="620" w:type="dxa"/>
            <w:vAlign w:val="bottom"/>
          </w:tcPr>
          <w:p>
            <w:pPr>
              <w:spacing w:after="0"/>
              <w:rPr>
                <w:sz w:val="4"/>
                <w:szCs w:val="4"/>
                <w:color w:val="auto"/>
              </w:rPr>
            </w:pPr>
          </w:p>
        </w:tc>
        <w:tc>
          <w:tcPr>
            <w:tcW w:w="520" w:type="dxa"/>
            <w:vAlign w:val="bottom"/>
          </w:tcPr>
          <w:p>
            <w:pPr>
              <w:jc w:val="right"/>
              <w:ind w:right="56"/>
              <w:spacing w:after="0" w:line="55" w:lineRule="exact"/>
              <w:rPr>
                <w:sz w:val="20"/>
                <w:szCs w:val="20"/>
                <w:color w:val="auto"/>
              </w:rPr>
            </w:pPr>
            <w:r>
              <w:rPr>
                <w:rFonts w:ascii="Arial" w:cs="Arial" w:eastAsia="Arial" w:hAnsi="Arial"/>
                <w:sz w:val="5"/>
                <w:szCs w:val="5"/>
                <w:color w:val="auto"/>
                <w:w w:val="98"/>
              </w:rPr>
              <w:t>Effect of Change in</w:t>
            </w:r>
          </w:p>
        </w:tc>
        <w:tc>
          <w:tcPr>
            <w:tcW w:w="580" w:type="dxa"/>
            <w:vAlign w:val="bottom"/>
          </w:tcPr>
          <w:p>
            <w:pPr>
              <w:jc w:val="center"/>
              <w:spacing w:after="0" w:line="55" w:lineRule="exact"/>
              <w:rPr>
                <w:sz w:val="20"/>
                <w:szCs w:val="20"/>
                <w:color w:val="auto"/>
              </w:rPr>
            </w:pPr>
            <w:r>
              <w:rPr>
                <w:rFonts w:ascii="Arial" w:cs="Arial" w:eastAsia="Arial" w:hAnsi="Arial"/>
                <w:sz w:val="5"/>
                <w:szCs w:val="5"/>
                <w:color w:val="auto"/>
                <w:w w:val="95"/>
              </w:rPr>
              <w:t>Share-Based</w:t>
            </w:r>
          </w:p>
        </w:tc>
        <w:tc>
          <w:tcPr>
            <w:tcW w:w="600" w:type="dxa"/>
            <w:vAlign w:val="bottom"/>
          </w:tcPr>
          <w:p>
            <w:pPr>
              <w:jc w:val="right"/>
              <w:ind w:right="16"/>
              <w:spacing w:after="0" w:line="55" w:lineRule="exact"/>
              <w:rPr>
                <w:sz w:val="20"/>
                <w:szCs w:val="20"/>
                <w:color w:val="auto"/>
              </w:rPr>
            </w:pPr>
            <w:r>
              <w:rPr>
                <w:rFonts w:ascii="Arial" w:cs="Arial" w:eastAsia="Arial" w:hAnsi="Arial"/>
                <w:sz w:val="5"/>
                <w:szCs w:val="5"/>
                <w:color w:val="auto"/>
                <w:w w:val="92"/>
              </w:rPr>
              <w:t>Effect of Error Correction -</w:t>
            </w:r>
          </w:p>
        </w:tc>
        <w:tc>
          <w:tcPr>
            <w:tcW w:w="600" w:type="dxa"/>
            <w:vAlign w:val="bottom"/>
            <w:gridSpan w:val="2"/>
          </w:tcPr>
          <w:p>
            <w:pPr>
              <w:jc w:val="center"/>
              <w:ind w:right="80"/>
              <w:spacing w:after="0" w:line="55" w:lineRule="exact"/>
              <w:rPr>
                <w:sz w:val="20"/>
                <w:szCs w:val="20"/>
                <w:color w:val="auto"/>
              </w:rPr>
            </w:pPr>
            <w:r>
              <w:rPr>
                <w:rFonts w:ascii="Arial" w:cs="Arial" w:eastAsia="Arial" w:hAnsi="Arial"/>
                <w:sz w:val="5"/>
                <w:szCs w:val="5"/>
                <w:color w:val="auto"/>
                <w:w w:val="97"/>
              </w:rPr>
              <w:t>Previously Reported</w:t>
            </w:r>
          </w:p>
        </w:tc>
        <w:tc>
          <w:tcPr>
            <w:tcW w:w="580" w:type="dxa"/>
            <w:vAlign w:val="bottom"/>
          </w:tcPr>
          <w:p>
            <w:pPr>
              <w:spacing w:after="0"/>
              <w:rPr>
                <w:sz w:val="4"/>
                <w:szCs w:val="4"/>
                <w:color w:val="auto"/>
              </w:rPr>
            </w:pPr>
          </w:p>
        </w:tc>
        <w:tc>
          <w:tcPr>
            <w:tcW w:w="520" w:type="dxa"/>
            <w:vAlign w:val="bottom"/>
          </w:tcPr>
          <w:p>
            <w:pPr>
              <w:jc w:val="right"/>
              <w:ind w:right="56"/>
              <w:spacing w:after="0" w:line="55" w:lineRule="exact"/>
              <w:rPr>
                <w:sz w:val="20"/>
                <w:szCs w:val="20"/>
                <w:color w:val="auto"/>
              </w:rPr>
            </w:pPr>
            <w:r>
              <w:rPr>
                <w:rFonts w:ascii="Arial" w:cs="Arial" w:eastAsia="Arial" w:hAnsi="Arial"/>
                <w:sz w:val="5"/>
                <w:szCs w:val="5"/>
                <w:color w:val="auto"/>
                <w:w w:val="98"/>
              </w:rPr>
              <w:t>Effect of Change in</w:t>
            </w:r>
          </w:p>
        </w:tc>
        <w:tc>
          <w:tcPr>
            <w:tcW w:w="560" w:type="dxa"/>
            <w:vAlign w:val="bottom"/>
          </w:tcPr>
          <w:p>
            <w:pPr>
              <w:jc w:val="center"/>
              <w:spacing w:after="0" w:line="55" w:lineRule="exact"/>
              <w:rPr>
                <w:sz w:val="20"/>
                <w:szCs w:val="20"/>
                <w:color w:val="auto"/>
              </w:rPr>
            </w:pPr>
            <w:r>
              <w:rPr>
                <w:rFonts w:ascii="Arial" w:cs="Arial" w:eastAsia="Arial" w:hAnsi="Arial"/>
                <w:sz w:val="5"/>
                <w:szCs w:val="5"/>
                <w:color w:val="auto"/>
                <w:w w:val="99"/>
              </w:rPr>
              <w:t>- Share-Based</w:t>
            </w:r>
          </w:p>
        </w:tc>
        <w:tc>
          <w:tcPr>
            <w:tcW w:w="580" w:type="dxa"/>
            <w:vAlign w:val="bottom"/>
          </w:tcPr>
          <w:p>
            <w:pPr>
              <w:jc w:val="right"/>
              <w:ind w:right="16"/>
              <w:spacing w:after="0" w:line="55" w:lineRule="exact"/>
              <w:rPr>
                <w:sz w:val="20"/>
                <w:szCs w:val="20"/>
                <w:color w:val="auto"/>
              </w:rPr>
            </w:pPr>
            <w:r>
              <w:rPr>
                <w:rFonts w:ascii="Arial" w:cs="Arial" w:eastAsia="Arial" w:hAnsi="Arial"/>
                <w:sz w:val="5"/>
                <w:szCs w:val="5"/>
                <w:color w:val="auto"/>
                <w:w w:val="93"/>
              </w:rPr>
              <w:t>Effect of Error Correction</w:t>
            </w:r>
          </w:p>
        </w:tc>
        <w:tc>
          <w:tcPr>
            <w:tcW w:w="540" w:type="dxa"/>
            <w:vAlign w:val="bottom"/>
            <w:gridSpan w:val="2"/>
          </w:tcPr>
          <w:p>
            <w:pPr>
              <w:jc w:val="center"/>
              <w:ind w:right="60"/>
              <w:spacing w:after="0" w:line="55" w:lineRule="exact"/>
              <w:rPr>
                <w:sz w:val="20"/>
                <w:szCs w:val="20"/>
                <w:color w:val="auto"/>
              </w:rPr>
            </w:pPr>
            <w:r>
              <w:rPr>
                <w:rFonts w:ascii="Arial" w:cs="Arial" w:eastAsia="Arial" w:hAnsi="Arial"/>
                <w:sz w:val="5"/>
                <w:szCs w:val="5"/>
                <w:color w:val="auto"/>
                <w:w w:val="97"/>
              </w:rPr>
              <w:t>Previously Reported</w:t>
            </w:r>
          </w:p>
        </w:tc>
      </w:tr>
      <w:tr>
        <w:trPr>
          <w:trHeight w:val="57"/>
        </w:trPr>
        <w:tc>
          <w:tcPr>
            <w:tcW w:w="1580" w:type="dxa"/>
            <w:vAlign w:val="bottom"/>
          </w:tcPr>
          <w:p>
            <w:pPr>
              <w:spacing w:after="0"/>
              <w:rPr>
                <w:sz w:val="20"/>
                <w:szCs w:val="20"/>
                <w:color w:val="auto"/>
              </w:rPr>
            </w:pPr>
            <w:r>
              <w:rPr>
                <w:rFonts w:ascii="Arial" w:cs="Arial" w:eastAsia="Arial" w:hAnsi="Arial"/>
                <w:sz w:val="5"/>
                <w:szCs w:val="5"/>
                <w:color w:val="auto"/>
              </w:rPr>
              <w:t>(DKK million)</w:t>
            </w:r>
          </w:p>
        </w:tc>
        <w:tc>
          <w:tcPr>
            <w:tcW w:w="580" w:type="dxa"/>
            <w:vAlign w:val="bottom"/>
          </w:tcPr>
          <w:p>
            <w:pPr>
              <w:jc w:val="right"/>
              <w:ind w:right="76"/>
              <w:spacing w:after="0"/>
              <w:rPr>
                <w:sz w:val="20"/>
                <w:szCs w:val="20"/>
                <w:color w:val="auto"/>
              </w:rPr>
            </w:pPr>
            <w:r>
              <w:rPr>
                <w:rFonts w:ascii="Arial" w:cs="Arial" w:eastAsia="Arial" w:hAnsi="Arial"/>
                <w:sz w:val="5"/>
                <w:szCs w:val="5"/>
                <w:color w:val="auto"/>
              </w:rPr>
              <w:t>Reported Balances</w:t>
            </w:r>
          </w:p>
        </w:tc>
        <w:tc>
          <w:tcPr>
            <w:tcW w:w="500" w:type="dxa"/>
            <w:vAlign w:val="bottom"/>
          </w:tcPr>
          <w:p>
            <w:pPr>
              <w:jc w:val="center"/>
              <w:ind w:right="16"/>
              <w:spacing w:after="0"/>
              <w:rPr>
                <w:sz w:val="20"/>
                <w:szCs w:val="20"/>
                <w:color w:val="auto"/>
              </w:rPr>
            </w:pPr>
            <w:r>
              <w:rPr>
                <w:rFonts w:ascii="Arial" w:cs="Arial" w:eastAsia="Arial" w:hAnsi="Arial"/>
                <w:sz w:val="5"/>
                <w:szCs w:val="5"/>
                <w:color w:val="auto"/>
                <w:w w:val="96"/>
              </w:rPr>
              <w:t>Accounting Policies</w:t>
            </w:r>
          </w:p>
        </w:tc>
        <w:tc>
          <w:tcPr>
            <w:tcW w:w="620" w:type="dxa"/>
            <w:vAlign w:val="bottom"/>
            <w:gridSpan w:val="2"/>
          </w:tcPr>
          <w:p>
            <w:pPr>
              <w:jc w:val="center"/>
              <w:ind w:right="60"/>
              <w:spacing w:after="0"/>
              <w:rPr>
                <w:sz w:val="20"/>
                <w:szCs w:val="20"/>
                <w:color w:val="auto"/>
              </w:rPr>
            </w:pPr>
            <w:r>
              <w:rPr>
                <w:rFonts w:ascii="Arial" w:cs="Arial" w:eastAsia="Arial" w:hAnsi="Arial"/>
                <w:sz w:val="5"/>
                <w:szCs w:val="5"/>
                <w:color w:val="auto"/>
                <w:w w:val="98"/>
              </w:rPr>
              <w:t>in Accounting Policies</w:t>
            </w:r>
          </w:p>
        </w:tc>
        <w:tc>
          <w:tcPr>
            <w:tcW w:w="620" w:type="dxa"/>
            <w:vAlign w:val="bottom"/>
          </w:tcPr>
          <w:p>
            <w:pPr>
              <w:jc w:val="right"/>
              <w:ind w:right="96"/>
              <w:spacing w:after="0"/>
              <w:rPr>
                <w:sz w:val="20"/>
                <w:szCs w:val="20"/>
                <w:color w:val="auto"/>
              </w:rPr>
            </w:pPr>
            <w:r>
              <w:rPr>
                <w:rFonts w:ascii="Arial" w:cs="Arial" w:eastAsia="Arial" w:hAnsi="Arial"/>
                <w:sz w:val="5"/>
                <w:szCs w:val="5"/>
                <w:color w:val="auto"/>
              </w:rPr>
              <w:t>Restated Balances</w:t>
            </w:r>
          </w:p>
        </w:tc>
        <w:tc>
          <w:tcPr>
            <w:tcW w:w="520" w:type="dxa"/>
            <w:vAlign w:val="bottom"/>
          </w:tcPr>
          <w:p>
            <w:pPr>
              <w:jc w:val="right"/>
              <w:ind w:right="56"/>
              <w:spacing w:after="0"/>
              <w:rPr>
                <w:sz w:val="20"/>
                <w:szCs w:val="20"/>
                <w:color w:val="auto"/>
              </w:rPr>
            </w:pPr>
            <w:r>
              <w:rPr>
                <w:rFonts w:ascii="Arial" w:cs="Arial" w:eastAsia="Arial" w:hAnsi="Arial"/>
                <w:sz w:val="5"/>
                <w:szCs w:val="5"/>
                <w:color w:val="auto"/>
                <w:w w:val="96"/>
              </w:rPr>
              <w:t>Accounting Policies</w:t>
            </w:r>
          </w:p>
        </w:tc>
        <w:tc>
          <w:tcPr>
            <w:tcW w:w="580" w:type="dxa"/>
            <w:vAlign w:val="bottom"/>
          </w:tcPr>
          <w:p>
            <w:pPr>
              <w:jc w:val="center"/>
              <w:spacing w:after="0"/>
              <w:rPr>
                <w:sz w:val="20"/>
                <w:szCs w:val="20"/>
                <w:color w:val="auto"/>
              </w:rPr>
            </w:pPr>
            <w:r>
              <w:rPr>
                <w:rFonts w:ascii="Arial" w:cs="Arial" w:eastAsia="Arial" w:hAnsi="Arial"/>
                <w:sz w:val="5"/>
                <w:szCs w:val="5"/>
                <w:color w:val="auto"/>
                <w:w w:val="94"/>
              </w:rPr>
              <w:t>Compensation Expense</w:t>
            </w:r>
          </w:p>
        </w:tc>
        <w:tc>
          <w:tcPr>
            <w:tcW w:w="600" w:type="dxa"/>
            <w:vAlign w:val="bottom"/>
          </w:tcPr>
          <w:p>
            <w:pPr>
              <w:jc w:val="right"/>
              <w:ind w:right="196"/>
              <w:spacing w:after="0"/>
              <w:rPr>
                <w:sz w:val="20"/>
                <w:szCs w:val="20"/>
                <w:color w:val="auto"/>
              </w:rPr>
            </w:pPr>
            <w:r>
              <w:rPr>
                <w:rFonts w:ascii="Arial" w:cs="Arial" w:eastAsia="Arial" w:hAnsi="Arial"/>
                <w:sz w:val="5"/>
                <w:szCs w:val="5"/>
                <w:color w:val="auto"/>
              </w:rPr>
              <w:t>Revenue</w:t>
            </w:r>
          </w:p>
        </w:tc>
        <w:tc>
          <w:tcPr>
            <w:tcW w:w="600" w:type="dxa"/>
            <w:vAlign w:val="bottom"/>
            <w:gridSpan w:val="2"/>
          </w:tcPr>
          <w:p>
            <w:pPr>
              <w:jc w:val="center"/>
              <w:ind w:right="80"/>
              <w:spacing w:after="0"/>
              <w:rPr>
                <w:sz w:val="20"/>
                <w:szCs w:val="20"/>
                <w:color w:val="auto"/>
              </w:rPr>
            </w:pPr>
            <w:r>
              <w:rPr>
                <w:rFonts w:ascii="Arial" w:cs="Arial" w:eastAsia="Arial" w:hAnsi="Arial"/>
                <w:sz w:val="5"/>
                <w:szCs w:val="5"/>
                <w:color w:val="auto"/>
                <w:w w:val="97"/>
              </w:rPr>
              <w:t>Balances</w:t>
            </w:r>
          </w:p>
        </w:tc>
        <w:tc>
          <w:tcPr>
            <w:tcW w:w="580" w:type="dxa"/>
            <w:vAlign w:val="bottom"/>
          </w:tcPr>
          <w:p>
            <w:pPr>
              <w:jc w:val="right"/>
              <w:ind w:right="76"/>
              <w:spacing w:after="0"/>
              <w:rPr>
                <w:sz w:val="20"/>
                <w:szCs w:val="20"/>
                <w:color w:val="auto"/>
              </w:rPr>
            </w:pPr>
            <w:r>
              <w:rPr>
                <w:rFonts w:ascii="Arial" w:cs="Arial" w:eastAsia="Arial" w:hAnsi="Arial"/>
                <w:sz w:val="5"/>
                <w:szCs w:val="5"/>
                <w:color w:val="auto"/>
              </w:rPr>
              <w:t>Restated Balances</w:t>
            </w:r>
          </w:p>
        </w:tc>
        <w:tc>
          <w:tcPr>
            <w:tcW w:w="520" w:type="dxa"/>
            <w:vAlign w:val="bottom"/>
          </w:tcPr>
          <w:p>
            <w:pPr>
              <w:jc w:val="right"/>
              <w:ind w:right="36"/>
              <w:spacing w:after="0"/>
              <w:rPr>
                <w:sz w:val="20"/>
                <w:szCs w:val="20"/>
                <w:color w:val="auto"/>
              </w:rPr>
            </w:pPr>
            <w:r>
              <w:rPr>
                <w:rFonts w:ascii="Arial" w:cs="Arial" w:eastAsia="Arial" w:hAnsi="Arial"/>
                <w:sz w:val="5"/>
                <w:szCs w:val="5"/>
                <w:color w:val="auto"/>
              </w:rPr>
              <w:t>Accounting Policies</w:t>
            </w:r>
          </w:p>
        </w:tc>
        <w:tc>
          <w:tcPr>
            <w:tcW w:w="560" w:type="dxa"/>
            <w:vAlign w:val="bottom"/>
          </w:tcPr>
          <w:p>
            <w:pPr>
              <w:jc w:val="center"/>
              <w:spacing w:after="0"/>
              <w:rPr>
                <w:sz w:val="20"/>
                <w:szCs w:val="20"/>
                <w:color w:val="auto"/>
              </w:rPr>
            </w:pPr>
            <w:r>
              <w:rPr>
                <w:rFonts w:ascii="Arial" w:cs="Arial" w:eastAsia="Arial" w:hAnsi="Arial"/>
                <w:sz w:val="5"/>
                <w:szCs w:val="5"/>
                <w:color w:val="auto"/>
                <w:w w:val="97"/>
              </w:rPr>
              <w:t>Compensation Expense</w:t>
            </w:r>
          </w:p>
        </w:tc>
        <w:tc>
          <w:tcPr>
            <w:tcW w:w="580" w:type="dxa"/>
            <w:vAlign w:val="bottom"/>
          </w:tcPr>
          <w:p>
            <w:pPr>
              <w:jc w:val="right"/>
              <w:ind w:right="176"/>
              <w:spacing w:after="0"/>
              <w:rPr>
                <w:sz w:val="20"/>
                <w:szCs w:val="20"/>
                <w:color w:val="auto"/>
              </w:rPr>
            </w:pPr>
            <w:r>
              <w:rPr>
                <w:rFonts w:ascii="Arial" w:cs="Arial" w:eastAsia="Arial" w:hAnsi="Arial"/>
                <w:sz w:val="5"/>
                <w:szCs w:val="5"/>
                <w:color w:val="auto"/>
              </w:rPr>
              <w:t>- Revenue</w:t>
            </w:r>
          </w:p>
        </w:tc>
        <w:tc>
          <w:tcPr>
            <w:tcW w:w="540" w:type="dxa"/>
            <w:vAlign w:val="bottom"/>
            <w:gridSpan w:val="2"/>
          </w:tcPr>
          <w:p>
            <w:pPr>
              <w:jc w:val="center"/>
              <w:ind w:right="60"/>
              <w:spacing w:after="0"/>
              <w:rPr>
                <w:sz w:val="20"/>
                <w:szCs w:val="20"/>
                <w:color w:val="auto"/>
              </w:rPr>
            </w:pPr>
            <w:r>
              <w:rPr>
                <w:rFonts w:ascii="Arial" w:cs="Arial" w:eastAsia="Arial" w:hAnsi="Arial"/>
                <w:sz w:val="5"/>
                <w:szCs w:val="5"/>
                <w:color w:val="auto"/>
                <w:w w:val="97"/>
              </w:rPr>
              <w:t>Balances</w:t>
            </w:r>
          </w:p>
        </w:tc>
      </w:tr>
      <w:tr>
        <w:trPr>
          <w:trHeight w:val="95"/>
        </w:trPr>
        <w:tc>
          <w:tcPr>
            <w:tcW w:w="1580" w:type="dxa"/>
            <w:vAlign w:val="bottom"/>
          </w:tcPr>
          <w:p>
            <w:pPr>
              <w:spacing w:after="0"/>
              <w:rPr>
                <w:sz w:val="20"/>
                <w:szCs w:val="20"/>
                <w:color w:val="auto"/>
              </w:rPr>
            </w:pPr>
            <w:r>
              <w:rPr>
                <w:rFonts w:ascii="Arial" w:cs="Arial" w:eastAsia="Arial" w:hAnsi="Arial"/>
                <w:sz w:val="5"/>
                <w:szCs w:val="5"/>
                <w:b w:val="1"/>
                <w:bCs w:val="1"/>
                <w:color w:val="auto"/>
              </w:rPr>
              <w:t>Income Statements:</w:t>
            </w:r>
          </w:p>
        </w:tc>
        <w:tc>
          <w:tcPr>
            <w:tcW w:w="5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54"/>
        </w:trPr>
        <w:tc>
          <w:tcPr>
            <w:tcW w:w="1580" w:type="dxa"/>
            <w:vAlign w:val="bottom"/>
          </w:tcPr>
          <w:p>
            <w:pPr>
              <w:spacing w:after="0" w:line="55" w:lineRule="exact"/>
              <w:rPr>
                <w:sz w:val="20"/>
                <w:szCs w:val="20"/>
                <w:color w:val="auto"/>
              </w:rPr>
            </w:pPr>
            <w:r>
              <w:rPr>
                <w:rFonts w:ascii="Arial" w:cs="Arial" w:eastAsia="Arial" w:hAnsi="Arial"/>
                <w:sz w:val="5"/>
                <w:szCs w:val="5"/>
                <w:color w:val="auto"/>
              </w:rPr>
              <w:t>Revenue</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14,827</w:t>
            </w:r>
          </w:p>
        </w:tc>
        <w:tc>
          <w:tcPr>
            <w:tcW w:w="50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14,827</w:t>
            </w:r>
          </w:p>
        </w:tc>
        <w:tc>
          <w:tcPr>
            <w:tcW w:w="60" w:type="dxa"/>
            <w:vAlign w:val="bottom"/>
          </w:tcPr>
          <w:p>
            <w:pPr>
              <w:spacing w:after="0"/>
              <w:rPr>
                <w:sz w:val="4"/>
                <w:szCs w:val="4"/>
                <w:color w:val="auto"/>
              </w:rPr>
            </w:pPr>
          </w:p>
        </w:tc>
        <w:tc>
          <w:tcPr>
            <w:tcW w:w="620" w:type="dxa"/>
            <w:vAlign w:val="bottom"/>
          </w:tcPr>
          <w:p>
            <w:pPr>
              <w:jc w:val="right"/>
              <w:ind w:right="36"/>
              <w:spacing w:after="0" w:line="55" w:lineRule="exact"/>
              <w:rPr>
                <w:sz w:val="20"/>
                <w:szCs w:val="20"/>
                <w:color w:val="auto"/>
              </w:rPr>
            </w:pPr>
            <w:r>
              <w:rPr>
                <w:rFonts w:ascii="Arial" w:cs="Arial" w:eastAsia="Arial" w:hAnsi="Arial"/>
                <w:sz w:val="5"/>
                <w:szCs w:val="5"/>
                <w:color w:val="auto"/>
              </w:rPr>
              <w:t>8,606</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8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600" w:type="dxa"/>
            <w:vAlign w:val="bottom"/>
          </w:tcPr>
          <w:p>
            <w:pPr>
              <w:jc w:val="right"/>
              <w:ind w:right="36"/>
              <w:spacing w:after="0" w:line="55" w:lineRule="exact"/>
              <w:rPr>
                <w:sz w:val="20"/>
                <w:szCs w:val="20"/>
                <w:color w:val="auto"/>
              </w:rPr>
            </w:pPr>
            <w:r>
              <w:rPr>
                <w:rFonts w:ascii="Arial" w:cs="Arial" w:eastAsia="Arial" w:hAnsi="Arial"/>
                <w:sz w:val="5"/>
                <w:szCs w:val="5"/>
                <w:color w:val="auto"/>
              </w:rPr>
              <w:t>97</w:t>
            </w:r>
          </w:p>
        </w:tc>
        <w:tc>
          <w:tcPr>
            <w:tcW w:w="540" w:type="dxa"/>
            <w:vAlign w:val="bottom"/>
          </w:tcPr>
          <w:p>
            <w:pPr>
              <w:jc w:val="right"/>
              <w:spacing w:after="0" w:line="55" w:lineRule="exact"/>
              <w:rPr>
                <w:sz w:val="20"/>
                <w:szCs w:val="20"/>
                <w:color w:val="auto"/>
              </w:rPr>
            </w:pPr>
            <w:r>
              <w:rPr>
                <w:rFonts w:ascii="Arial" w:cs="Arial" w:eastAsia="Arial" w:hAnsi="Arial"/>
                <w:sz w:val="5"/>
                <w:szCs w:val="5"/>
                <w:color w:val="auto"/>
              </w:rPr>
              <w:t>8,509</w:t>
            </w:r>
          </w:p>
        </w:tc>
        <w:tc>
          <w:tcPr>
            <w:tcW w:w="60" w:type="dxa"/>
            <w:vAlign w:val="bottom"/>
          </w:tcPr>
          <w:p>
            <w:pPr>
              <w:spacing w:after="0"/>
              <w:rPr>
                <w:sz w:val="4"/>
                <w:szCs w:val="4"/>
                <w:color w:val="auto"/>
              </w:rPr>
            </w:pP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10,026</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41</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9,985</w:t>
            </w:r>
          </w:p>
        </w:tc>
        <w:tc>
          <w:tcPr>
            <w:tcW w:w="20" w:type="dxa"/>
            <w:vAlign w:val="bottom"/>
          </w:tcPr>
          <w:p>
            <w:pPr>
              <w:spacing w:after="0"/>
              <w:rPr>
                <w:sz w:val="4"/>
                <w:szCs w:val="4"/>
                <w:color w:val="auto"/>
              </w:rPr>
            </w:pPr>
          </w:p>
        </w:tc>
      </w:tr>
      <w:tr>
        <w:trPr>
          <w:trHeight w:val="54"/>
        </w:trPr>
        <w:tc>
          <w:tcPr>
            <w:tcW w:w="1580" w:type="dxa"/>
            <w:vAlign w:val="bottom"/>
          </w:tcPr>
          <w:p>
            <w:pPr>
              <w:spacing w:after="0" w:line="55" w:lineRule="exact"/>
              <w:rPr>
                <w:sz w:val="20"/>
                <w:szCs w:val="20"/>
                <w:color w:val="auto"/>
              </w:rPr>
            </w:pPr>
            <w:r>
              <w:rPr>
                <w:rFonts w:ascii="Arial" w:cs="Arial" w:eastAsia="Arial" w:hAnsi="Arial"/>
                <w:sz w:val="5"/>
                <w:szCs w:val="5"/>
                <w:color w:val="auto"/>
              </w:rPr>
              <w:t>Research and development expenses</w:t>
            </w:r>
          </w:p>
        </w:tc>
        <w:tc>
          <w:tcPr>
            <w:tcW w:w="580" w:type="dxa"/>
            <w:vAlign w:val="bottom"/>
          </w:tcPr>
          <w:p>
            <w:pPr>
              <w:jc w:val="right"/>
              <w:ind w:right="16"/>
              <w:spacing w:after="0" w:line="55" w:lineRule="exact"/>
              <w:rPr>
                <w:sz w:val="20"/>
                <w:szCs w:val="20"/>
                <w:color w:val="auto"/>
              </w:rPr>
            </w:pPr>
            <w:r>
              <w:rPr>
                <w:rFonts w:ascii="Arial" w:cs="Arial" w:eastAsia="Arial" w:hAnsi="Arial"/>
                <w:sz w:val="5"/>
                <w:szCs w:val="5"/>
                <w:color w:val="auto"/>
              </w:rPr>
              <w:t>(6,277)</w:t>
            </w:r>
          </w:p>
        </w:tc>
        <w:tc>
          <w:tcPr>
            <w:tcW w:w="50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620" w:type="dxa"/>
            <w:vAlign w:val="bottom"/>
            <w:gridSpan w:val="2"/>
          </w:tcPr>
          <w:p>
            <w:pPr>
              <w:jc w:val="right"/>
              <w:ind w:right="60"/>
              <w:spacing w:after="0" w:line="55" w:lineRule="exact"/>
              <w:rPr>
                <w:sz w:val="20"/>
                <w:szCs w:val="20"/>
                <w:color w:val="auto"/>
              </w:rPr>
            </w:pPr>
            <w:r>
              <w:rPr>
                <w:rFonts w:ascii="Arial" w:cs="Arial" w:eastAsia="Arial" w:hAnsi="Arial"/>
                <w:sz w:val="5"/>
                <w:szCs w:val="5"/>
                <w:color w:val="auto"/>
              </w:rPr>
              <w:t>(6,277)</w:t>
            </w:r>
          </w:p>
        </w:tc>
        <w:tc>
          <w:tcPr>
            <w:tcW w:w="620" w:type="dxa"/>
            <w:vAlign w:val="bottom"/>
          </w:tcPr>
          <w:p>
            <w:pPr>
              <w:jc w:val="right"/>
              <w:ind w:right="16"/>
              <w:spacing w:after="0" w:line="55" w:lineRule="exact"/>
              <w:rPr>
                <w:sz w:val="20"/>
                <w:szCs w:val="20"/>
                <w:color w:val="auto"/>
              </w:rPr>
            </w:pPr>
            <w:r>
              <w:rPr>
                <w:rFonts w:ascii="Arial" w:cs="Arial" w:eastAsia="Arial" w:hAnsi="Arial"/>
                <w:sz w:val="5"/>
                <w:szCs w:val="5"/>
                <w:color w:val="auto"/>
              </w:rPr>
              <w:t>(3,870)</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80" w:type="dxa"/>
            <w:vAlign w:val="bottom"/>
          </w:tcPr>
          <w:p>
            <w:pPr>
              <w:jc w:val="right"/>
              <w:spacing w:after="0" w:line="55" w:lineRule="exact"/>
              <w:rPr>
                <w:sz w:val="20"/>
                <w:szCs w:val="20"/>
                <w:color w:val="auto"/>
              </w:rPr>
            </w:pPr>
            <w:r>
              <w:rPr>
                <w:rFonts w:ascii="Arial" w:cs="Arial" w:eastAsia="Arial" w:hAnsi="Arial"/>
                <w:sz w:val="5"/>
                <w:szCs w:val="5"/>
                <w:color w:val="auto"/>
              </w:rPr>
              <w:t>184</w:t>
            </w:r>
          </w:p>
        </w:tc>
        <w:tc>
          <w:tcPr>
            <w:tcW w:w="600" w:type="dxa"/>
            <w:vAlign w:val="bottom"/>
          </w:tcPr>
          <w:p>
            <w:pPr>
              <w:jc w:val="right"/>
              <w:ind w:right="16"/>
              <w:spacing w:after="0" w:line="55" w:lineRule="exact"/>
              <w:rPr>
                <w:sz w:val="20"/>
                <w:szCs w:val="20"/>
                <w:color w:val="auto"/>
              </w:rPr>
            </w:pPr>
            <w:r>
              <w:rPr>
                <w:rFonts w:ascii="Arial" w:cs="Arial" w:eastAsia="Arial" w:hAnsi="Arial"/>
                <w:sz w:val="5"/>
                <w:szCs w:val="5"/>
                <w:color w:val="auto"/>
              </w:rPr>
              <w:t>(97)</w:t>
            </w:r>
          </w:p>
        </w:tc>
        <w:tc>
          <w:tcPr>
            <w:tcW w:w="600" w:type="dxa"/>
            <w:vAlign w:val="bottom"/>
            <w:gridSpan w:val="2"/>
          </w:tcPr>
          <w:p>
            <w:pPr>
              <w:jc w:val="right"/>
              <w:ind w:right="60"/>
              <w:spacing w:after="0" w:line="55" w:lineRule="exact"/>
              <w:rPr>
                <w:sz w:val="20"/>
                <w:szCs w:val="20"/>
                <w:color w:val="auto"/>
              </w:rPr>
            </w:pPr>
            <w:r>
              <w:rPr>
                <w:rFonts w:ascii="Arial" w:cs="Arial" w:eastAsia="Arial" w:hAnsi="Arial"/>
                <w:sz w:val="5"/>
                <w:szCs w:val="5"/>
                <w:color w:val="auto"/>
              </w:rPr>
              <w:t>(3,957)</w:t>
            </w:r>
          </w:p>
        </w:tc>
        <w:tc>
          <w:tcPr>
            <w:tcW w:w="580" w:type="dxa"/>
            <w:vAlign w:val="bottom"/>
          </w:tcPr>
          <w:p>
            <w:pPr>
              <w:jc w:val="right"/>
              <w:ind w:right="16"/>
              <w:spacing w:after="0" w:line="55" w:lineRule="exact"/>
              <w:rPr>
                <w:sz w:val="20"/>
                <w:szCs w:val="20"/>
                <w:color w:val="auto"/>
              </w:rPr>
            </w:pPr>
            <w:r>
              <w:rPr>
                <w:rFonts w:ascii="Arial" w:cs="Arial" w:eastAsia="Arial" w:hAnsi="Arial"/>
                <w:sz w:val="5"/>
                <w:szCs w:val="5"/>
                <w:color w:val="auto"/>
              </w:rPr>
              <w:t>(2,960)</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122</w:t>
            </w:r>
          </w:p>
        </w:tc>
        <w:tc>
          <w:tcPr>
            <w:tcW w:w="580" w:type="dxa"/>
            <w:vAlign w:val="bottom"/>
          </w:tcPr>
          <w:p>
            <w:pPr>
              <w:jc w:val="right"/>
              <w:ind w:right="16"/>
              <w:spacing w:after="0" w:line="55" w:lineRule="exact"/>
              <w:rPr>
                <w:sz w:val="20"/>
                <w:szCs w:val="20"/>
                <w:color w:val="auto"/>
              </w:rPr>
            </w:pPr>
            <w:r>
              <w:rPr>
                <w:rFonts w:ascii="Arial" w:cs="Arial" w:eastAsia="Arial" w:hAnsi="Arial"/>
                <w:sz w:val="5"/>
                <w:szCs w:val="5"/>
                <w:color w:val="auto"/>
              </w:rPr>
              <w:t>(41)</w:t>
            </w:r>
          </w:p>
        </w:tc>
        <w:tc>
          <w:tcPr>
            <w:tcW w:w="540" w:type="dxa"/>
            <w:vAlign w:val="bottom"/>
            <w:gridSpan w:val="2"/>
          </w:tcPr>
          <w:p>
            <w:pPr>
              <w:jc w:val="right"/>
              <w:ind w:right="20"/>
              <w:spacing w:after="0" w:line="55" w:lineRule="exact"/>
              <w:rPr>
                <w:sz w:val="20"/>
                <w:szCs w:val="20"/>
                <w:color w:val="auto"/>
              </w:rPr>
            </w:pPr>
            <w:r>
              <w:rPr>
                <w:rFonts w:ascii="Arial" w:cs="Arial" w:eastAsia="Arial" w:hAnsi="Arial"/>
                <w:sz w:val="5"/>
                <w:szCs w:val="5"/>
                <w:color w:val="auto"/>
              </w:rPr>
              <w:t>(3,041)</w:t>
            </w:r>
          </w:p>
        </w:tc>
      </w:tr>
      <w:tr>
        <w:trPr>
          <w:trHeight w:val="57"/>
        </w:trPr>
        <w:tc>
          <w:tcPr>
            <w:tcW w:w="1580" w:type="dxa"/>
            <w:vAlign w:val="bottom"/>
          </w:tcPr>
          <w:p>
            <w:pPr>
              <w:spacing w:after="0"/>
              <w:rPr>
                <w:sz w:val="20"/>
                <w:szCs w:val="20"/>
                <w:color w:val="auto"/>
              </w:rPr>
            </w:pPr>
            <w:r>
              <w:rPr>
                <w:rFonts w:ascii="Arial" w:cs="Arial" w:eastAsia="Arial" w:hAnsi="Arial"/>
                <w:sz w:val="5"/>
                <w:szCs w:val="5"/>
                <w:color w:val="auto"/>
              </w:rPr>
              <w:t>Selling, general and administrative expenses</w:t>
            </w:r>
          </w:p>
        </w:tc>
        <w:tc>
          <w:tcPr>
            <w:tcW w:w="580" w:type="dxa"/>
            <w:vAlign w:val="bottom"/>
          </w:tcPr>
          <w:p>
            <w:pPr>
              <w:jc w:val="right"/>
              <w:ind w:right="16"/>
              <w:spacing w:after="0"/>
              <w:rPr>
                <w:sz w:val="20"/>
                <w:szCs w:val="20"/>
                <w:color w:val="auto"/>
              </w:rPr>
            </w:pPr>
            <w:r>
              <w:rPr>
                <w:rFonts w:ascii="Arial" w:cs="Arial" w:eastAsia="Arial" w:hAnsi="Arial"/>
                <w:sz w:val="5"/>
                <w:szCs w:val="5"/>
                <w:color w:val="auto"/>
              </w:rPr>
              <w:t>(2,728)</w:t>
            </w:r>
          </w:p>
        </w:tc>
        <w:tc>
          <w:tcPr>
            <w:tcW w:w="500" w:type="dxa"/>
            <w:vAlign w:val="bottom"/>
          </w:tcPr>
          <w:p>
            <w:pPr>
              <w:jc w:val="right"/>
              <w:spacing w:after="0"/>
              <w:rPr>
                <w:sz w:val="20"/>
                <w:szCs w:val="20"/>
                <w:color w:val="auto"/>
              </w:rPr>
            </w:pPr>
            <w:r>
              <w:rPr>
                <w:rFonts w:ascii="Arial" w:cs="Arial" w:eastAsia="Arial" w:hAnsi="Arial"/>
                <w:sz w:val="5"/>
                <w:szCs w:val="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5"/>
                <w:szCs w:val="5"/>
                <w:color w:val="auto"/>
              </w:rPr>
              <w:t>(2,728)</w:t>
            </w:r>
          </w:p>
        </w:tc>
        <w:tc>
          <w:tcPr>
            <w:tcW w:w="620" w:type="dxa"/>
            <w:vAlign w:val="bottom"/>
          </w:tcPr>
          <w:p>
            <w:pPr>
              <w:jc w:val="right"/>
              <w:ind w:right="16"/>
              <w:spacing w:after="0"/>
              <w:rPr>
                <w:sz w:val="20"/>
                <w:szCs w:val="20"/>
                <w:color w:val="auto"/>
              </w:rPr>
            </w:pPr>
            <w:r>
              <w:rPr>
                <w:rFonts w:ascii="Arial" w:cs="Arial" w:eastAsia="Arial" w:hAnsi="Arial"/>
                <w:sz w:val="5"/>
                <w:szCs w:val="5"/>
                <w:color w:val="auto"/>
              </w:rPr>
              <w:t>(1,219)</w:t>
            </w:r>
          </w:p>
        </w:tc>
        <w:tc>
          <w:tcPr>
            <w:tcW w:w="520" w:type="dxa"/>
            <w:vAlign w:val="bottom"/>
          </w:tcPr>
          <w:p>
            <w:pPr>
              <w:jc w:val="right"/>
              <w:spacing w:after="0"/>
              <w:rPr>
                <w:sz w:val="20"/>
                <w:szCs w:val="20"/>
                <w:color w:val="auto"/>
              </w:rPr>
            </w:pPr>
            <w:r>
              <w:rPr>
                <w:rFonts w:ascii="Arial" w:cs="Arial" w:eastAsia="Arial" w:hAnsi="Arial"/>
                <w:sz w:val="5"/>
                <w:szCs w:val="5"/>
                <w:color w:val="auto"/>
              </w:rPr>
              <w:t>-</w:t>
            </w:r>
          </w:p>
        </w:tc>
        <w:tc>
          <w:tcPr>
            <w:tcW w:w="580" w:type="dxa"/>
            <w:vAlign w:val="bottom"/>
          </w:tcPr>
          <w:p>
            <w:pPr>
              <w:jc w:val="right"/>
              <w:spacing w:after="0"/>
              <w:rPr>
                <w:sz w:val="20"/>
                <w:szCs w:val="20"/>
                <w:color w:val="auto"/>
              </w:rPr>
            </w:pPr>
            <w:r>
              <w:rPr>
                <w:rFonts w:ascii="Arial" w:cs="Arial" w:eastAsia="Arial" w:hAnsi="Arial"/>
                <w:sz w:val="5"/>
                <w:szCs w:val="5"/>
                <w:color w:val="auto"/>
              </w:rPr>
              <w:t>77</w:t>
            </w:r>
          </w:p>
        </w:tc>
        <w:tc>
          <w:tcPr>
            <w:tcW w:w="60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5"/>
                <w:szCs w:val="5"/>
                <w:color w:val="auto"/>
              </w:rPr>
              <w:t>(1,296)</w:t>
            </w:r>
          </w:p>
        </w:tc>
        <w:tc>
          <w:tcPr>
            <w:tcW w:w="580" w:type="dxa"/>
            <w:vAlign w:val="bottom"/>
          </w:tcPr>
          <w:p>
            <w:pPr>
              <w:jc w:val="right"/>
              <w:ind w:right="16"/>
              <w:spacing w:after="0"/>
              <w:rPr>
                <w:sz w:val="20"/>
                <w:szCs w:val="20"/>
                <w:color w:val="auto"/>
              </w:rPr>
            </w:pPr>
            <w:r>
              <w:rPr>
                <w:rFonts w:ascii="Arial" w:cs="Arial" w:eastAsia="Arial" w:hAnsi="Arial"/>
                <w:sz w:val="5"/>
                <w:szCs w:val="5"/>
                <w:color w:val="auto"/>
              </w:rPr>
              <w:t>(599)</w:t>
            </w:r>
          </w:p>
        </w:tc>
        <w:tc>
          <w:tcPr>
            <w:tcW w:w="520" w:type="dxa"/>
            <w:vAlign w:val="bottom"/>
          </w:tcPr>
          <w:p>
            <w:pPr>
              <w:jc w:val="right"/>
              <w:spacing w:after="0"/>
              <w:rPr>
                <w:sz w:val="20"/>
                <w:szCs w:val="20"/>
                <w:color w:val="auto"/>
              </w:rPr>
            </w:pPr>
            <w:r>
              <w:rPr>
                <w:rFonts w:ascii="Arial" w:cs="Arial" w:eastAsia="Arial" w:hAnsi="Arial"/>
                <w:sz w:val="5"/>
                <w:szCs w:val="5"/>
                <w:color w:val="auto"/>
              </w:rPr>
              <w:t>-</w:t>
            </w:r>
          </w:p>
        </w:tc>
        <w:tc>
          <w:tcPr>
            <w:tcW w:w="560" w:type="dxa"/>
            <w:vAlign w:val="bottom"/>
          </w:tcPr>
          <w:p>
            <w:pPr>
              <w:jc w:val="right"/>
              <w:spacing w:after="0"/>
              <w:rPr>
                <w:sz w:val="20"/>
                <w:szCs w:val="20"/>
                <w:color w:val="auto"/>
              </w:rPr>
            </w:pPr>
            <w:r>
              <w:rPr>
                <w:rFonts w:ascii="Arial" w:cs="Arial" w:eastAsia="Arial" w:hAnsi="Arial"/>
                <w:sz w:val="5"/>
                <w:szCs w:val="5"/>
                <w:color w:val="auto"/>
              </w:rPr>
              <w:t>38</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5"/>
                <w:szCs w:val="5"/>
                <w:color w:val="auto"/>
              </w:rPr>
              <w:t>(637)</w:t>
            </w: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Operating expenses</w:t>
            </w:r>
          </w:p>
        </w:tc>
        <w:tc>
          <w:tcPr>
            <w:tcW w:w="580" w:type="dxa"/>
            <w:vAlign w:val="bottom"/>
            <w:tcBorders>
              <w:top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(9,005)</w:t>
            </w:r>
          </w:p>
        </w:tc>
        <w:tc>
          <w:tcPr>
            <w:tcW w:w="50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(9,005)</w:t>
            </w:r>
          </w:p>
        </w:tc>
        <w:tc>
          <w:tcPr>
            <w:tcW w:w="60" w:type="dxa"/>
            <w:vAlign w:val="bottom"/>
          </w:tcPr>
          <w:p>
            <w:pPr>
              <w:spacing w:after="0"/>
              <w:rPr>
                <w:sz w:val="3"/>
                <w:szCs w:val="3"/>
                <w:color w:val="auto"/>
              </w:rPr>
            </w:pPr>
          </w:p>
        </w:tc>
        <w:tc>
          <w:tcPr>
            <w:tcW w:w="620" w:type="dxa"/>
            <w:vAlign w:val="bottom"/>
            <w:tcBorders>
              <w:top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(5,089)</w:t>
            </w:r>
          </w:p>
        </w:tc>
        <w:tc>
          <w:tcPr>
            <w:tcW w:w="52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261</w:t>
            </w:r>
          </w:p>
        </w:tc>
        <w:tc>
          <w:tcPr>
            <w:tcW w:w="600" w:type="dxa"/>
            <w:vAlign w:val="bottom"/>
            <w:tcBorders>
              <w:top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(97)</w:t>
            </w:r>
          </w:p>
        </w:tc>
        <w:tc>
          <w:tcPr>
            <w:tcW w:w="54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(5,253)</w:t>
            </w:r>
          </w:p>
        </w:tc>
        <w:tc>
          <w:tcPr>
            <w:tcW w:w="60" w:type="dxa"/>
            <w:vAlign w:val="bottom"/>
          </w:tcPr>
          <w:p>
            <w:pPr>
              <w:spacing w:after="0"/>
              <w:rPr>
                <w:sz w:val="3"/>
                <w:szCs w:val="3"/>
                <w:color w:val="auto"/>
              </w:rPr>
            </w:pPr>
          </w:p>
        </w:tc>
        <w:tc>
          <w:tcPr>
            <w:tcW w:w="580" w:type="dxa"/>
            <w:vAlign w:val="bottom"/>
            <w:tcBorders>
              <w:top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(3,559)</w:t>
            </w:r>
          </w:p>
        </w:tc>
        <w:tc>
          <w:tcPr>
            <w:tcW w:w="52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top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160</w:t>
            </w:r>
          </w:p>
        </w:tc>
        <w:tc>
          <w:tcPr>
            <w:tcW w:w="580" w:type="dxa"/>
            <w:vAlign w:val="bottom"/>
            <w:tcBorders>
              <w:top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(41)</w:t>
            </w:r>
          </w:p>
        </w:tc>
        <w:tc>
          <w:tcPr>
            <w:tcW w:w="540" w:type="dxa"/>
            <w:vAlign w:val="bottom"/>
            <w:tcBorders>
              <w:top w:val="single" w:sz="8" w:color="auto"/>
            </w:tcBorders>
            <w:gridSpan w:val="2"/>
          </w:tcPr>
          <w:p>
            <w:pPr>
              <w:jc w:val="right"/>
              <w:ind w:right="20"/>
              <w:spacing w:after="0" w:line="44" w:lineRule="exact"/>
              <w:rPr>
                <w:sz w:val="20"/>
                <w:szCs w:val="20"/>
                <w:color w:val="auto"/>
              </w:rPr>
            </w:pPr>
            <w:r>
              <w:rPr>
                <w:rFonts w:ascii="Arial" w:cs="Arial" w:eastAsia="Arial" w:hAnsi="Arial"/>
                <w:sz w:val="5"/>
                <w:szCs w:val="5"/>
                <w:b w:val="1"/>
                <w:bCs w:val="1"/>
                <w:color w:val="auto"/>
              </w:rPr>
              <w:t>(3,678)</w:t>
            </w: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Operating profit</w:t>
            </w: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5,822</w:t>
            </w:r>
          </w:p>
        </w:tc>
        <w:tc>
          <w:tcPr>
            <w:tcW w:w="50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5,822</w:t>
            </w:r>
          </w:p>
        </w:tc>
        <w:tc>
          <w:tcPr>
            <w:tcW w:w="60" w:type="dxa"/>
            <w:vAlign w:val="bottom"/>
          </w:tcPr>
          <w:p>
            <w:pPr>
              <w:spacing w:after="0"/>
              <w:rPr>
                <w:sz w:val="3"/>
                <w:szCs w:val="3"/>
                <w:color w:val="auto"/>
              </w:rPr>
            </w:pPr>
          </w:p>
        </w:tc>
        <w:tc>
          <w:tcPr>
            <w:tcW w:w="62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3,517</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261</w:t>
            </w:r>
          </w:p>
        </w:tc>
        <w:tc>
          <w:tcPr>
            <w:tcW w:w="60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3,256</w:t>
            </w:r>
          </w:p>
        </w:tc>
        <w:tc>
          <w:tcPr>
            <w:tcW w:w="60" w:type="dxa"/>
            <w:vAlign w:val="bottom"/>
          </w:tcPr>
          <w:p>
            <w:pPr>
              <w:spacing w:after="0"/>
              <w:rPr>
                <w:sz w:val="3"/>
                <w:szCs w:val="3"/>
                <w:color w:val="auto"/>
              </w:rPr>
            </w:pP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6,467</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160</w:t>
            </w: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6,307</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color w:val="auto"/>
              </w:rPr>
              <w:t>Profit / (Loss) in subsidiaries, net of tax</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(566)</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566</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890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(261)</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(629)</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(633)</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(160)</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793</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Net profit before tax</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6,753</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(566)</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7,319</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4,873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3,983</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5,202</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(633)</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5,835</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Net profit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5,242</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(566)</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5,808</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3,898</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3,008</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4,125</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(633)</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4,758</w:t>
            </w:r>
          </w:p>
        </w:tc>
        <w:tc>
          <w:tcPr>
            <w:tcW w:w="20" w:type="dxa"/>
            <w:vAlign w:val="bottom"/>
          </w:tcPr>
          <w:p>
            <w:pPr>
              <w:spacing w:after="0"/>
              <w:rPr>
                <w:sz w:val="3"/>
                <w:szCs w:val="3"/>
                <w:color w:val="auto"/>
              </w:rPr>
            </w:pPr>
          </w:p>
        </w:tc>
      </w:tr>
      <w:tr>
        <w:trPr>
          <w:trHeight w:val="103"/>
        </w:trPr>
        <w:tc>
          <w:tcPr>
            <w:tcW w:w="1580" w:type="dxa"/>
            <w:vAlign w:val="bottom"/>
          </w:tcPr>
          <w:p>
            <w:pPr>
              <w:spacing w:after="0"/>
              <w:rPr>
                <w:sz w:val="20"/>
                <w:szCs w:val="20"/>
                <w:color w:val="auto"/>
              </w:rPr>
            </w:pPr>
            <w:r>
              <w:rPr>
                <w:rFonts w:ascii="Arial" w:cs="Arial" w:eastAsia="Arial" w:hAnsi="Arial"/>
                <w:sz w:val="5"/>
                <w:szCs w:val="5"/>
                <w:color w:val="auto"/>
              </w:rPr>
              <w:t>Adjustment of foreign currency fluctuations on subsidiaries</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00" w:type="dxa"/>
            <w:vAlign w:val="bottom"/>
          </w:tcPr>
          <w:p>
            <w:pPr>
              <w:jc w:val="right"/>
              <w:spacing w:after="0"/>
              <w:rPr>
                <w:sz w:val="20"/>
                <w:szCs w:val="20"/>
                <w:color w:val="auto"/>
              </w:rPr>
            </w:pPr>
            <w:r>
              <w:rPr>
                <w:rFonts w:ascii="Arial" w:cs="Arial" w:eastAsia="Arial" w:hAnsi="Arial"/>
                <w:sz w:val="5"/>
                <w:szCs w:val="5"/>
                <w:color w:val="auto"/>
              </w:rPr>
              <w:t>(41)</w:t>
            </w:r>
          </w:p>
        </w:tc>
        <w:tc>
          <w:tcPr>
            <w:tcW w:w="560" w:type="dxa"/>
            <w:vAlign w:val="bottom"/>
          </w:tcPr>
          <w:p>
            <w:pPr>
              <w:jc w:val="right"/>
              <w:spacing w:after="0"/>
              <w:rPr>
                <w:sz w:val="20"/>
                <w:szCs w:val="20"/>
                <w:color w:val="auto"/>
              </w:rPr>
            </w:pPr>
            <w:r>
              <w:rPr>
                <w:rFonts w:ascii="Arial" w:cs="Arial" w:eastAsia="Arial" w:hAnsi="Arial"/>
                <w:sz w:val="5"/>
                <w:szCs w:val="5"/>
                <w:color w:val="auto"/>
              </w:rPr>
              <w:t>41</w:t>
            </w:r>
          </w:p>
        </w:tc>
        <w:tc>
          <w:tcPr>
            <w:tcW w:w="60" w:type="dxa"/>
            <w:vAlign w:val="bottom"/>
          </w:tcPr>
          <w:p>
            <w:pPr>
              <w:spacing w:after="0"/>
              <w:rPr>
                <w:sz w:val="8"/>
                <w:szCs w:val="8"/>
                <w:color w:val="auto"/>
              </w:rPr>
            </w:pPr>
          </w:p>
        </w:tc>
        <w:tc>
          <w:tcPr>
            <w:tcW w:w="62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(27)</w:t>
            </w:r>
          </w:p>
        </w:tc>
        <w:tc>
          <w:tcPr>
            <w:tcW w:w="580" w:type="dxa"/>
            <w:vAlign w:val="bottom"/>
          </w:tcPr>
          <w:p>
            <w:pPr>
              <w:jc w:val="right"/>
              <w:spacing w:after="0"/>
              <w:rPr>
                <w:sz w:val="20"/>
                <w:szCs w:val="20"/>
                <w:color w:val="auto"/>
              </w:rPr>
            </w:pPr>
            <w:r>
              <w:rPr>
                <w:rFonts w:ascii="Arial" w:cs="Arial" w:eastAsia="Arial" w:hAnsi="Arial"/>
                <w:sz w:val="5"/>
                <w:szCs w:val="5"/>
                <w:color w:val="auto"/>
              </w:rPr>
              <w:t>-</w:t>
            </w:r>
          </w:p>
        </w:tc>
        <w:tc>
          <w:tcPr>
            <w:tcW w:w="60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tcPr>
          <w:p>
            <w:pPr>
              <w:jc w:val="right"/>
              <w:spacing w:after="0"/>
              <w:rPr>
                <w:sz w:val="20"/>
                <w:szCs w:val="20"/>
                <w:color w:val="auto"/>
              </w:rPr>
            </w:pPr>
            <w:r>
              <w:rPr>
                <w:rFonts w:ascii="Arial" w:cs="Arial" w:eastAsia="Arial" w:hAnsi="Arial"/>
                <w:sz w:val="5"/>
                <w:szCs w:val="5"/>
                <w:color w:val="auto"/>
              </w:rPr>
              <w:t>27</w:t>
            </w:r>
          </w:p>
        </w:tc>
        <w:tc>
          <w:tcPr>
            <w:tcW w:w="60" w:type="dxa"/>
            <w:vAlign w:val="bottom"/>
          </w:tcPr>
          <w:p>
            <w:pPr>
              <w:spacing w:after="0"/>
              <w:rPr>
                <w:sz w:val="8"/>
                <w:szCs w:val="8"/>
                <w:color w:val="auto"/>
              </w:rPr>
            </w:pP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44</w:t>
            </w:r>
          </w:p>
        </w:tc>
        <w:tc>
          <w:tcPr>
            <w:tcW w:w="560" w:type="dxa"/>
            <w:vAlign w:val="bottom"/>
          </w:tcPr>
          <w:p>
            <w:pPr>
              <w:jc w:val="right"/>
              <w:spacing w:after="0"/>
              <w:rPr>
                <w:sz w:val="20"/>
                <w:szCs w:val="20"/>
                <w:color w:val="auto"/>
              </w:rPr>
            </w:pPr>
            <w:r>
              <w:rPr>
                <w:rFonts w:ascii="Arial" w:cs="Arial" w:eastAsia="Arial" w:hAnsi="Arial"/>
                <w:sz w:val="5"/>
                <w:szCs w:val="5"/>
                <w:color w:val="auto"/>
              </w:rPr>
              <w:t>-</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5"/>
                <w:szCs w:val="5"/>
                <w:color w:val="auto"/>
              </w:rPr>
              <w:t>(44)</w:t>
            </w:r>
          </w:p>
        </w:tc>
      </w:tr>
      <w:tr>
        <w:trPr>
          <w:trHeight w:val="101"/>
        </w:trPr>
        <w:tc>
          <w:tcPr>
            <w:tcW w:w="1580" w:type="dxa"/>
            <w:vAlign w:val="bottom"/>
          </w:tcPr>
          <w:p>
            <w:pPr>
              <w:spacing w:after="0"/>
              <w:rPr>
                <w:sz w:val="20"/>
                <w:szCs w:val="20"/>
                <w:color w:val="auto"/>
              </w:rPr>
            </w:pPr>
            <w:r>
              <w:rPr>
                <w:rFonts w:ascii="Arial" w:cs="Arial" w:eastAsia="Arial" w:hAnsi="Arial"/>
                <w:sz w:val="5"/>
                <w:szCs w:val="5"/>
                <w:b w:val="1"/>
                <w:bCs w:val="1"/>
                <w:color w:val="auto"/>
              </w:rPr>
              <w:t>Balance Sheets:</w:t>
            </w: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57"/>
        </w:trPr>
        <w:tc>
          <w:tcPr>
            <w:tcW w:w="1580" w:type="dxa"/>
            <w:vAlign w:val="bottom"/>
          </w:tcPr>
          <w:p>
            <w:pPr>
              <w:spacing w:after="0"/>
              <w:rPr>
                <w:sz w:val="20"/>
                <w:szCs w:val="20"/>
                <w:color w:val="auto"/>
              </w:rPr>
            </w:pPr>
            <w:r>
              <w:rPr>
                <w:rFonts w:ascii="Arial" w:cs="Arial" w:eastAsia="Arial" w:hAnsi="Arial"/>
                <w:sz w:val="5"/>
                <w:szCs w:val="5"/>
                <w:color w:val="auto"/>
              </w:rPr>
              <w:t>Investments in subsidiaries</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2,806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891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1,915</w:t>
            </w:r>
          </w:p>
        </w:tc>
        <w:tc>
          <w:tcPr>
            <w:tcW w:w="60" w:type="dxa"/>
            <w:vAlign w:val="bottom"/>
          </w:tcPr>
          <w:p>
            <w:pPr>
              <w:spacing w:after="0"/>
              <w:rPr>
                <w:sz w:val="4"/>
                <w:szCs w:val="4"/>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2,506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1,195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1,311</w:t>
            </w:r>
          </w:p>
        </w:tc>
        <w:tc>
          <w:tcPr>
            <w:tcW w:w="60" w:type="dxa"/>
            <w:vAlign w:val="bottom"/>
          </w:tcPr>
          <w:p>
            <w:pPr>
              <w:spacing w:after="0"/>
              <w:rPr>
                <w:sz w:val="4"/>
                <w:szCs w:val="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1,954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332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1,622</w:t>
            </w:r>
          </w:p>
        </w:tc>
        <w:tc>
          <w:tcPr>
            <w:tcW w:w="20" w:type="dxa"/>
            <w:vAlign w:val="bottom"/>
          </w:tcPr>
          <w:p>
            <w:pPr>
              <w:spacing w:after="0"/>
              <w:rPr>
                <w:sz w:val="4"/>
                <w:szCs w:val="4"/>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Total non-current assets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3,542</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891</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2,651</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3,054</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1,195</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1,859</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2,489</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332</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2,157</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color w:val="auto"/>
              </w:rPr>
              <w:t>Receivables from subsidiaries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129</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129</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9</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79</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73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(70)</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143</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Total current assets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27,296</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27,296</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22,399</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22,469</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18,654</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18,724</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Total assets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30,838</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891</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29,947</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25,453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1,125</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24,328</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21,143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262</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20,881</w:t>
            </w:r>
          </w:p>
        </w:tc>
        <w:tc>
          <w:tcPr>
            <w:tcW w:w="20" w:type="dxa"/>
            <w:vAlign w:val="bottom"/>
          </w:tcPr>
          <w:p>
            <w:pPr>
              <w:spacing w:after="0"/>
              <w:rPr>
                <w:sz w:val="3"/>
                <w:szCs w:val="3"/>
                <w:color w:val="auto"/>
              </w:rPr>
            </w:pPr>
          </w:p>
        </w:tc>
      </w:tr>
      <w:tr>
        <w:trPr>
          <w:trHeight w:val="95"/>
        </w:trPr>
        <w:tc>
          <w:tcPr>
            <w:tcW w:w="1580" w:type="dxa"/>
            <w:vAlign w:val="bottom"/>
          </w:tcPr>
          <w:p>
            <w:pPr>
              <w:spacing w:after="0"/>
              <w:rPr>
                <w:sz w:val="20"/>
                <w:szCs w:val="20"/>
                <w:color w:val="auto"/>
              </w:rPr>
            </w:pPr>
            <w:r>
              <w:rPr>
                <w:rFonts w:ascii="Arial" w:cs="Arial" w:eastAsia="Arial" w:hAnsi="Arial"/>
                <w:sz w:val="5"/>
                <w:szCs w:val="5"/>
                <w:color w:val="auto"/>
              </w:rPr>
              <w:t>Other reserves</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00" w:type="dxa"/>
            <w:vAlign w:val="bottom"/>
          </w:tcPr>
          <w:p>
            <w:pPr>
              <w:jc w:val="right"/>
              <w:spacing w:after="0"/>
              <w:rPr>
                <w:sz w:val="20"/>
                <w:szCs w:val="20"/>
                <w:color w:val="auto"/>
              </w:rPr>
            </w:pPr>
            <w:r>
              <w:rPr>
                <w:rFonts w:ascii="Arial" w:cs="Arial" w:eastAsia="Arial" w:hAnsi="Arial"/>
                <w:sz w:val="5"/>
                <w:szCs w:val="5"/>
                <w:color w:val="auto"/>
              </w:rPr>
              <w:t>(122)</w:t>
            </w:r>
          </w:p>
        </w:tc>
        <w:tc>
          <w:tcPr>
            <w:tcW w:w="560" w:type="dxa"/>
            <w:vAlign w:val="bottom"/>
          </w:tcPr>
          <w:p>
            <w:pPr>
              <w:jc w:val="right"/>
              <w:spacing w:after="0"/>
              <w:rPr>
                <w:sz w:val="20"/>
                <w:szCs w:val="20"/>
                <w:color w:val="auto"/>
              </w:rPr>
            </w:pPr>
            <w:r>
              <w:rPr>
                <w:rFonts w:ascii="Arial" w:cs="Arial" w:eastAsia="Arial" w:hAnsi="Arial"/>
                <w:sz w:val="5"/>
                <w:szCs w:val="5"/>
                <w:color w:val="auto"/>
              </w:rPr>
              <w:t>122</w:t>
            </w:r>
          </w:p>
        </w:tc>
        <w:tc>
          <w:tcPr>
            <w:tcW w:w="60" w:type="dxa"/>
            <w:vAlign w:val="bottom"/>
          </w:tcPr>
          <w:p>
            <w:pPr>
              <w:spacing w:after="0"/>
              <w:rPr>
                <w:sz w:val="8"/>
                <w:szCs w:val="8"/>
                <w:color w:val="auto"/>
              </w:rPr>
            </w:pPr>
          </w:p>
        </w:tc>
        <w:tc>
          <w:tcPr>
            <w:tcW w:w="62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(81)</w:t>
            </w:r>
          </w:p>
        </w:tc>
        <w:tc>
          <w:tcPr>
            <w:tcW w:w="580" w:type="dxa"/>
            <w:vAlign w:val="bottom"/>
          </w:tcPr>
          <w:p>
            <w:pPr>
              <w:jc w:val="right"/>
              <w:spacing w:after="0"/>
              <w:rPr>
                <w:sz w:val="20"/>
                <w:szCs w:val="20"/>
                <w:color w:val="auto"/>
              </w:rPr>
            </w:pPr>
            <w:r>
              <w:rPr>
                <w:rFonts w:ascii="Arial" w:cs="Arial" w:eastAsia="Arial" w:hAnsi="Arial"/>
                <w:sz w:val="5"/>
                <w:szCs w:val="5"/>
                <w:color w:val="auto"/>
              </w:rPr>
              <w:t>-</w:t>
            </w:r>
          </w:p>
        </w:tc>
        <w:tc>
          <w:tcPr>
            <w:tcW w:w="60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tcPr>
          <w:p>
            <w:pPr>
              <w:jc w:val="right"/>
              <w:spacing w:after="0"/>
              <w:rPr>
                <w:sz w:val="20"/>
                <w:szCs w:val="20"/>
                <w:color w:val="auto"/>
              </w:rPr>
            </w:pPr>
            <w:r>
              <w:rPr>
                <w:rFonts w:ascii="Arial" w:cs="Arial" w:eastAsia="Arial" w:hAnsi="Arial"/>
                <w:sz w:val="5"/>
                <w:szCs w:val="5"/>
                <w:color w:val="auto"/>
              </w:rPr>
              <w:t>81</w:t>
            </w:r>
          </w:p>
        </w:tc>
        <w:tc>
          <w:tcPr>
            <w:tcW w:w="60" w:type="dxa"/>
            <w:vAlign w:val="bottom"/>
          </w:tcPr>
          <w:p>
            <w:pPr>
              <w:spacing w:after="0"/>
              <w:rPr>
                <w:sz w:val="8"/>
                <w:szCs w:val="8"/>
                <w:color w:val="auto"/>
              </w:rPr>
            </w:pP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(54)</w:t>
            </w:r>
          </w:p>
        </w:tc>
        <w:tc>
          <w:tcPr>
            <w:tcW w:w="560" w:type="dxa"/>
            <w:vAlign w:val="bottom"/>
          </w:tcPr>
          <w:p>
            <w:pPr>
              <w:jc w:val="right"/>
              <w:spacing w:after="0"/>
              <w:rPr>
                <w:sz w:val="20"/>
                <w:szCs w:val="20"/>
                <w:color w:val="auto"/>
              </w:rPr>
            </w:pPr>
            <w:r>
              <w:rPr>
                <w:rFonts w:ascii="Arial" w:cs="Arial" w:eastAsia="Arial" w:hAnsi="Arial"/>
                <w:sz w:val="5"/>
                <w:szCs w:val="5"/>
                <w:color w:val="auto"/>
              </w:rPr>
              <w:t>-</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54</w:t>
            </w:r>
          </w:p>
        </w:tc>
        <w:tc>
          <w:tcPr>
            <w:tcW w:w="20" w:type="dxa"/>
            <w:vAlign w:val="bottom"/>
          </w:tcPr>
          <w:p>
            <w:pPr>
              <w:spacing w:after="0"/>
              <w:rPr>
                <w:sz w:val="8"/>
                <w:szCs w:val="8"/>
                <w:color w:val="auto"/>
              </w:rPr>
            </w:pPr>
          </w:p>
        </w:tc>
      </w:tr>
      <w:tr>
        <w:trPr>
          <w:trHeight w:val="57"/>
        </w:trPr>
        <w:tc>
          <w:tcPr>
            <w:tcW w:w="1580" w:type="dxa"/>
            <w:vAlign w:val="bottom"/>
          </w:tcPr>
          <w:p>
            <w:pPr>
              <w:spacing w:after="0"/>
              <w:rPr>
                <w:sz w:val="20"/>
                <w:szCs w:val="20"/>
                <w:color w:val="auto"/>
              </w:rPr>
            </w:pPr>
            <w:r>
              <w:rPr>
                <w:rFonts w:ascii="Arial" w:cs="Arial" w:eastAsia="Arial" w:hAnsi="Arial"/>
                <w:sz w:val="5"/>
                <w:szCs w:val="5"/>
                <w:color w:val="auto"/>
              </w:rPr>
              <w:t>Retained earnings</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15,900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1,013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14,887</w:t>
            </w:r>
          </w:p>
        </w:tc>
        <w:tc>
          <w:tcPr>
            <w:tcW w:w="60" w:type="dxa"/>
            <w:vAlign w:val="bottom"/>
          </w:tcPr>
          <w:p>
            <w:pPr>
              <w:spacing w:after="0"/>
              <w:rPr>
                <w:sz w:val="4"/>
                <w:szCs w:val="4"/>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11,226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1,206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10,020</w:t>
            </w:r>
          </w:p>
        </w:tc>
        <w:tc>
          <w:tcPr>
            <w:tcW w:w="60" w:type="dxa"/>
            <w:vAlign w:val="bottom"/>
          </w:tcPr>
          <w:p>
            <w:pPr>
              <w:spacing w:after="0"/>
              <w:rPr>
                <w:sz w:val="4"/>
                <w:szCs w:val="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7,423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316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rPr>
              <w:t>7,107</w:t>
            </w:r>
          </w:p>
        </w:tc>
        <w:tc>
          <w:tcPr>
            <w:tcW w:w="20" w:type="dxa"/>
            <w:vAlign w:val="bottom"/>
          </w:tcPr>
          <w:p>
            <w:pPr>
              <w:spacing w:after="0"/>
              <w:rPr>
                <w:sz w:val="4"/>
                <w:szCs w:val="4"/>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Total shareholders' equity</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28,275</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891</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27,384</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23,321</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1,125</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22,196</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19,383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262</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19,121</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Total shareholders' equity and liabilities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30,838</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891</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29,947</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25,453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1,125</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24,328</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21,143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262</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20,881</w:t>
            </w:r>
          </w:p>
        </w:tc>
        <w:tc>
          <w:tcPr>
            <w:tcW w:w="20" w:type="dxa"/>
            <w:vAlign w:val="bottom"/>
          </w:tcPr>
          <w:p>
            <w:pPr>
              <w:spacing w:after="0"/>
              <w:rPr>
                <w:sz w:val="3"/>
                <w:szCs w:val="3"/>
                <w:color w:val="auto"/>
              </w:rPr>
            </w:pPr>
          </w:p>
        </w:tc>
      </w:tr>
      <w:tr>
        <w:trPr>
          <w:trHeight w:val="95"/>
        </w:trPr>
        <w:tc>
          <w:tcPr>
            <w:tcW w:w="1580" w:type="dxa"/>
            <w:vAlign w:val="bottom"/>
          </w:tcPr>
          <w:p>
            <w:pPr>
              <w:spacing w:after="0"/>
              <w:rPr>
                <w:sz w:val="20"/>
                <w:szCs w:val="20"/>
                <w:color w:val="auto"/>
              </w:rPr>
            </w:pPr>
            <w:r>
              <w:rPr>
                <w:rFonts w:ascii="Arial" w:cs="Arial" w:eastAsia="Arial" w:hAnsi="Arial"/>
                <w:sz w:val="5"/>
                <w:szCs w:val="5"/>
                <w:b w:val="1"/>
                <w:bCs w:val="1"/>
                <w:color w:val="auto"/>
              </w:rPr>
              <w:t>Statements of Cash Flows:</w:t>
            </w: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54"/>
        </w:trPr>
        <w:tc>
          <w:tcPr>
            <w:tcW w:w="1580" w:type="dxa"/>
            <w:vAlign w:val="bottom"/>
          </w:tcPr>
          <w:p>
            <w:pPr>
              <w:spacing w:after="0" w:line="55" w:lineRule="exact"/>
              <w:rPr>
                <w:sz w:val="20"/>
                <w:szCs w:val="20"/>
                <w:color w:val="auto"/>
              </w:rPr>
            </w:pPr>
            <w:r>
              <w:rPr>
                <w:rFonts w:ascii="Arial" w:cs="Arial" w:eastAsia="Arial" w:hAnsi="Arial"/>
                <w:sz w:val="5"/>
                <w:szCs w:val="5"/>
                <w:color w:val="auto"/>
              </w:rPr>
              <w:t>Net profit before tax</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6,753</w:t>
            </w:r>
          </w:p>
        </w:tc>
        <w:tc>
          <w:tcPr>
            <w:tcW w:w="500" w:type="dxa"/>
            <w:vAlign w:val="bottom"/>
          </w:tcPr>
          <w:p>
            <w:pPr>
              <w:jc w:val="right"/>
              <w:spacing w:after="0" w:line="55" w:lineRule="exact"/>
              <w:rPr>
                <w:sz w:val="20"/>
                <w:szCs w:val="20"/>
                <w:color w:val="auto"/>
              </w:rPr>
            </w:pPr>
            <w:r>
              <w:rPr>
                <w:rFonts w:ascii="Arial" w:cs="Arial" w:eastAsia="Arial" w:hAnsi="Arial"/>
                <w:sz w:val="5"/>
                <w:szCs w:val="5"/>
                <w:color w:val="auto"/>
              </w:rPr>
              <w:t>(566)</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7,319</w:t>
            </w:r>
          </w:p>
        </w:tc>
        <w:tc>
          <w:tcPr>
            <w:tcW w:w="60" w:type="dxa"/>
            <w:vAlign w:val="bottom"/>
          </w:tcPr>
          <w:p>
            <w:pPr>
              <w:spacing w:after="0"/>
              <w:rPr>
                <w:sz w:val="4"/>
                <w:szCs w:val="4"/>
                <w:color w:val="auto"/>
              </w:rPr>
            </w:pPr>
          </w:p>
        </w:tc>
        <w:tc>
          <w:tcPr>
            <w:tcW w:w="620" w:type="dxa"/>
            <w:vAlign w:val="bottom"/>
          </w:tcPr>
          <w:p>
            <w:pPr>
              <w:jc w:val="right"/>
              <w:ind w:right="36"/>
              <w:spacing w:after="0" w:line="55" w:lineRule="exact"/>
              <w:rPr>
                <w:sz w:val="20"/>
                <w:szCs w:val="20"/>
                <w:color w:val="auto"/>
              </w:rPr>
            </w:pPr>
            <w:r>
              <w:rPr>
                <w:rFonts w:ascii="Arial" w:cs="Arial" w:eastAsia="Arial" w:hAnsi="Arial"/>
                <w:sz w:val="5"/>
                <w:szCs w:val="5"/>
                <w:color w:val="auto"/>
              </w:rPr>
              <w:t>4,873</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890</w:t>
            </w:r>
          </w:p>
        </w:tc>
        <w:tc>
          <w:tcPr>
            <w:tcW w:w="58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60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40" w:type="dxa"/>
            <w:vAlign w:val="bottom"/>
          </w:tcPr>
          <w:p>
            <w:pPr>
              <w:jc w:val="right"/>
              <w:spacing w:after="0" w:line="55" w:lineRule="exact"/>
              <w:rPr>
                <w:sz w:val="20"/>
                <w:szCs w:val="20"/>
                <w:color w:val="auto"/>
              </w:rPr>
            </w:pPr>
            <w:r>
              <w:rPr>
                <w:rFonts w:ascii="Arial" w:cs="Arial" w:eastAsia="Arial" w:hAnsi="Arial"/>
                <w:sz w:val="5"/>
                <w:szCs w:val="5"/>
                <w:color w:val="auto"/>
              </w:rPr>
              <w:t>3,983</w:t>
            </w:r>
          </w:p>
        </w:tc>
        <w:tc>
          <w:tcPr>
            <w:tcW w:w="60" w:type="dxa"/>
            <w:vAlign w:val="bottom"/>
          </w:tcPr>
          <w:p>
            <w:pPr>
              <w:spacing w:after="0"/>
              <w:rPr>
                <w:sz w:val="4"/>
                <w:szCs w:val="4"/>
                <w:color w:val="auto"/>
              </w:rPr>
            </w:pP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5,202</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(633)</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5,835</w:t>
            </w:r>
          </w:p>
        </w:tc>
        <w:tc>
          <w:tcPr>
            <w:tcW w:w="20" w:type="dxa"/>
            <w:vAlign w:val="bottom"/>
          </w:tcPr>
          <w:p>
            <w:pPr>
              <w:spacing w:after="0"/>
              <w:rPr>
                <w:sz w:val="4"/>
                <w:szCs w:val="4"/>
                <w:color w:val="auto"/>
              </w:rPr>
            </w:pPr>
          </w:p>
        </w:tc>
      </w:tr>
      <w:tr>
        <w:trPr>
          <w:trHeight w:val="54"/>
        </w:trPr>
        <w:tc>
          <w:tcPr>
            <w:tcW w:w="1580" w:type="dxa"/>
            <w:vAlign w:val="bottom"/>
          </w:tcPr>
          <w:p>
            <w:pPr>
              <w:spacing w:after="0" w:line="55" w:lineRule="exact"/>
              <w:rPr>
                <w:sz w:val="20"/>
                <w:szCs w:val="20"/>
                <w:color w:val="auto"/>
              </w:rPr>
            </w:pPr>
            <w:r>
              <w:rPr>
                <w:rFonts w:ascii="Arial" w:cs="Arial" w:eastAsia="Arial" w:hAnsi="Arial"/>
                <w:sz w:val="5"/>
                <w:szCs w:val="5"/>
                <w:color w:val="auto"/>
              </w:rPr>
              <w:t>Reversal of profit/(loss) in subsidiaries, net of tax</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00" w:type="dxa"/>
            <w:vAlign w:val="bottom"/>
          </w:tcPr>
          <w:p>
            <w:pPr>
              <w:jc w:val="right"/>
              <w:spacing w:after="0" w:line="55" w:lineRule="exact"/>
              <w:rPr>
                <w:sz w:val="20"/>
                <w:szCs w:val="20"/>
                <w:color w:val="auto"/>
              </w:rPr>
            </w:pPr>
            <w:r>
              <w:rPr>
                <w:rFonts w:ascii="Arial" w:cs="Arial" w:eastAsia="Arial" w:hAnsi="Arial"/>
                <w:sz w:val="5"/>
                <w:szCs w:val="5"/>
                <w:color w:val="auto"/>
              </w:rPr>
              <w:t>566</w:t>
            </w:r>
          </w:p>
        </w:tc>
        <w:tc>
          <w:tcPr>
            <w:tcW w:w="620" w:type="dxa"/>
            <w:vAlign w:val="bottom"/>
            <w:gridSpan w:val="2"/>
          </w:tcPr>
          <w:p>
            <w:pPr>
              <w:jc w:val="right"/>
              <w:ind w:right="60"/>
              <w:spacing w:after="0" w:line="55" w:lineRule="exact"/>
              <w:rPr>
                <w:sz w:val="20"/>
                <w:szCs w:val="20"/>
                <w:color w:val="auto"/>
              </w:rPr>
            </w:pPr>
            <w:r>
              <w:rPr>
                <w:rFonts w:ascii="Arial" w:cs="Arial" w:eastAsia="Arial" w:hAnsi="Arial"/>
                <w:sz w:val="5"/>
                <w:szCs w:val="5"/>
                <w:color w:val="auto"/>
              </w:rPr>
              <w:t>(566)</w:t>
            </w:r>
          </w:p>
        </w:tc>
        <w:tc>
          <w:tcPr>
            <w:tcW w:w="62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(890)</w:t>
            </w:r>
          </w:p>
        </w:tc>
        <w:tc>
          <w:tcPr>
            <w:tcW w:w="580" w:type="dxa"/>
            <w:vAlign w:val="bottom"/>
          </w:tcPr>
          <w:p>
            <w:pPr>
              <w:jc w:val="right"/>
              <w:spacing w:after="0" w:line="55" w:lineRule="exact"/>
              <w:rPr>
                <w:sz w:val="20"/>
                <w:szCs w:val="20"/>
                <w:color w:val="auto"/>
              </w:rPr>
            </w:pPr>
            <w:r>
              <w:rPr>
                <w:rFonts w:ascii="Arial" w:cs="Arial" w:eastAsia="Arial" w:hAnsi="Arial"/>
                <w:sz w:val="5"/>
                <w:szCs w:val="5"/>
                <w:color w:val="auto"/>
              </w:rPr>
              <w:t>261</w:t>
            </w:r>
          </w:p>
        </w:tc>
        <w:tc>
          <w:tcPr>
            <w:tcW w:w="60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40" w:type="dxa"/>
            <w:vAlign w:val="bottom"/>
          </w:tcPr>
          <w:p>
            <w:pPr>
              <w:jc w:val="right"/>
              <w:spacing w:after="0" w:line="55" w:lineRule="exact"/>
              <w:rPr>
                <w:sz w:val="20"/>
                <w:szCs w:val="20"/>
                <w:color w:val="auto"/>
              </w:rPr>
            </w:pPr>
            <w:r>
              <w:rPr>
                <w:rFonts w:ascii="Arial" w:cs="Arial" w:eastAsia="Arial" w:hAnsi="Arial"/>
                <w:sz w:val="5"/>
                <w:szCs w:val="5"/>
                <w:color w:val="auto"/>
              </w:rPr>
              <w:t>629</w:t>
            </w:r>
          </w:p>
        </w:tc>
        <w:tc>
          <w:tcPr>
            <w:tcW w:w="60" w:type="dxa"/>
            <w:vAlign w:val="bottom"/>
          </w:tcPr>
          <w:p>
            <w:pPr>
              <w:spacing w:after="0"/>
              <w:rPr>
                <w:sz w:val="4"/>
                <w:szCs w:val="4"/>
                <w:color w:val="auto"/>
              </w:rPr>
            </w:pP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633</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160</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40" w:type="dxa"/>
            <w:vAlign w:val="bottom"/>
            <w:gridSpan w:val="2"/>
          </w:tcPr>
          <w:p>
            <w:pPr>
              <w:jc w:val="right"/>
              <w:ind w:right="20"/>
              <w:spacing w:after="0" w:line="55" w:lineRule="exact"/>
              <w:rPr>
                <w:sz w:val="20"/>
                <w:szCs w:val="20"/>
                <w:color w:val="auto"/>
              </w:rPr>
            </w:pPr>
            <w:r>
              <w:rPr>
                <w:rFonts w:ascii="Arial" w:cs="Arial" w:eastAsia="Arial" w:hAnsi="Arial"/>
                <w:sz w:val="5"/>
                <w:szCs w:val="5"/>
                <w:color w:val="auto"/>
              </w:rPr>
              <w:t>(793)</w:t>
            </w:r>
          </w:p>
        </w:tc>
      </w:tr>
      <w:tr>
        <w:trPr>
          <w:trHeight w:val="54"/>
        </w:trPr>
        <w:tc>
          <w:tcPr>
            <w:tcW w:w="1580" w:type="dxa"/>
            <w:vAlign w:val="bottom"/>
          </w:tcPr>
          <w:p>
            <w:pPr>
              <w:spacing w:after="0" w:line="55" w:lineRule="exact"/>
              <w:rPr>
                <w:sz w:val="20"/>
                <w:szCs w:val="20"/>
                <w:color w:val="auto"/>
              </w:rPr>
            </w:pPr>
            <w:r>
              <w:rPr>
                <w:rFonts w:ascii="Arial" w:cs="Arial" w:eastAsia="Arial" w:hAnsi="Arial"/>
                <w:sz w:val="5"/>
                <w:szCs w:val="5"/>
                <w:color w:val="auto"/>
              </w:rPr>
              <w:t>Adjustment for non-cash transactions</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172</w:t>
            </w:r>
          </w:p>
        </w:tc>
        <w:tc>
          <w:tcPr>
            <w:tcW w:w="50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172</w:t>
            </w:r>
          </w:p>
        </w:tc>
        <w:tc>
          <w:tcPr>
            <w:tcW w:w="60" w:type="dxa"/>
            <w:vAlign w:val="bottom"/>
          </w:tcPr>
          <w:p>
            <w:pPr>
              <w:spacing w:after="0"/>
              <w:rPr>
                <w:sz w:val="4"/>
                <w:szCs w:val="4"/>
                <w:color w:val="auto"/>
              </w:rPr>
            </w:pPr>
          </w:p>
        </w:tc>
        <w:tc>
          <w:tcPr>
            <w:tcW w:w="620" w:type="dxa"/>
            <w:vAlign w:val="bottom"/>
          </w:tcPr>
          <w:p>
            <w:pPr>
              <w:jc w:val="right"/>
              <w:ind w:right="36"/>
              <w:spacing w:after="0" w:line="55" w:lineRule="exact"/>
              <w:rPr>
                <w:sz w:val="20"/>
                <w:szCs w:val="20"/>
                <w:color w:val="auto"/>
              </w:rPr>
            </w:pPr>
            <w:r>
              <w:rPr>
                <w:rFonts w:ascii="Arial" w:cs="Arial" w:eastAsia="Arial" w:hAnsi="Arial"/>
                <w:sz w:val="5"/>
                <w:szCs w:val="5"/>
                <w:color w:val="auto"/>
              </w:rPr>
              <w:t>139</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80" w:type="dxa"/>
            <w:vAlign w:val="bottom"/>
          </w:tcPr>
          <w:p>
            <w:pPr>
              <w:jc w:val="right"/>
              <w:spacing w:after="0" w:line="55" w:lineRule="exact"/>
              <w:rPr>
                <w:sz w:val="20"/>
                <w:szCs w:val="20"/>
                <w:color w:val="auto"/>
              </w:rPr>
            </w:pPr>
            <w:r>
              <w:rPr>
                <w:rFonts w:ascii="Arial" w:cs="Arial" w:eastAsia="Arial" w:hAnsi="Arial"/>
                <w:sz w:val="5"/>
                <w:szCs w:val="5"/>
                <w:color w:val="auto"/>
              </w:rPr>
              <w:t>(261)</w:t>
            </w:r>
          </w:p>
        </w:tc>
        <w:tc>
          <w:tcPr>
            <w:tcW w:w="60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40" w:type="dxa"/>
            <w:vAlign w:val="bottom"/>
          </w:tcPr>
          <w:p>
            <w:pPr>
              <w:jc w:val="right"/>
              <w:spacing w:after="0" w:line="55" w:lineRule="exact"/>
              <w:rPr>
                <w:sz w:val="20"/>
                <w:szCs w:val="20"/>
                <w:color w:val="auto"/>
              </w:rPr>
            </w:pPr>
            <w:r>
              <w:rPr>
                <w:rFonts w:ascii="Arial" w:cs="Arial" w:eastAsia="Arial" w:hAnsi="Arial"/>
                <w:sz w:val="5"/>
                <w:szCs w:val="5"/>
                <w:color w:val="auto"/>
              </w:rPr>
              <w:t>400</w:t>
            </w:r>
          </w:p>
        </w:tc>
        <w:tc>
          <w:tcPr>
            <w:tcW w:w="60" w:type="dxa"/>
            <w:vAlign w:val="bottom"/>
          </w:tcPr>
          <w:p>
            <w:pPr>
              <w:spacing w:after="0"/>
              <w:rPr>
                <w:sz w:val="4"/>
                <w:szCs w:val="4"/>
                <w:color w:val="auto"/>
              </w:rPr>
            </w:pP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177</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w:t>
            </w:r>
          </w:p>
        </w:tc>
        <w:tc>
          <w:tcPr>
            <w:tcW w:w="560" w:type="dxa"/>
            <w:vAlign w:val="bottom"/>
          </w:tcPr>
          <w:p>
            <w:pPr>
              <w:jc w:val="right"/>
              <w:spacing w:after="0" w:line="55" w:lineRule="exact"/>
              <w:rPr>
                <w:sz w:val="20"/>
                <w:szCs w:val="20"/>
                <w:color w:val="auto"/>
              </w:rPr>
            </w:pPr>
            <w:r>
              <w:rPr>
                <w:rFonts w:ascii="Arial" w:cs="Arial" w:eastAsia="Arial" w:hAnsi="Arial"/>
                <w:sz w:val="5"/>
                <w:szCs w:val="5"/>
                <w:color w:val="auto"/>
              </w:rPr>
              <w:t>(160)</w:t>
            </w:r>
          </w:p>
        </w:tc>
        <w:tc>
          <w:tcPr>
            <w:tcW w:w="580" w:type="dxa"/>
            <w:vAlign w:val="bottom"/>
          </w:tcPr>
          <w:p>
            <w:pPr>
              <w:jc w:val="right"/>
              <w:ind w:right="36"/>
              <w:spacing w:after="0" w:line="55" w:lineRule="exact"/>
              <w:rPr>
                <w:sz w:val="20"/>
                <w:szCs w:val="20"/>
                <w:color w:val="auto"/>
              </w:rPr>
            </w:pPr>
            <w:r>
              <w:rPr>
                <w:rFonts w:ascii="Arial" w:cs="Arial" w:eastAsia="Arial" w:hAnsi="Arial"/>
                <w:sz w:val="5"/>
                <w:szCs w:val="5"/>
                <w:color w:val="auto"/>
              </w:rPr>
              <w:t>-</w:t>
            </w:r>
          </w:p>
        </w:tc>
        <w:tc>
          <w:tcPr>
            <w:tcW w:w="520" w:type="dxa"/>
            <w:vAlign w:val="bottom"/>
          </w:tcPr>
          <w:p>
            <w:pPr>
              <w:jc w:val="right"/>
              <w:spacing w:after="0" w:line="55" w:lineRule="exact"/>
              <w:rPr>
                <w:sz w:val="20"/>
                <w:szCs w:val="20"/>
                <w:color w:val="auto"/>
              </w:rPr>
            </w:pPr>
            <w:r>
              <w:rPr>
                <w:rFonts w:ascii="Arial" w:cs="Arial" w:eastAsia="Arial" w:hAnsi="Arial"/>
                <w:sz w:val="5"/>
                <w:szCs w:val="5"/>
                <w:color w:val="auto"/>
              </w:rPr>
              <w:t>337</w:t>
            </w:r>
          </w:p>
        </w:tc>
        <w:tc>
          <w:tcPr>
            <w:tcW w:w="20" w:type="dxa"/>
            <w:vAlign w:val="bottom"/>
          </w:tcPr>
          <w:p>
            <w:pPr>
              <w:spacing w:after="0"/>
              <w:rPr>
                <w:sz w:val="4"/>
                <w:szCs w:val="4"/>
                <w:color w:val="auto"/>
              </w:rPr>
            </w:pPr>
          </w:p>
        </w:tc>
      </w:tr>
      <w:tr>
        <w:trPr>
          <w:trHeight w:val="57"/>
        </w:trPr>
        <w:tc>
          <w:tcPr>
            <w:tcW w:w="1580" w:type="dxa"/>
            <w:vAlign w:val="bottom"/>
          </w:tcPr>
          <w:p>
            <w:pPr>
              <w:spacing w:after="0"/>
              <w:rPr>
                <w:sz w:val="20"/>
                <w:szCs w:val="20"/>
                <w:color w:val="auto"/>
              </w:rPr>
            </w:pPr>
            <w:r>
              <w:rPr>
                <w:rFonts w:ascii="Arial" w:cs="Arial" w:eastAsia="Arial" w:hAnsi="Arial"/>
                <w:sz w:val="5"/>
                <w:szCs w:val="5"/>
                <w:color w:val="auto"/>
              </w:rPr>
              <w:t>Change in operating assets and liabilities</w:t>
            </w:r>
          </w:p>
        </w:tc>
        <w:tc>
          <w:tcPr>
            <w:tcW w:w="580" w:type="dxa"/>
            <w:vAlign w:val="bottom"/>
          </w:tcPr>
          <w:p>
            <w:pPr>
              <w:jc w:val="right"/>
              <w:ind w:right="16"/>
              <w:spacing w:after="0"/>
              <w:rPr>
                <w:sz w:val="20"/>
                <w:szCs w:val="20"/>
                <w:color w:val="auto"/>
              </w:rPr>
            </w:pPr>
            <w:r>
              <w:rPr>
                <w:rFonts w:ascii="Arial" w:cs="Arial" w:eastAsia="Arial" w:hAnsi="Arial"/>
                <w:sz w:val="5"/>
                <w:szCs w:val="5"/>
                <w:color w:val="auto"/>
              </w:rPr>
              <w:t>(2,186)</w:t>
            </w:r>
          </w:p>
        </w:tc>
        <w:tc>
          <w:tcPr>
            <w:tcW w:w="500" w:type="dxa"/>
            <w:vAlign w:val="bottom"/>
          </w:tcPr>
          <w:p>
            <w:pPr>
              <w:jc w:val="right"/>
              <w:spacing w:after="0"/>
              <w:rPr>
                <w:sz w:val="20"/>
                <w:szCs w:val="20"/>
                <w:color w:val="auto"/>
              </w:rPr>
            </w:pPr>
            <w:r>
              <w:rPr>
                <w:rFonts w:ascii="Arial" w:cs="Arial" w:eastAsia="Arial" w:hAnsi="Arial"/>
                <w:sz w:val="5"/>
                <w:szCs w:val="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5"/>
                <w:szCs w:val="5"/>
                <w:color w:val="auto"/>
              </w:rPr>
              <w:t>(2,186)</w:t>
            </w:r>
          </w:p>
        </w:tc>
        <w:tc>
          <w:tcPr>
            <w:tcW w:w="620" w:type="dxa"/>
            <w:vAlign w:val="bottom"/>
          </w:tcPr>
          <w:p>
            <w:pPr>
              <w:jc w:val="right"/>
              <w:ind w:right="16"/>
              <w:spacing w:after="0"/>
              <w:rPr>
                <w:sz w:val="20"/>
                <w:szCs w:val="20"/>
                <w:color w:val="auto"/>
              </w:rPr>
            </w:pPr>
            <w:r>
              <w:rPr>
                <w:rFonts w:ascii="Arial" w:cs="Arial" w:eastAsia="Arial" w:hAnsi="Arial"/>
                <w:sz w:val="5"/>
                <w:szCs w:val="5"/>
                <w:color w:val="auto"/>
              </w:rPr>
              <w:t>(954)</w:t>
            </w:r>
          </w:p>
        </w:tc>
        <w:tc>
          <w:tcPr>
            <w:tcW w:w="520" w:type="dxa"/>
            <w:vAlign w:val="bottom"/>
          </w:tcPr>
          <w:p>
            <w:pPr>
              <w:jc w:val="right"/>
              <w:spacing w:after="0"/>
              <w:rPr>
                <w:sz w:val="20"/>
                <w:szCs w:val="20"/>
                <w:color w:val="auto"/>
              </w:rPr>
            </w:pPr>
            <w:r>
              <w:rPr>
                <w:rFonts w:ascii="Arial" w:cs="Arial" w:eastAsia="Arial" w:hAnsi="Arial"/>
                <w:sz w:val="5"/>
                <w:szCs w:val="5"/>
                <w:color w:val="auto"/>
              </w:rPr>
              <w:t>70</w:t>
            </w:r>
          </w:p>
        </w:tc>
        <w:tc>
          <w:tcPr>
            <w:tcW w:w="580" w:type="dxa"/>
            <w:vAlign w:val="bottom"/>
          </w:tcPr>
          <w:p>
            <w:pPr>
              <w:jc w:val="right"/>
              <w:spacing w:after="0"/>
              <w:rPr>
                <w:sz w:val="20"/>
                <w:szCs w:val="20"/>
                <w:color w:val="auto"/>
              </w:rPr>
            </w:pPr>
            <w:r>
              <w:rPr>
                <w:rFonts w:ascii="Arial" w:cs="Arial" w:eastAsia="Arial" w:hAnsi="Arial"/>
                <w:sz w:val="5"/>
                <w:szCs w:val="5"/>
                <w:color w:val="auto"/>
              </w:rPr>
              <w:t>-</w:t>
            </w:r>
          </w:p>
        </w:tc>
        <w:tc>
          <w:tcPr>
            <w:tcW w:w="60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5"/>
                <w:szCs w:val="5"/>
                <w:color w:val="auto"/>
              </w:rPr>
              <w:t>(1,024)</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1,039</w:t>
            </w:r>
          </w:p>
        </w:tc>
        <w:tc>
          <w:tcPr>
            <w:tcW w:w="520" w:type="dxa"/>
            <w:vAlign w:val="bottom"/>
          </w:tcPr>
          <w:p>
            <w:pPr>
              <w:jc w:val="right"/>
              <w:spacing w:after="0"/>
              <w:rPr>
                <w:sz w:val="20"/>
                <w:szCs w:val="20"/>
                <w:color w:val="auto"/>
              </w:rPr>
            </w:pPr>
            <w:r>
              <w:rPr>
                <w:rFonts w:ascii="Arial" w:cs="Arial" w:eastAsia="Arial" w:hAnsi="Arial"/>
                <w:sz w:val="5"/>
                <w:szCs w:val="5"/>
                <w:color w:val="auto"/>
              </w:rPr>
              <w:t>70</w:t>
            </w:r>
          </w:p>
        </w:tc>
        <w:tc>
          <w:tcPr>
            <w:tcW w:w="560" w:type="dxa"/>
            <w:vAlign w:val="bottom"/>
          </w:tcPr>
          <w:p>
            <w:pPr>
              <w:jc w:val="right"/>
              <w:spacing w:after="0"/>
              <w:rPr>
                <w:sz w:val="20"/>
                <w:szCs w:val="20"/>
                <w:color w:val="auto"/>
              </w:rPr>
            </w:pPr>
            <w:r>
              <w:rPr>
                <w:rFonts w:ascii="Arial" w:cs="Arial" w:eastAsia="Arial" w:hAnsi="Arial"/>
                <w:sz w:val="5"/>
                <w:szCs w:val="5"/>
                <w:color w:val="auto"/>
              </w:rPr>
              <w:t>-</w:t>
            </w:r>
          </w:p>
        </w:tc>
        <w:tc>
          <w:tcPr>
            <w:tcW w:w="580" w:type="dxa"/>
            <w:vAlign w:val="bottom"/>
          </w:tcPr>
          <w:p>
            <w:pPr>
              <w:jc w:val="right"/>
              <w:ind w:right="36"/>
              <w:spacing w:after="0"/>
              <w:rPr>
                <w:sz w:val="20"/>
                <w:szCs w:val="20"/>
                <w:color w:val="auto"/>
              </w:rPr>
            </w:pPr>
            <w:r>
              <w:rPr>
                <w:rFonts w:ascii="Arial" w:cs="Arial" w:eastAsia="Arial" w:hAnsi="Arial"/>
                <w:sz w:val="5"/>
                <w:szCs w:val="5"/>
                <w:color w:val="auto"/>
              </w:rPr>
              <w:t>-</w:t>
            </w:r>
          </w:p>
        </w:tc>
        <w:tc>
          <w:tcPr>
            <w:tcW w:w="520" w:type="dxa"/>
            <w:vAlign w:val="bottom"/>
          </w:tcPr>
          <w:p>
            <w:pPr>
              <w:jc w:val="right"/>
              <w:spacing w:after="0"/>
              <w:rPr>
                <w:sz w:val="20"/>
                <w:szCs w:val="20"/>
                <w:color w:val="auto"/>
              </w:rPr>
            </w:pPr>
            <w:r>
              <w:rPr>
                <w:rFonts w:ascii="Arial" w:cs="Arial" w:eastAsia="Arial" w:hAnsi="Arial"/>
                <w:sz w:val="5"/>
                <w:szCs w:val="5"/>
                <w:color w:val="auto"/>
              </w:rPr>
              <w:t>969</w:t>
            </w:r>
          </w:p>
        </w:tc>
        <w:tc>
          <w:tcPr>
            <w:tcW w:w="20" w:type="dxa"/>
            <w:vAlign w:val="bottom"/>
          </w:tcPr>
          <w:p>
            <w:pPr>
              <w:spacing w:after="0"/>
              <w:rPr>
                <w:sz w:val="4"/>
                <w:szCs w:val="4"/>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Cash provided by operating activities before financial items</w:t>
            </w: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3,808</w:t>
            </w:r>
          </w:p>
        </w:tc>
        <w:tc>
          <w:tcPr>
            <w:tcW w:w="50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3,808</w:t>
            </w:r>
          </w:p>
        </w:tc>
        <w:tc>
          <w:tcPr>
            <w:tcW w:w="60" w:type="dxa"/>
            <w:vAlign w:val="bottom"/>
          </w:tcPr>
          <w:p>
            <w:pPr>
              <w:spacing w:after="0"/>
              <w:rPr>
                <w:sz w:val="3"/>
                <w:szCs w:val="3"/>
                <w:color w:val="auto"/>
              </w:rPr>
            </w:pPr>
          </w:p>
        </w:tc>
        <w:tc>
          <w:tcPr>
            <w:tcW w:w="62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2,702</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8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2,632</w:t>
            </w:r>
          </w:p>
        </w:tc>
        <w:tc>
          <w:tcPr>
            <w:tcW w:w="60" w:type="dxa"/>
            <w:vAlign w:val="bottom"/>
          </w:tcPr>
          <w:p>
            <w:pPr>
              <w:spacing w:after="0"/>
              <w:rPr>
                <w:sz w:val="3"/>
                <w:szCs w:val="3"/>
                <w:color w:val="auto"/>
              </w:rPr>
            </w:pP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7,683</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6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top w:val="single" w:sz="8" w:color="auto"/>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top w:val="single" w:sz="8" w:color="auto"/>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7,613</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Net cash provided by operating activities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2,504</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2,504</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2,170</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2,100</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6,365</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6,295</w:t>
            </w:r>
          </w:p>
        </w:tc>
        <w:tc>
          <w:tcPr>
            <w:tcW w:w="20" w:type="dxa"/>
            <w:vAlign w:val="bottom"/>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color w:val="auto"/>
              </w:rPr>
              <w:t>Transactions with subsidiaries</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374</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374</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93</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163</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16"/>
              <w:spacing w:after="0" w:line="44" w:lineRule="exact"/>
              <w:rPr>
                <w:sz w:val="20"/>
                <w:szCs w:val="20"/>
                <w:color w:val="auto"/>
              </w:rPr>
            </w:pPr>
            <w:r>
              <w:rPr>
                <w:rFonts w:ascii="Arial" w:cs="Arial" w:eastAsia="Arial" w:hAnsi="Arial"/>
                <w:sz w:val="5"/>
                <w:szCs w:val="5"/>
                <w:color w:val="auto"/>
              </w:rPr>
              <w:t>(117)</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(70)</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color w:val="auto"/>
              </w:rPr>
              <w:t>-</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color w:val="auto"/>
              </w:rPr>
              <w:t>(47)</w:t>
            </w:r>
          </w:p>
        </w:tc>
        <w:tc>
          <w:tcPr>
            <w:tcW w:w="20" w:type="dxa"/>
            <w:vAlign w:val="bottom"/>
            <w:tcBorders>
              <w:bottom w:val="single" w:sz="8" w:color="auto"/>
            </w:tcBorders>
          </w:tcPr>
          <w:p>
            <w:pPr>
              <w:spacing w:after="0"/>
              <w:rPr>
                <w:sz w:val="3"/>
                <w:szCs w:val="3"/>
                <w:color w:val="auto"/>
              </w:rPr>
            </w:pPr>
          </w:p>
        </w:tc>
      </w:tr>
      <w:tr>
        <w:trPr>
          <w:trHeight w:val="43"/>
        </w:trPr>
        <w:tc>
          <w:tcPr>
            <w:tcW w:w="1580" w:type="dxa"/>
            <w:vAlign w:val="bottom"/>
          </w:tcPr>
          <w:p>
            <w:pPr>
              <w:spacing w:after="0" w:line="44" w:lineRule="exact"/>
              <w:rPr>
                <w:sz w:val="20"/>
                <w:szCs w:val="20"/>
                <w:color w:val="auto"/>
              </w:rPr>
            </w:pPr>
            <w:r>
              <w:rPr>
                <w:rFonts w:ascii="Arial" w:cs="Arial" w:eastAsia="Arial" w:hAnsi="Arial"/>
                <w:sz w:val="5"/>
                <w:szCs w:val="5"/>
                <w:b w:val="1"/>
                <w:bCs w:val="1"/>
                <w:color w:val="auto"/>
              </w:rPr>
              <w:t>Net cash (used in) investing activities</w:t>
            </w:r>
          </w:p>
        </w:tc>
        <w:tc>
          <w:tcPr>
            <w:tcW w:w="580" w:type="dxa"/>
            <w:vAlign w:val="bottom"/>
            <w:tcBorders>
              <w:bottom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(2,282)</w:t>
            </w:r>
          </w:p>
        </w:tc>
        <w:tc>
          <w:tcPr>
            <w:tcW w:w="50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(2,282)</w:t>
            </w:r>
          </w:p>
        </w:tc>
        <w:tc>
          <w:tcPr>
            <w:tcW w:w="60" w:type="dxa"/>
            <w:vAlign w:val="bottom"/>
          </w:tcPr>
          <w:p>
            <w:pPr>
              <w:spacing w:after="0"/>
              <w:rPr>
                <w:sz w:val="3"/>
                <w:szCs w:val="3"/>
                <w:color w:val="auto"/>
              </w:rPr>
            </w:pPr>
          </w:p>
        </w:tc>
        <w:tc>
          <w:tcPr>
            <w:tcW w:w="620" w:type="dxa"/>
            <w:vAlign w:val="bottom"/>
            <w:tcBorders>
              <w:bottom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(977)</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8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60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(907)</w:t>
            </w:r>
          </w:p>
        </w:tc>
        <w:tc>
          <w:tcPr>
            <w:tcW w:w="60" w:type="dxa"/>
            <w:vAlign w:val="bottom"/>
          </w:tcPr>
          <w:p>
            <w:pPr>
              <w:spacing w:after="0"/>
              <w:rPr>
                <w:sz w:val="3"/>
                <w:szCs w:val="3"/>
                <w:color w:val="auto"/>
              </w:rPr>
            </w:pPr>
          </w:p>
        </w:tc>
        <w:tc>
          <w:tcPr>
            <w:tcW w:w="580" w:type="dxa"/>
            <w:vAlign w:val="bottom"/>
            <w:tcBorders>
              <w:bottom w:val="single" w:sz="8" w:color="auto"/>
            </w:tcBorders>
          </w:tcPr>
          <w:p>
            <w:pPr>
              <w:jc w:val="right"/>
              <w:ind w:right="16"/>
              <w:spacing w:after="0" w:line="44" w:lineRule="exact"/>
              <w:rPr>
                <w:sz w:val="20"/>
                <w:szCs w:val="20"/>
                <w:color w:val="auto"/>
              </w:rPr>
            </w:pPr>
            <w:r>
              <w:rPr>
                <w:rFonts w:ascii="Arial" w:cs="Arial" w:eastAsia="Arial" w:hAnsi="Arial"/>
                <w:sz w:val="5"/>
                <w:szCs w:val="5"/>
                <w:b w:val="1"/>
                <w:bCs w:val="1"/>
                <w:color w:val="auto"/>
              </w:rPr>
              <w:t>(2,164)</w:t>
            </w:r>
          </w:p>
        </w:tc>
        <w:tc>
          <w:tcPr>
            <w:tcW w:w="52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(70)</w:t>
            </w:r>
          </w:p>
        </w:tc>
        <w:tc>
          <w:tcPr>
            <w:tcW w:w="560" w:type="dxa"/>
            <w:vAlign w:val="bottom"/>
            <w:tcBorders>
              <w:bottom w:val="single" w:sz="8" w:color="auto"/>
            </w:tcBorders>
          </w:tcPr>
          <w:p>
            <w:pPr>
              <w:jc w:val="right"/>
              <w:spacing w:after="0" w:line="44" w:lineRule="exact"/>
              <w:rPr>
                <w:sz w:val="20"/>
                <w:szCs w:val="20"/>
                <w:color w:val="auto"/>
              </w:rPr>
            </w:pPr>
            <w:r>
              <w:rPr>
                <w:rFonts w:ascii="Arial" w:cs="Arial" w:eastAsia="Arial" w:hAnsi="Arial"/>
                <w:sz w:val="5"/>
                <w:szCs w:val="5"/>
                <w:b w:val="1"/>
                <w:bCs w:val="1"/>
                <w:color w:val="auto"/>
              </w:rPr>
              <w:t>-</w:t>
            </w:r>
          </w:p>
        </w:tc>
        <w:tc>
          <w:tcPr>
            <w:tcW w:w="580" w:type="dxa"/>
            <w:vAlign w:val="bottom"/>
            <w:tcBorders>
              <w:bottom w:val="single" w:sz="8" w:color="auto"/>
            </w:tcBorders>
          </w:tcPr>
          <w:p>
            <w:pPr>
              <w:jc w:val="right"/>
              <w:ind w:right="36"/>
              <w:spacing w:after="0" w:line="44" w:lineRule="exact"/>
              <w:rPr>
                <w:sz w:val="20"/>
                <w:szCs w:val="20"/>
                <w:color w:val="auto"/>
              </w:rPr>
            </w:pPr>
            <w:r>
              <w:rPr>
                <w:rFonts w:ascii="Arial" w:cs="Arial" w:eastAsia="Arial" w:hAnsi="Arial"/>
                <w:sz w:val="5"/>
                <w:szCs w:val="5"/>
                <w:b w:val="1"/>
                <w:bCs w:val="1"/>
                <w:color w:val="auto"/>
              </w:rPr>
              <w:t>-</w:t>
            </w:r>
          </w:p>
        </w:tc>
        <w:tc>
          <w:tcPr>
            <w:tcW w:w="540" w:type="dxa"/>
            <w:vAlign w:val="bottom"/>
            <w:tcBorders>
              <w:bottom w:val="single" w:sz="8" w:color="auto"/>
            </w:tcBorders>
            <w:gridSpan w:val="2"/>
          </w:tcPr>
          <w:p>
            <w:pPr>
              <w:jc w:val="right"/>
              <w:ind w:right="20"/>
              <w:spacing w:after="0" w:line="44" w:lineRule="exact"/>
              <w:rPr>
                <w:sz w:val="20"/>
                <w:szCs w:val="20"/>
                <w:color w:val="auto"/>
              </w:rPr>
            </w:pPr>
            <w:r>
              <w:rPr>
                <w:rFonts w:ascii="Arial" w:cs="Arial" w:eastAsia="Arial" w:hAnsi="Arial"/>
                <w:sz w:val="5"/>
                <w:szCs w:val="5"/>
                <w:b w:val="1"/>
                <w:bCs w:val="1"/>
                <w:color w:val="auto"/>
              </w:rPr>
              <w:t>(2,094)</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Supplementary Accounting Policies for the Parent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Investments in Subsidiaries</w:t>
      </w:r>
    </w:p>
    <w:p>
      <w:pPr>
        <w:spacing w:after="0" w:line="10" w:lineRule="exact"/>
        <w:rPr>
          <w:sz w:val="20"/>
          <w:szCs w:val="20"/>
          <w:color w:val="auto"/>
        </w:rPr>
      </w:pPr>
    </w:p>
    <w:p>
      <w:pPr>
        <w:ind w:left="20" w:right="339"/>
        <w:spacing w:after="0" w:line="252" w:lineRule="auto"/>
        <w:rPr>
          <w:sz w:val="20"/>
          <w:szCs w:val="20"/>
          <w:color w:val="auto"/>
        </w:rPr>
      </w:pPr>
      <w:r>
        <w:rPr>
          <w:rFonts w:ascii="Arial" w:cs="Arial" w:eastAsia="Arial" w:hAnsi="Arial"/>
          <w:sz w:val="12"/>
          <w:szCs w:val="12"/>
          <w:color w:val="auto"/>
        </w:rPr>
        <w:t>The cost method is used for measuring the investments in subsidiaries. Under the cost method, investments in subsidiaries are measured at historical cost. Equity interests in foreign currencies are translated to the reporting currency by use of historical exchange rates prevailing at the time of investment.</w:t>
      </w:r>
    </w:p>
    <w:p>
      <w:pPr>
        <w:spacing w:after="0" w:line="115" w:lineRule="exact"/>
        <w:rPr>
          <w:sz w:val="20"/>
          <w:szCs w:val="20"/>
          <w:color w:val="auto"/>
        </w:rPr>
      </w:pPr>
    </w:p>
    <w:p>
      <w:pPr>
        <w:ind w:left="20" w:right="579"/>
        <w:spacing w:after="0" w:line="273" w:lineRule="auto"/>
        <w:rPr>
          <w:sz w:val="20"/>
          <w:szCs w:val="20"/>
          <w:color w:val="auto"/>
        </w:rPr>
      </w:pPr>
      <w:r>
        <w:rPr>
          <w:rFonts w:ascii="Arial" w:cs="Arial" w:eastAsia="Arial" w:hAnsi="Arial"/>
          <w:sz w:val="12"/>
          <w:szCs w:val="12"/>
          <w:color w:val="auto"/>
        </w:rPr>
        <w:t>Additions to the carrying value of investment in subsidiaries include capital contributions made by the parent and share-based payment transactions related to employees of the respective subsidiaries based on where the employee has rendered service.</w:t>
      </w:r>
    </w:p>
    <w:p>
      <w:pPr>
        <w:spacing w:after="0" w:line="103" w:lineRule="exact"/>
        <w:rPr>
          <w:sz w:val="20"/>
          <w:szCs w:val="20"/>
          <w:color w:val="auto"/>
        </w:rPr>
      </w:pPr>
    </w:p>
    <w:p>
      <w:pPr>
        <w:ind w:left="20" w:right="139"/>
        <w:spacing w:after="0" w:line="255" w:lineRule="auto"/>
        <w:rPr>
          <w:sz w:val="20"/>
          <w:szCs w:val="20"/>
          <w:color w:val="auto"/>
        </w:rPr>
      </w:pPr>
      <w:r>
        <w:rPr>
          <w:rFonts w:ascii="Arial" w:cs="Arial" w:eastAsia="Arial" w:hAnsi="Arial"/>
          <w:sz w:val="12"/>
          <w:szCs w:val="12"/>
          <w:color w:val="auto"/>
        </w:rPr>
        <w:t>Distributions from the investment are recognized as income when declared, if any. If the distribution exceeds the current period income or if circumstances or changes in Genmab’s operations indicate that the carrying amount of the subsidiary may not be recoverable, the carrying amount is tested for impairment. Where the recoverable amount of the investments is lower than cost, the investments are written down to this lower value.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1.1 in the consolidated financial statements for a description of the accounting policies of the Group.</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1.3 in the consolidated financial statements for a description of management’s judgements and estimates under IFRS.</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39" w:name="page140"/>
    <w:bookmarkEnd w:id="13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2 – Revenue</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2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r>
      <w:tr>
        <w:trPr>
          <w:trHeight w:val="248"/>
        </w:trPr>
        <w:tc>
          <w:tcPr>
            <w:tcW w:w="5020" w:type="dxa"/>
            <w:vAlign w:val="bottom"/>
          </w:tcPr>
          <w:p>
            <w:pPr>
              <w:spacing w:after="0"/>
              <w:rPr>
                <w:sz w:val="20"/>
                <w:szCs w:val="20"/>
                <w:color w:val="auto"/>
              </w:rPr>
            </w:pPr>
            <w:r>
              <w:rPr>
                <w:rFonts w:ascii="Arial" w:cs="Arial" w:eastAsia="Arial" w:hAnsi="Arial"/>
                <w:sz w:val="12"/>
                <w:szCs w:val="12"/>
                <w:b w:val="1"/>
                <w:bCs w:val="1"/>
                <w:color w:val="auto"/>
              </w:rPr>
              <w:t>Revenue by type:</w:t>
            </w: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Royalties</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11,672</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6,977</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4,741</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Reimbursement revenue</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1,050</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655</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517</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Milestone revenue</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1,767</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954</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351</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License revenue</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6</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4,417</w:t>
            </w:r>
          </w:p>
        </w:tc>
      </w:tr>
      <w:tr>
        <w:trPr>
          <w:trHeight w:val="149"/>
        </w:trPr>
        <w:tc>
          <w:tcPr>
            <w:tcW w:w="5020" w:type="dxa"/>
            <w:vAlign w:val="bottom"/>
          </w:tcPr>
          <w:p>
            <w:pPr>
              <w:spacing w:after="0"/>
              <w:rPr>
                <w:sz w:val="20"/>
                <w:szCs w:val="20"/>
                <w:color w:val="auto"/>
              </w:rPr>
            </w:pPr>
            <w:r>
              <w:rPr>
                <w:rFonts w:ascii="Arial" w:cs="Arial" w:eastAsia="Arial" w:hAnsi="Arial"/>
                <w:sz w:val="12"/>
                <w:szCs w:val="12"/>
                <w:color w:val="auto"/>
              </w:rPr>
              <w:t>Collaboration revenue</w:t>
            </w:r>
          </w:p>
        </w:tc>
        <w:tc>
          <w:tcPr>
            <w:tcW w:w="8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rPr>
              <w:t>332</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50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14,827</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8,606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10,026</w:t>
            </w:r>
          </w:p>
        </w:tc>
      </w:tr>
      <w:tr>
        <w:trPr>
          <w:trHeight w:val="248"/>
        </w:trPr>
        <w:tc>
          <w:tcPr>
            <w:tcW w:w="5020" w:type="dxa"/>
            <w:vAlign w:val="bottom"/>
          </w:tcPr>
          <w:p>
            <w:pPr>
              <w:spacing w:after="0"/>
              <w:rPr>
                <w:sz w:val="20"/>
                <w:szCs w:val="20"/>
                <w:color w:val="auto"/>
              </w:rPr>
            </w:pPr>
            <w:r>
              <w:rPr>
                <w:rFonts w:ascii="Arial" w:cs="Arial" w:eastAsia="Arial" w:hAnsi="Arial"/>
                <w:sz w:val="12"/>
                <w:szCs w:val="12"/>
                <w:b w:val="1"/>
                <w:bCs w:val="1"/>
                <w:color w:val="auto"/>
              </w:rPr>
              <w:t>Revenue by collaboration partner:</w:t>
            </w: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Janssen</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10,620</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6,847</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4,693</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AbbVie</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1,174</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245</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4,227</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Roche</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796</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603</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305</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Novartis</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815</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236</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212</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BioNTech</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708</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416</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230</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Seagen</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413</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135</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201</w:t>
            </w:r>
          </w:p>
        </w:tc>
      </w:tr>
      <w:tr>
        <w:trPr>
          <w:trHeight w:val="149"/>
        </w:trPr>
        <w:tc>
          <w:tcPr>
            <w:tcW w:w="5020" w:type="dxa"/>
            <w:vAlign w:val="bottom"/>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rPr>
              <w:t>301</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r>
      <w:tr>
        <w:trPr>
          <w:trHeight w:val="261"/>
        </w:trPr>
        <w:tc>
          <w:tcPr>
            <w:tcW w:w="50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14,827</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8,606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10,026</w:t>
            </w:r>
          </w:p>
        </w:tc>
      </w:tr>
      <w:tr>
        <w:trPr>
          <w:trHeight w:val="248"/>
        </w:trPr>
        <w:tc>
          <w:tcPr>
            <w:tcW w:w="5020" w:type="dxa"/>
            <w:vAlign w:val="bottom"/>
          </w:tcPr>
          <w:p>
            <w:pPr>
              <w:spacing w:after="0"/>
              <w:rPr>
                <w:sz w:val="20"/>
                <w:szCs w:val="20"/>
                <w:color w:val="auto"/>
              </w:rPr>
            </w:pPr>
            <w:r>
              <w:rPr>
                <w:rFonts w:ascii="Arial" w:cs="Arial" w:eastAsia="Arial" w:hAnsi="Arial"/>
                <w:sz w:val="12"/>
                <w:szCs w:val="12"/>
                <w:b w:val="1"/>
                <w:bCs w:val="1"/>
                <w:color w:val="auto"/>
              </w:rPr>
              <w:t>Royalties by product:</w:t>
            </w: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DARZALEX</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10,056</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6,135</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4,419</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TEPEZZA</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796</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593</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298</w:t>
            </w:r>
          </w:p>
        </w:tc>
      </w:tr>
      <w:tr>
        <w:trPr>
          <w:trHeight w:val="136"/>
        </w:trPr>
        <w:tc>
          <w:tcPr>
            <w:tcW w:w="5020" w:type="dxa"/>
            <w:vAlign w:val="bottom"/>
          </w:tcPr>
          <w:p>
            <w:pPr>
              <w:spacing w:after="0" w:line="136" w:lineRule="exact"/>
              <w:rPr>
                <w:sz w:val="20"/>
                <w:szCs w:val="20"/>
                <w:color w:val="auto"/>
              </w:rPr>
            </w:pPr>
            <w:r>
              <w:rPr>
                <w:rFonts w:ascii="Arial" w:cs="Arial" w:eastAsia="Arial" w:hAnsi="Arial"/>
                <w:sz w:val="12"/>
                <w:szCs w:val="12"/>
                <w:color w:val="auto"/>
              </w:rPr>
              <w:t>Kesimpta</w:t>
            </w:r>
          </w:p>
        </w:tc>
        <w:tc>
          <w:tcPr>
            <w:tcW w:w="820" w:type="dxa"/>
            <w:vAlign w:val="bottom"/>
          </w:tcPr>
          <w:p>
            <w:pPr>
              <w:spacing w:after="0"/>
              <w:rPr>
                <w:sz w:val="11"/>
                <w:szCs w:val="11"/>
                <w:color w:val="auto"/>
              </w:rPr>
            </w:pPr>
          </w:p>
        </w:tc>
        <w:tc>
          <w:tcPr>
            <w:tcW w:w="1360" w:type="dxa"/>
            <w:vAlign w:val="bottom"/>
          </w:tcPr>
          <w:p>
            <w:pPr>
              <w:jc w:val="right"/>
              <w:ind w:right="900"/>
              <w:spacing w:after="0" w:line="136" w:lineRule="exact"/>
              <w:rPr>
                <w:sz w:val="20"/>
                <w:szCs w:val="20"/>
                <w:color w:val="auto"/>
              </w:rPr>
            </w:pPr>
            <w:r>
              <w:rPr>
                <w:rFonts w:ascii="Arial" w:cs="Arial" w:eastAsia="Arial" w:hAnsi="Arial"/>
                <w:sz w:val="12"/>
                <w:szCs w:val="12"/>
                <w:color w:val="auto"/>
              </w:rPr>
              <w:t>779</w:t>
            </w:r>
          </w:p>
        </w:tc>
        <w:tc>
          <w:tcPr>
            <w:tcW w:w="680" w:type="dxa"/>
            <w:vAlign w:val="bottom"/>
          </w:tcPr>
          <w:p>
            <w:pPr>
              <w:jc w:val="right"/>
              <w:ind w:right="240"/>
              <w:spacing w:after="0" w:line="136" w:lineRule="exact"/>
              <w:rPr>
                <w:sz w:val="20"/>
                <w:szCs w:val="20"/>
                <w:color w:val="auto"/>
              </w:rPr>
            </w:pPr>
            <w:r>
              <w:rPr>
                <w:rFonts w:ascii="Arial" w:cs="Arial" w:eastAsia="Arial" w:hAnsi="Arial"/>
                <w:sz w:val="12"/>
                <w:szCs w:val="12"/>
                <w:color w:val="auto"/>
              </w:rPr>
              <w:t>235</w:t>
            </w: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10</w:t>
            </w:r>
          </w:p>
        </w:tc>
      </w:tr>
      <w:tr>
        <w:trPr>
          <w:trHeight w:val="149"/>
        </w:trPr>
        <w:tc>
          <w:tcPr>
            <w:tcW w:w="5020" w:type="dxa"/>
            <w:vAlign w:val="bottom"/>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rPr>
              <w:t>41</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r>
      <w:tr>
        <w:trPr>
          <w:trHeight w:val="261"/>
        </w:trPr>
        <w:tc>
          <w:tcPr>
            <w:tcW w:w="50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11,672</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6,977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4,741</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2.1 in the consolidated financial statements for additional information regarding revenue of the Group.</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0" w:name="page141"/>
    <w:bookmarkEnd w:id="14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3 – Staff Costs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640" w:type="dxa"/>
            <w:vAlign w:val="bottom"/>
          </w:tcPr>
          <w:p>
            <w:pPr>
              <w:spacing w:after="0"/>
              <w:rPr>
                <w:sz w:val="20"/>
                <w:szCs w:val="20"/>
                <w:color w:val="auto"/>
              </w:rPr>
            </w:pPr>
            <w:r>
              <w:rPr>
                <w:rFonts w:ascii="Arial" w:cs="Arial" w:eastAsia="Arial" w:hAnsi="Arial"/>
                <w:sz w:val="12"/>
                <w:szCs w:val="12"/>
                <w:b w:val="1"/>
                <w:bCs w:val="1"/>
                <w:color w:val="auto"/>
              </w:rPr>
              <w:t>(DKK million)</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1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360"/>
              <w:spacing w:after="0"/>
              <w:rPr>
                <w:sz w:val="20"/>
                <w:szCs w:val="20"/>
                <w:color w:val="auto"/>
              </w:rPr>
            </w:pPr>
            <w:r>
              <w:rPr>
                <w:rFonts w:ascii="Arial" w:cs="Arial" w:eastAsia="Arial" w:hAnsi="Arial"/>
                <w:sz w:val="12"/>
                <w:szCs w:val="12"/>
                <w:b w:val="1"/>
                <w:bCs w:val="1"/>
                <w:color w:val="auto"/>
              </w:rPr>
              <w:t>2020</w:t>
            </w:r>
          </w:p>
        </w:tc>
      </w:tr>
      <w:tr>
        <w:trPr>
          <w:trHeight w:val="384"/>
        </w:trPr>
        <w:tc>
          <w:tcPr>
            <w:tcW w:w="5640" w:type="dxa"/>
            <w:vAlign w:val="bottom"/>
          </w:tcPr>
          <w:p>
            <w:pPr>
              <w:spacing w:after="0"/>
              <w:rPr>
                <w:sz w:val="20"/>
                <w:szCs w:val="20"/>
                <w:color w:val="auto"/>
              </w:rPr>
            </w:pPr>
            <w:r>
              <w:rPr>
                <w:rFonts w:ascii="Arial" w:cs="Arial" w:eastAsia="Arial" w:hAnsi="Arial"/>
                <w:sz w:val="12"/>
                <w:szCs w:val="12"/>
                <w:color w:val="auto"/>
              </w:rPr>
              <w:t>Wages and salaries</w:t>
            </w: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392</w:t>
            </w: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277</w:t>
            </w:r>
          </w:p>
        </w:tc>
        <w:tc>
          <w:tcPr>
            <w:tcW w:w="6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182</w:t>
            </w:r>
          </w:p>
        </w:tc>
      </w:tr>
      <w:tr>
        <w:trPr>
          <w:trHeight w:val="136"/>
        </w:trPr>
        <w:tc>
          <w:tcPr>
            <w:tcW w:w="5640" w:type="dxa"/>
            <w:vAlign w:val="bottom"/>
          </w:tcPr>
          <w:p>
            <w:pPr>
              <w:spacing w:after="0" w:line="136" w:lineRule="exact"/>
              <w:rPr>
                <w:sz w:val="20"/>
                <w:szCs w:val="20"/>
                <w:color w:val="auto"/>
              </w:rPr>
            </w:pPr>
            <w:r>
              <w:rPr>
                <w:rFonts w:ascii="Arial" w:cs="Arial" w:eastAsia="Arial" w:hAnsi="Arial"/>
                <w:sz w:val="12"/>
                <w:szCs w:val="12"/>
                <w:color w:val="auto"/>
              </w:rPr>
              <w:t>Share-based compensation</w:t>
            </w:r>
          </w:p>
        </w:tc>
        <w:tc>
          <w:tcPr>
            <w:tcW w:w="70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Arial" w:cs="Arial" w:eastAsia="Arial" w:hAnsi="Arial"/>
                <w:sz w:val="12"/>
                <w:szCs w:val="12"/>
                <w:color w:val="auto"/>
              </w:rPr>
              <w:t>68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49</w:t>
            </w:r>
          </w:p>
        </w:tc>
        <w:tc>
          <w:tcPr>
            <w:tcW w:w="6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35</w:t>
            </w:r>
          </w:p>
        </w:tc>
      </w:tr>
      <w:tr>
        <w:trPr>
          <w:trHeight w:val="136"/>
        </w:trPr>
        <w:tc>
          <w:tcPr>
            <w:tcW w:w="5640" w:type="dxa"/>
            <w:vAlign w:val="bottom"/>
          </w:tcPr>
          <w:p>
            <w:pPr>
              <w:spacing w:after="0" w:line="136" w:lineRule="exact"/>
              <w:rPr>
                <w:sz w:val="20"/>
                <w:szCs w:val="20"/>
                <w:color w:val="auto"/>
              </w:rPr>
            </w:pPr>
            <w:r>
              <w:rPr>
                <w:rFonts w:ascii="Arial" w:cs="Arial" w:eastAsia="Arial" w:hAnsi="Arial"/>
                <w:sz w:val="12"/>
                <w:szCs w:val="12"/>
                <w:color w:val="auto"/>
              </w:rPr>
              <w:t>Defined contribution plans</w:t>
            </w:r>
          </w:p>
        </w:tc>
        <w:tc>
          <w:tcPr>
            <w:tcW w:w="70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Arial" w:cs="Arial" w:eastAsia="Arial" w:hAnsi="Arial"/>
                <w:sz w:val="12"/>
                <w:szCs w:val="12"/>
                <w:color w:val="auto"/>
              </w:rPr>
              <w:t>29</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22</w:t>
            </w:r>
          </w:p>
        </w:tc>
        <w:tc>
          <w:tcPr>
            <w:tcW w:w="6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15</w:t>
            </w:r>
          </w:p>
        </w:tc>
      </w:tr>
      <w:tr>
        <w:trPr>
          <w:trHeight w:val="149"/>
        </w:trPr>
        <w:tc>
          <w:tcPr>
            <w:tcW w:w="5640" w:type="dxa"/>
            <w:vAlign w:val="bottom"/>
          </w:tcPr>
          <w:p>
            <w:pPr>
              <w:spacing w:after="0"/>
              <w:rPr>
                <w:sz w:val="20"/>
                <w:szCs w:val="20"/>
                <w:color w:val="auto"/>
              </w:rPr>
            </w:pPr>
            <w:r>
              <w:rPr>
                <w:rFonts w:ascii="Arial" w:cs="Arial" w:eastAsia="Arial" w:hAnsi="Arial"/>
                <w:sz w:val="12"/>
                <w:szCs w:val="12"/>
                <w:color w:val="auto"/>
              </w:rPr>
              <w:t>Other social security costs</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60" w:type="dxa"/>
            <w:vAlign w:val="bottom"/>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r>
      <w:tr>
        <w:trPr>
          <w:trHeight w:val="261"/>
        </w:trPr>
        <w:tc>
          <w:tcPr>
            <w:tcW w:w="56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514</w:t>
            </w:r>
          </w:p>
        </w:tc>
        <w:tc>
          <w:tcPr>
            <w:tcW w:w="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363</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253</w:t>
            </w:r>
          </w:p>
        </w:tc>
      </w:tr>
      <w:tr>
        <w:trPr>
          <w:trHeight w:val="248"/>
        </w:trPr>
        <w:tc>
          <w:tcPr>
            <w:tcW w:w="5640" w:type="dxa"/>
            <w:vAlign w:val="bottom"/>
          </w:tcPr>
          <w:p>
            <w:pPr>
              <w:spacing w:after="0"/>
              <w:rPr>
                <w:sz w:val="20"/>
                <w:szCs w:val="20"/>
                <w:color w:val="auto"/>
              </w:rPr>
            </w:pPr>
            <w:r>
              <w:rPr>
                <w:rFonts w:ascii="Arial" w:cs="Arial" w:eastAsia="Arial" w:hAnsi="Arial"/>
                <w:sz w:val="12"/>
                <w:szCs w:val="12"/>
                <w:b w:val="1"/>
                <w:bCs w:val="1"/>
                <w:color w:val="auto"/>
              </w:rPr>
              <w:t>Staff costs are included in the income statement as follows: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36"/>
        </w:trPr>
        <w:tc>
          <w:tcPr>
            <w:tcW w:w="5640" w:type="dxa"/>
            <w:vAlign w:val="bottom"/>
          </w:tcPr>
          <w:p>
            <w:pPr>
              <w:spacing w:after="0" w:line="136" w:lineRule="exact"/>
              <w:rPr>
                <w:sz w:val="20"/>
                <w:szCs w:val="20"/>
                <w:color w:val="auto"/>
              </w:rPr>
            </w:pPr>
            <w:r>
              <w:rPr>
                <w:rFonts w:ascii="Arial" w:cs="Arial" w:eastAsia="Arial" w:hAnsi="Arial"/>
                <w:sz w:val="12"/>
                <w:szCs w:val="12"/>
                <w:color w:val="auto"/>
              </w:rPr>
              <w:t>Research and development expenses</w:t>
            </w:r>
          </w:p>
        </w:tc>
        <w:tc>
          <w:tcPr>
            <w:tcW w:w="70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Arial" w:cs="Arial" w:eastAsia="Arial" w:hAnsi="Arial"/>
                <w:sz w:val="12"/>
                <w:szCs w:val="12"/>
                <w:color w:val="auto"/>
              </w:rPr>
              <w:t>393</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271</w:t>
            </w:r>
          </w:p>
        </w:tc>
        <w:tc>
          <w:tcPr>
            <w:tcW w:w="6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Arial" w:cs="Arial" w:eastAsia="Arial" w:hAnsi="Arial"/>
                <w:sz w:val="12"/>
                <w:szCs w:val="12"/>
                <w:color w:val="auto"/>
              </w:rPr>
              <w:t>191</w:t>
            </w:r>
          </w:p>
        </w:tc>
      </w:tr>
      <w:tr>
        <w:trPr>
          <w:trHeight w:val="149"/>
        </w:trPr>
        <w:tc>
          <w:tcPr>
            <w:tcW w:w="564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w:t>
            </w:r>
          </w:p>
        </w:tc>
        <w:tc>
          <w:tcPr>
            <w:tcW w:w="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60" w:type="dxa"/>
            <w:vAlign w:val="bottom"/>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r>
      <w:tr>
        <w:trPr>
          <w:trHeight w:val="261"/>
        </w:trPr>
        <w:tc>
          <w:tcPr>
            <w:tcW w:w="56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514</w:t>
            </w:r>
          </w:p>
        </w:tc>
        <w:tc>
          <w:tcPr>
            <w:tcW w:w="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363</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253</w:t>
            </w:r>
          </w:p>
        </w:tc>
      </w:tr>
      <w:tr>
        <w:trPr>
          <w:trHeight w:val="261"/>
        </w:trPr>
        <w:tc>
          <w:tcPr>
            <w:tcW w:w="5640" w:type="dxa"/>
            <w:vAlign w:val="bottom"/>
          </w:tcPr>
          <w:p>
            <w:pPr>
              <w:spacing w:after="0"/>
              <w:rPr>
                <w:sz w:val="20"/>
                <w:szCs w:val="20"/>
                <w:color w:val="auto"/>
              </w:rPr>
            </w:pPr>
            <w:r>
              <w:rPr>
                <w:rFonts w:ascii="Arial" w:cs="Arial" w:eastAsia="Arial" w:hAnsi="Arial"/>
                <w:sz w:val="12"/>
                <w:szCs w:val="12"/>
                <w:b w:val="1"/>
                <w:bCs w:val="1"/>
                <w:color w:val="auto"/>
              </w:rPr>
              <w:t>Average number of FTE</w:t>
            </w: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348</w:t>
            </w:r>
          </w:p>
        </w:tc>
        <w:tc>
          <w:tcPr>
            <w:tcW w:w="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269</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180</w:t>
            </w:r>
          </w:p>
        </w:tc>
      </w:tr>
      <w:tr>
        <w:trPr>
          <w:trHeight w:val="125"/>
        </w:trPr>
        <w:tc>
          <w:tcPr>
            <w:tcW w:w="5640" w:type="dxa"/>
            <w:vAlign w:val="bottom"/>
          </w:tcPr>
          <w:p>
            <w:pPr>
              <w:spacing w:after="0" w:line="125" w:lineRule="exact"/>
              <w:rPr>
                <w:sz w:val="20"/>
                <w:szCs w:val="20"/>
                <w:color w:val="auto"/>
              </w:rPr>
            </w:pPr>
            <w:r>
              <w:rPr>
                <w:rFonts w:ascii="Arial" w:cs="Arial" w:eastAsia="Arial" w:hAnsi="Arial"/>
                <w:sz w:val="12"/>
                <w:szCs w:val="12"/>
                <w:b w:val="1"/>
                <w:bCs w:val="1"/>
                <w:color w:val="auto"/>
              </w:rPr>
              <w:t>Number of FTE at year-end</w:t>
            </w: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385</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312</w:t>
            </w:r>
          </w:p>
        </w:tc>
        <w:tc>
          <w:tcPr>
            <w:tcW w:w="6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210</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2.3 in the consolidated financial statements for additional information regarding staff costs of the Group.</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138/158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1" w:name="page142"/>
    <w:bookmarkEnd w:id="14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4 – Corporate and Deferred Tax</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TAXATION – INCOME STATEMENT &amp; SHAREHOLDERS’ EQUITY</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2"/>
          <w:szCs w:val="12"/>
          <w:color w:val="auto"/>
        </w:rPr>
        <w:t>(DKK million)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Current tax</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Current tax on profit</w:t>
      </w:r>
    </w:p>
    <w:p>
      <w:pPr>
        <w:ind w:left="100"/>
        <w:spacing w:after="0"/>
        <w:rPr>
          <w:sz w:val="20"/>
          <w:szCs w:val="20"/>
          <w:color w:val="auto"/>
        </w:rPr>
      </w:pPr>
      <w:r>
        <w:rPr>
          <w:rFonts w:ascii="Arial" w:cs="Arial" w:eastAsia="Arial" w:hAnsi="Arial"/>
          <w:sz w:val="12"/>
          <w:szCs w:val="12"/>
          <w:color w:val="auto"/>
        </w:rPr>
        <w:t>Adjustment to deferred tax</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tax for the period in the income statement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reconciliation of Genmab's effective tax rate relative to the Danish statutory tax rate is as follows: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(DKK million)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profit before tax</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Tax at the Danish statutory corporation tax rate of 22% for all periods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Tax effect of:</w:t>
      </w:r>
    </w:p>
    <w:p>
      <w:pPr>
        <w:spacing w:after="0" w:line="10" w:lineRule="exact"/>
        <w:rPr>
          <w:sz w:val="20"/>
          <w:szCs w:val="20"/>
          <w:color w:val="auto"/>
        </w:rPr>
      </w:pPr>
    </w:p>
    <w:p>
      <w:pPr>
        <w:ind w:left="100" w:right="740"/>
        <w:spacing w:after="0" w:line="244" w:lineRule="auto"/>
        <w:rPr>
          <w:sz w:val="20"/>
          <w:szCs w:val="20"/>
          <w:color w:val="auto"/>
        </w:rPr>
      </w:pPr>
      <w:r>
        <w:rPr>
          <w:rFonts w:ascii="Arial" w:cs="Arial" w:eastAsia="Arial" w:hAnsi="Arial"/>
          <w:sz w:val="12"/>
          <w:szCs w:val="12"/>
          <w:color w:val="auto"/>
        </w:rPr>
        <w:t>Non-deductible expenses/non-taxable income and other permanent differences, net All other</w:t>
      </w:r>
    </w:p>
    <w:p>
      <w:pPr>
        <w:ind w:left="100"/>
        <w:spacing w:after="0"/>
        <w:rPr>
          <w:sz w:val="20"/>
          <w:szCs w:val="20"/>
          <w:color w:val="auto"/>
        </w:rPr>
      </w:pPr>
      <w:r>
        <w:rPr>
          <w:rFonts w:ascii="Arial" w:cs="Arial" w:eastAsia="Arial" w:hAnsi="Arial"/>
          <w:sz w:val="12"/>
          <w:szCs w:val="12"/>
          <w:b w:val="1"/>
          <w:bCs w:val="1"/>
          <w:color w:val="auto"/>
        </w:rPr>
        <w:t>Total tax effect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tax for the period in the income statement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tax for the period in shareholders' equity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Effective Tax Rate</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40" w:type="dxa"/>
            <w:vAlign w:val="bottom"/>
          </w:tcPr>
          <w:p>
            <w:pPr>
              <w:spacing w:after="0"/>
              <w:rPr>
                <w:sz w:val="20"/>
                <w:szCs w:val="20"/>
                <w:color w:val="auto"/>
              </w:rPr>
            </w:pPr>
            <w:r>
              <w:rPr>
                <w:rFonts w:ascii="Arial" w:cs="Arial" w:eastAsia="Arial" w:hAnsi="Arial"/>
                <w:sz w:val="10"/>
                <w:szCs w:val="10"/>
                <w:color w:val="auto"/>
              </w:rPr>
              <w:t>Genmab A/S</w:t>
            </w:r>
          </w:p>
        </w:tc>
        <w:tc>
          <w:tcPr>
            <w:tcW w:w="820" w:type="dxa"/>
            <w:vAlign w:val="bottom"/>
            <w:gridSpan w:val="2"/>
          </w:tcPr>
          <w:p>
            <w:pPr>
              <w:spacing w:after="0"/>
              <w:rPr>
                <w:sz w:val="20"/>
                <w:szCs w:val="20"/>
                <w:color w:val="auto"/>
              </w:rPr>
            </w:pPr>
            <w:r>
              <w:rPr>
                <w:rFonts w:ascii="Arial" w:cs="Arial" w:eastAsia="Arial" w:hAnsi="Arial"/>
                <w:sz w:val="10"/>
                <w:szCs w:val="10"/>
                <w:color w:val="auto"/>
                <w:w w:val="92"/>
              </w:rPr>
              <w:t>Tel: +45 7020 2728</w:t>
            </w:r>
          </w:p>
        </w:tc>
      </w:tr>
      <w:tr>
        <w:trPr>
          <w:trHeight w:val="109"/>
        </w:trPr>
        <w:tc>
          <w:tcPr>
            <w:tcW w:w="31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820" w:type="dxa"/>
            <w:vAlign w:val="bottom"/>
            <w:gridSpan w:val="2"/>
          </w:tcPr>
          <w:p>
            <w:pPr>
              <w:spacing w:after="0" w:line="105" w:lineRule="exact"/>
              <w:rPr>
                <w:sz w:val="20"/>
                <w:szCs w:val="20"/>
                <w:color w:val="auto"/>
              </w:rPr>
            </w:pPr>
            <w:r>
              <w:rPr>
                <w:rFonts w:ascii="Arial" w:cs="Arial" w:eastAsia="Arial" w:hAnsi="Arial"/>
                <w:sz w:val="10"/>
                <w:szCs w:val="10"/>
                <w:color w:val="0000FF"/>
                <w:w w:val="97"/>
              </w:rPr>
              <w:t>www.genmab.com</w:t>
            </w: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236220</wp:posOffset>
            </wp:positionV>
            <wp:extent cx="569214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2022</w:t>
            </w:r>
          </w:p>
        </w:tc>
        <w:tc>
          <w:tcPr>
            <w:tcW w:w="60" w:type="dxa"/>
            <w:vAlign w:val="bottom"/>
          </w:tcPr>
          <w:p>
            <w:pPr>
              <w:spacing w:after="0"/>
              <w:rPr>
                <w:sz w:val="12"/>
                <w:szCs w:val="12"/>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2021</w:t>
            </w:r>
          </w:p>
        </w:tc>
        <w:tc>
          <w:tcPr>
            <w:tcW w:w="40" w:type="dxa"/>
            <w:vAlign w:val="bottom"/>
          </w:tcPr>
          <w:p>
            <w:pPr>
              <w:spacing w:after="0"/>
              <w:rPr>
                <w:sz w:val="12"/>
                <w:szCs w:val="1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2020</w:t>
            </w:r>
          </w:p>
        </w:tc>
        <w:tc>
          <w:tcPr>
            <w:tcW w:w="20" w:type="dxa"/>
            <w:vAlign w:val="bottom"/>
          </w:tcPr>
          <w:p>
            <w:pPr>
              <w:spacing w:after="0"/>
              <w:rPr>
                <w:sz w:val="12"/>
                <w:szCs w:val="12"/>
                <w:color w:val="auto"/>
              </w:rPr>
            </w:pPr>
          </w:p>
        </w:tc>
      </w:tr>
      <w:tr>
        <w:trPr>
          <w:trHeight w:val="520"/>
        </w:trPr>
        <w:tc>
          <w:tcPr>
            <w:tcW w:w="1100" w:type="dxa"/>
            <w:vAlign w:val="bottom"/>
          </w:tcPr>
          <w:p>
            <w:pPr>
              <w:jc w:val="right"/>
              <w:spacing w:after="0"/>
              <w:rPr>
                <w:sz w:val="20"/>
                <w:szCs w:val="20"/>
                <w:color w:val="auto"/>
              </w:rPr>
            </w:pPr>
            <w:r>
              <w:rPr>
                <w:rFonts w:ascii="Arial" w:cs="Arial" w:eastAsia="Arial" w:hAnsi="Arial"/>
                <w:sz w:val="12"/>
                <w:szCs w:val="12"/>
                <w:color w:val="auto"/>
              </w:rPr>
              <w:t>1,508</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959</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1,190</w:t>
            </w:r>
          </w:p>
        </w:tc>
        <w:tc>
          <w:tcPr>
            <w:tcW w:w="20" w:type="dxa"/>
            <w:vAlign w:val="bottom"/>
          </w:tcPr>
          <w:p>
            <w:pPr>
              <w:spacing w:after="0"/>
              <w:rPr>
                <w:sz w:val="24"/>
                <w:szCs w:val="24"/>
                <w:color w:val="auto"/>
              </w:rPr>
            </w:pPr>
          </w:p>
        </w:tc>
      </w:tr>
      <w:tr>
        <w:trPr>
          <w:trHeight w:val="159"/>
        </w:trPr>
        <w:tc>
          <w:tcPr>
            <w:tcW w:w="110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w:t>
            </w:r>
          </w:p>
        </w:tc>
        <w:tc>
          <w:tcPr>
            <w:tcW w:w="4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(113)</w:t>
            </w:r>
          </w:p>
        </w:tc>
      </w:tr>
      <w:tr>
        <w:trPr>
          <w:trHeight w:val="125"/>
        </w:trPr>
        <w:tc>
          <w:tcPr>
            <w:tcW w:w="1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1,511</w:t>
            </w:r>
          </w:p>
        </w:tc>
        <w:tc>
          <w:tcPr>
            <w:tcW w:w="6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975</w:t>
            </w:r>
          </w:p>
        </w:tc>
        <w:tc>
          <w:tcPr>
            <w:tcW w:w="4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1,077</w:t>
            </w:r>
          </w:p>
        </w:tc>
        <w:tc>
          <w:tcPr>
            <w:tcW w:w="20" w:type="dxa"/>
            <w:vAlign w:val="bottom"/>
          </w:tcPr>
          <w:p>
            <w:pPr>
              <w:spacing w:after="0"/>
              <w:rPr>
                <w:sz w:val="10"/>
                <w:szCs w:val="10"/>
                <w:color w:val="auto"/>
              </w:rPr>
            </w:pPr>
          </w:p>
        </w:tc>
      </w:tr>
      <w:tr>
        <w:trPr>
          <w:trHeight w:val="687"/>
        </w:trPr>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2022</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2021</w:t>
            </w:r>
          </w:p>
        </w:tc>
        <w:tc>
          <w:tcPr>
            <w:tcW w:w="40" w:type="dxa"/>
            <w:vAlign w:val="bottom"/>
          </w:tcPr>
          <w:p>
            <w:pPr>
              <w:spacing w:after="0"/>
              <w:rPr>
                <w:sz w:val="24"/>
                <w:szCs w:val="24"/>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2020</w:t>
            </w:r>
          </w:p>
        </w:tc>
        <w:tc>
          <w:tcPr>
            <w:tcW w:w="20" w:type="dxa"/>
            <w:vAlign w:val="bottom"/>
          </w:tcPr>
          <w:p>
            <w:pPr>
              <w:spacing w:after="0"/>
              <w:rPr>
                <w:sz w:val="24"/>
                <w:szCs w:val="24"/>
                <w:color w:val="auto"/>
              </w:rPr>
            </w:pPr>
          </w:p>
        </w:tc>
      </w:tr>
      <w:tr>
        <w:trPr>
          <w:trHeight w:val="397"/>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6,753</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4,873</w:t>
            </w:r>
          </w:p>
        </w:tc>
        <w:tc>
          <w:tcPr>
            <w:tcW w:w="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5,202</w:t>
            </w:r>
          </w:p>
        </w:tc>
        <w:tc>
          <w:tcPr>
            <w:tcW w:w="20" w:type="dxa"/>
            <w:vAlign w:val="bottom"/>
          </w:tcPr>
          <w:p>
            <w:pPr>
              <w:spacing w:after="0"/>
              <w:rPr>
                <w:sz w:val="24"/>
                <w:szCs w:val="24"/>
                <w:color w:val="auto"/>
              </w:rPr>
            </w:pPr>
          </w:p>
        </w:tc>
      </w:tr>
      <w:tr>
        <w:trPr>
          <w:trHeight w:val="2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1,486</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1,072</w:t>
            </w:r>
          </w:p>
        </w:tc>
        <w:tc>
          <w:tcPr>
            <w:tcW w:w="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1,144</w:t>
            </w:r>
          </w:p>
        </w:tc>
        <w:tc>
          <w:tcPr>
            <w:tcW w:w="20" w:type="dxa"/>
            <w:vAlign w:val="bottom"/>
          </w:tcPr>
          <w:p>
            <w:pPr>
              <w:spacing w:after="0"/>
              <w:rPr>
                <w:sz w:val="22"/>
                <w:szCs w:val="22"/>
                <w:color w:val="auto"/>
              </w:rPr>
            </w:pPr>
          </w:p>
        </w:tc>
      </w:tr>
      <w:tr>
        <w:trPr>
          <w:trHeight w:val="384"/>
        </w:trPr>
        <w:tc>
          <w:tcPr>
            <w:tcW w:w="1100" w:type="dxa"/>
            <w:vAlign w:val="bottom"/>
          </w:tcPr>
          <w:p>
            <w:pPr>
              <w:jc w:val="right"/>
              <w:spacing w:after="0"/>
              <w:rPr>
                <w:sz w:val="20"/>
                <w:szCs w:val="20"/>
                <w:color w:val="auto"/>
              </w:rPr>
            </w:pPr>
            <w:r>
              <w:rPr>
                <w:rFonts w:ascii="Arial" w:cs="Arial" w:eastAsia="Arial" w:hAnsi="Arial"/>
                <w:sz w:val="12"/>
                <w:szCs w:val="12"/>
                <w:color w:val="auto"/>
              </w:rPr>
              <w:t>37</w:t>
            </w:r>
          </w:p>
        </w:tc>
        <w:tc>
          <w:tcPr>
            <w:tcW w:w="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(105)</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(61)</w:t>
            </w:r>
          </w:p>
        </w:tc>
      </w:tr>
      <w:tr>
        <w:trPr>
          <w:trHeight w:val="149"/>
        </w:trPr>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(12)</w:t>
            </w:r>
          </w:p>
        </w:tc>
        <w:tc>
          <w:tcPr>
            <w:tcW w:w="1100" w:type="dxa"/>
            <w:vAlign w:val="bottom"/>
          </w:tcPr>
          <w:p>
            <w:pPr>
              <w:jc w:val="right"/>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12"/>
                <w:szCs w:val="1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r>
      <w:tr>
        <w:trPr>
          <w:trHeight w:val="125"/>
        </w:trPr>
        <w:tc>
          <w:tcPr>
            <w:tcW w:w="11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25</w:t>
            </w:r>
          </w:p>
        </w:tc>
        <w:tc>
          <w:tcPr>
            <w:tcW w:w="60" w:type="dxa"/>
            <w:vAlign w:val="bottom"/>
          </w:tcPr>
          <w:p>
            <w:pPr>
              <w:spacing w:after="0"/>
              <w:rPr>
                <w:sz w:val="10"/>
                <w:szCs w:val="10"/>
                <w:color w:val="auto"/>
              </w:rPr>
            </w:pPr>
          </w:p>
        </w:tc>
        <w:tc>
          <w:tcPr>
            <w:tcW w:w="11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(97)</w:t>
            </w:r>
          </w:p>
        </w:tc>
        <w:tc>
          <w:tcPr>
            <w:tcW w:w="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(67)</w:t>
            </w:r>
          </w:p>
        </w:tc>
      </w:tr>
      <w:tr>
        <w:trPr>
          <w:trHeight w:val="261"/>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1,511</w:t>
            </w:r>
          </w:p>
        </w:tc>
        <w:tc>
          <w:tcPr>
            <w:tcW w:w="6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975</w:t>
            </w:r>
          </w:p>
        </w:tc>
        <w:tc>
          <w:tcPr>
            <w:tcW w:w="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1,077</w:t>
            </w:r>
          </w:p>
        </w:tc>
        <w:tc>
          <w:tcPr>
            <w:tcW w:w="20" w:type="dxa"/>
            <w:vAlign w:val="bottom"/>
          </w:tcPr>
          <w:p>
            <w:pPr>
              <w:spacing w:after="0"/>
              <w:rPr>
                <w:sz w:val="22"/>
                <w:szCs w:val="22"/>
                <w:color w:val="auto"/>
              </w:rPr>
            </w:pPr>
          </w:p>
        </w:tc>
      </w:tr>
      <w:tr>
        <w:trPr>
          <w:trHeight w:val="125"/>
        </w:trPr>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(22)</w:t>
            </w:r>
          </w:p>
        </w:tc>
        <w:tc>
          <w:tcPr>
            <w:tcW w:w="6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(31)</w:t>
            </w:r>
          </w:p>
        </w:tc>
        <w:tc>
          <w:tcPr>
            <w:tcW w:w="4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(44)</w:t>
            </w:r>
          </w:p>
        </w:tc>
        <w:tc>
          <w:tcPr>
            <w:tcW w:w="20" w:type="dxa"/>
            <w:vAlign w:val="bottom"/>
          </w:tcPr>
          <w:p>
            <w:pPr>
              <w:spacing w:after="0"/>
              <w:rPr>
                <w:sz w:val="10"/>
                <w:szCs w:val="10"/>
                <w:color w:val="auto"/>
              </w:rPr>
            </w:pPr>
          </w:p>
        </w:tc>
      </w:tr>
      <w:tr>
        <w:trPr>
          <w:trHeight w:val="125"/>
        </w:trPr>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22.4%</w:t>
            </w:r>
          </w:p>
        </w:tc>
        <w:tc>
          <w:tcPr>
            <w:tcW w:w="6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20.0%</w:t>
            </w:r>
          </w:p>
        </w:tc>
        <w:tc>
          <w:tcPr>
            <w:tcW w:w="4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20.7%</w:t>
            </w: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-3176270</wp:posOffset>
            </wp:positionV>
            <wp:extent cx="1323975" cy="3854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ind w:right="39"/>
        <w:spacing w:after="0"/>
        <w:rPr>
          <w:sz w:val="20"/>
          <w:szCs w:val="20"/>
          <w:color w:val="auto"/>
        </w:rPr>
      </w:pPr>
      <w:r>
        <w:rPr>
          <w:rFonts w:ascii="Arial" w:cs="Arial" w:eastAsia="Arial" w:hAnsi="Arial"/>
          <w:sz w:val="10"/>
          <w:szCs w:val="10"/>
          <w:color w:val="auto"/>
        </w:rPr>
        <w:t>Company Announcement no. 05</w:t>
      </w:r>
    </w:p>
    <w:p>
      <w:pPr>
        <w:jc w:val="right"/>
        <w:ind w:right="39"/>
        <w:spacing w:after="0" w:line="230" w:lineRule="auto"/>
        <w:rPr>
          <w:sz w:val="20"/>
          <w:szCs w:val="20"/>
          <w:color w:val="auto"/>
        </w:rPr>
      </w:pPr>
      <w:r>
        <w:rPr>
          <w:rFonts w:ascii="Arial" w:cs="Arial" w:eastAsia="Arial" w:hAnsi="Arial"/>
          <w:sz w:val="10"/>
          <w:szCs w:val="10"/>
          <w:color w:val="auto"/>
        </w:rPr>
        <w:t>Page 139/158</w:t>
      </w:r>
    </w:p>
    <w:p>
      <w:pPr>
        <w:jc w:val="right"/>
        <w:ind w:right="39"/>
        <w:spacing w:after="0"/>
        <w:rPr>
          <w:sz w:val="20"/>
          <w:szCs w:val="20"/>
          <w:color w:val="auto"/>
        </w:rPr>
      </w:pPr>
      <w:r>
        <w:rPr>
          <w:rFonts w:ascii="Arial" w:cs="Arial" w:eastAsia="Arial" w:hAnsi="Arial"/>
          <w:sz w:val="10"/>
          <w:szCs w:val="10"/>
          <w:color w:val="auto"/>
        </w:rPr>
        <w:t>CVR no. 2102 3884</w:t>
      </w:r>
    </w:p>
    <w:p>
      <w:pPr>
        <w:sectPr>
          <w:pgSz w:w="11900" w:h="16838" w:orient="portrait"/>
          <w:cols w:equalWidth="0" w:num="2">
            <w:col w:w="5300" w:space="260"/>
            <w:col w:w="3459"/>
          </w:cols>
          <w:pgMar w:left="1440" w:top="484" w:right="1440" w:bottom="1440" w:gutter="0" w:footer="0" w:header="0"/>
        </w:sectPr>
      </w:pPr>
    </w:p>
    <w:bookmarkStart w:id="142" w:name="page143"/>
    <w:bookmarkEnd w:id="14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6300" w:type="dxa"/>
            <w:vAlign w:val="bottom"/>
            <w:gridSpan w:val="2"/>
          </w:tcPr>
          <w:p>
            <w:pPr>
              <w:spacing w:after="0"/>
              <w:rPr>
                <w:sz w:val="20"/>
                <w:szCs w:val="20"/>
                <w:color w:val="auto"/>
              </w:rPr>
            </w:pPr>
            <w:r>
              <w:rPr>
                <w:rFonts w:ascii="Arial" w:cs="Arial" w:eastAsia="Arial" w:hAnsi="Arial"/>
                <w:sz w:val="12"/>
                <w:szCs w:val="12"/>
                <w:b w:val="1"/>
                <w:bCs w:val="1"/>
                <w:color w:val="029C93"/>
              </w:rPr>
              <w:t>TAXATION – BALANCE SHEET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75"/>
        </w:trPr>
        <w:tc>
          <w:tcPr>
            <w:tcW w:w="6300" w:type="dxa"/>
            <w:vAlign w:val="bottom"/>
            <w:gridSpan w:val="2"/>
          </w:tcPr>
          <w:p>
            <w:pPr>
              <w:spacing w:after="0"/>
              <w:rPr>
                <w:sz w:val="20"/>
                <w:szCs w:val="20"/>
                <w:color w:val="auto"/>
              </w:rPr>
            </w:pPr>
            <w:r>
              <w:rPr>
                <w:rFonts w:ascii="Arial" w:cs="Arial" w:eastAsia="Arial" w:hAnsi="Arial"/>
                <w:sz w:val="12"/>
                <w:szCs w:val="12"/>
                <w:color w:val="auto"/>
              </w:rPr>
              <w:t>Significant components of the deferred tax asset are as follows: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9"/>
        </w:trPr>
        <w:tc>
          <w:tcPr>
            <w:tcW w:w="6300" w:type="dxa"/>
            <w:vAlign w:val="bottom"/>
            <w:gridSpan w:val="2"/>
          </w:tcPr>
          <w:p>
            <w:pPr>
              <w:ind w:left="5700"/>
              <w:spacing w:after="0"/>
              <w:rPr>
                <w:sz w:val="20"/>
                <w:szCs w:val="20"/>
                <w:color w:val="auto"/>
              </w:rPr>
            </w:pPr>
            <w:r>
              <w:rPr>
                <w:rFonts w:ascii="Arial" w:cs="Arial" w:eastAsia="Arial" w:hAnsi="Arial"/>
                <w:sz w:val="12"/>
                <w:szCs w:val="12"/>
                <w:color w:val="auto"/>
              </w:rPr>
              <w:t>2022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2021</w:t>
            </w:r>
          </w:p>
        </w:tc>
      </w:tr>
      <w:tr>
        <w:trPr>
          <w:trHeight w:val="139"/>
        </w:trPr>
        <w:tc>
          <w:tcPr>
            <w:tcW w:w="4780" w:type="dxa"/>
            <w:vAlign w:val="bottom"/>
          </w:tcPr>
          <w:p>
            <w:pPr>
              <w:spacing w:after="0"/>
              <w:rPr>
                <w:sz w:val="20"/>
                <w:szCs w:val="20"/>
                <w:color w:val="auto"/>
              </w:rPr>
            </w:pPr>
            <w:r>
              <w:rPr>
                <w:rFonts w:ascii="Arial" w:cs="Arial" w:eastAsia="Arial" w:hAnsi="Arial"/>
                <w:sz w:val="12"/>
                <w:szCs w:val="12"/>
                <w:color w:val="auto"/>
              </w:rPr>
              <w:t>(DKK million)</w:t>
            </w:r>
          </w:p>
        </w:tc>
        <w:tc>
          <w:tcPr>
            <w:tcW w:w="1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r>
      <w:tr>
        <w:trPr>
          <w:trHeight w:val="245"/>
        </w:trPr>
        <w:tc>
          <w:tcPr>
            <w:tcW w:w="6300" w:type="dxa"/>
            <w:vAlign w:val="bottom"/>
            <w:gridSpan w:val="2"/>
          </w:tcPr>
          <w:p>
            <w:pPr>
              <w:spacing w:after="0"/>
              <w:rPr>
                <w:sz w:val="20"/>
                <w:szCs w:val="20"/>
                <w:color w:val="auto"/>
              </w:rPr>
            </w:pPr>
            <w:r>
              <w:rPr>
                <w:rFonts w:ascii="Arial" w:cs="Arial" w:eastAsia="Arial" w:hAnsi="Arial"/>
                <w:sz w:val="12"/>
                <w:szCs w:val="12"/>
                <w:color w:val="auto"/>
              </w:rPr>
              <w:t>Share-based instruments</w:t>
            </w:r>
          </w:p>
        </w:tc>
        <w:tc>
          <w:tcPr>
            <w:tcW w:w="580" w:type="dxa"/>
            <w:vAlign w:val="bottom"/>
          </w:tcPr>
          <w:p>
            <w:pPr>
              <w:jc w:val="right"/>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36"/>
        </w:trPr>
        <w:tc>
          <w:tcPr>
            <w:tcW w:w="6300" w:type="dxa"/>
            <w:vAlign w:val="bottom"/>
            <w:gridSpan w:val="2"/>
          </w:tcPr>
          <w:p>
            <w:pPr>
              <w:spacing w:after="0" w:line="136" w:lineRule="exact"/>
              <w:rPr>
                <w:sz w:val="20"/>
                <w:szCs w:val="20"/>
                <w:color w:val="auto"/>
              </w:rPr>
            </w:pPr>
            <w:r>
              <w:rPr>
                <w:rFonts w:ascii="Arial" w:cs="Arial" w:eastAsia="Arial" w:hAnsi="Arial"/>
                <w:sz w:val="12"/>
                <w:szCs w:val="12"/>
                <w:color w:val="auto"/>
              </w:rPr>
              <w:t>Deferred revenue</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113</w:t>
            </w:r>
          </w:p>
        </w:tc>
        <w:tc>
          <w:tcPr>
            <w:tcW w:w="80" w:type="dxa"/>
            <w:vAlign w:val="bottom"/>
          </w:tcPr>
          <w:p>
            <w:pPr>
              <w:spacing w:after="0"/>
              <w:rPr>
                <w:sz w:val="11"/>
                <w:szCs w:val="11"/>
                <w:color w:val="auto"/>
              </w:rPr>
            </w:pPr>
          </w:p>
        </w:tc>
        <w:tc>
          <w:tcPr>
            <w:tcW w:w="2000" w:type="dxa"/>
            <w:vAlign w:val="bottom"/>
          </w:tcPr>
          <w:p>
            <w:pPr>
              <w:jc w:val="right"/>
              <w:spacing w:after="0" w:line="136" w:lineRule="exact"/>
              <w:rPr>
                <w:sz w:val="20"/>
                <w:szCs w:val="20"/>
                <w:color w:val="auto"/>
              </w:rPr>
            </w:pPr>
            <w:r>
              <w:rPr>
                <w:rFonts w:ascii="Arial" w:cs="Arial" w:eastAsia="Arial" w:hAnsi="Arial"/>
                <w:sz w:val="12"/>
                <w:szCs w:val="12"/>
                <w:color w:val="auto"/>
              </w:rPr>
              <w:t>113</w:t>
            </w:r>
          </w:p>
        </w:tc>
      </w:tr>
      <w:tr>
        <w:trPr>
          <w:trHeight w:val="149"/>
        </w:trPr>
        <w:tc>
          <w:tcPr>
            <w:tcW w:w="4780" w:type="dxa"/>
            <w:vAlign w:val="bottom"/>
          </w:tcPr>
          <w:p>
            <w:pPr>
              <w:spacing w:after="0"/>
              <w:rPr>
                <w:sz w:val="20"/>
                <w:szCs w:val="20"/>
                <w:color w:val="auto"/>
              </w:rPr>
            </w:pPr>
            <w:r>
              <w:rPr>
                <w:rFonts w:ascii="Arial" w:cs="Arial" w:eastAsia="Arial" w:hAnsi="Arial"/>
                <w:sz w:val="12"/>
                <w:szCs w:val="12"/>
                <w:color w:val="auto"/>
              </w:rPr>
              <w:t>Other temporary differences</w:t>
            </w:r>
          </w:p>
        </w:tc>
        <w:tc>
          <w:tcPr>
            <w:tcW w:w="1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261"/>
        </w:trPr>
        <w:tc>
          <w:tcPr>
            <w:tcW w:w="4780" w:type="dxa"/>
            <w:vAlign w:val="bottom"/>
          </w:tcPr>
          <w:p>
            <w:pPr>
              <w:spacing w:after="0"/>
              <w:rPr>
                <w:sz w:val="20"/>
                <w:szCs w:val="20"/>
                <w:color w:val="auto"/>
              </w:rPr>
            </w:pPr>
            <w:r>
              <w:rPr>
                <w:rFonts w:ascii="Arial" w:cs="Arial" w:eastAsia="Arial" w:hAnsi="Arial"/>
                <w:sz w:val="12"/>
                <w:szCs w:val="12"/>
                <w:b w:val="1"/>
                <w:bCs w:val="1"/>
                <w:color w:val="auto"/>
              </w:rPr>
              <w:t>Total deferred tax assets</w:t>
            </w:r>
          </w:p>
        </w:tc>
        <w:tc>
          <w:tcPr>
            <w:tcW w:w="1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243</w:t>
            </w:r>
          </w:p>
        </w:tc>
        <w:tc>
          <w:tcPr>
            <w:tcW w:w="80" w:type="dxa"/>
            <w:vAlign w:val="bottom"/>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252</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2.4 in the consolidated financial statements for additional information regarding corporate and deferred tax of the Group.</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140/158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3" w:name="page144"/>
    <w:bookmarkEnd w:id="14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5 – Intangible Assets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5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0"/>
                <w:szCs w:val="10"/>
                <w:b w:val="1"/>
                <w:bCs w:val="1"/>
                <w:color w:val="auto"/>
              </w:rPr>
              <w:t>Licenses, Rights, and Patents</w:t>
            </w:r>
          </w:p>
        </w:tc>
      </w:tr>
      <w:tr>
        <w:trPr>
          <w:trHeight w:val="116"/>
        </w:trPr>
        <w:tc>
          <w:tcPr>
            <w:tcW w:w="5440" w:type="dxa"/>
            <w:vAlign w:val="bottom"/>
          </w:tcPr>
          <w:p>
            <w:pPr>
              <w:spacing w:after="0"/>
              <w:rPr>
                <w:sz w:val="20"/>
                <w:szCs w:val="20"/>
                <w:color w:val="auto"/>
              </w:rPr>
            </w:pPr>
            <w:r>
              <w:rPr>
                <w:rFonts w:ascii="Arial" w:cs="Arial" w:eastAsia="Arial" w:hAnsi="Arial"/>
                <w:sz w:val="10"/>
                <w:szCs w:val="10"/>
                <w:b w:val="1"/>
                <w:bCs w:val="1"/>
                <w:color w:val="auto"/>
              </w:rPr>
              <w:t>(DKK million)</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2021</w:t>
            </w:r>
          </w:p>
        </w:tc>
      </w:tr>
      <w:tr>
        <w:trPr>
          <w:trHeight w:val="264"/>
        </w:trPr>
        <w:tc>
          <w:tcPr>
            <w:tcW w:w="5440" w:type="dxa"/>
            <w:vAlign w:val="bottom"/>
          </w:tcPr>
          <w:p>
            <w:pPr>
              <w:spacing w:after="0"/>
              <w:rPr>
                <w:sz w:val="20"/>
                <w:szCs w:val="20"/>
                <w:color w:val="auto"/>
              </w:rPr>
            </w:pPr>
            <w:r>
              <w:rPr>
                <w:rFonts w:ascii="Arial" w:cs="Arial" w:eastAsia="Arial" w:hAnsi="Arial"/>
                <w:sz w:val="10"/>
                <w:szCs w:val="10"/>
                <w:color w:val="auto"/>
              </w:rPr>
              <w:t>Cost at January 1</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820</w:t>
            </w:r>
          </w:p>
        </w:tc>
        <w:tc>
          <w:tcPr>
            <w:tcW w:w="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820</w:t>
            </w:r>
          </w:p>
        </w:tc>
      </w:tr>
      <w:tr>
        <w:trPr>
          <w:trHeight w:val="124"/>
        </w:trPr>
        <w:tc>
          <w:tcPr>
            <w:tcW w:w="5440" w:type="dxa"/>
            <w:vAlign w:val="bottom"/>
          </w:tcPr>
          <w:p>
            <w:pPr>
              <w:spacing w:after="0"/>
              <w:rPr>
                <w:sz w:val="20"/>
                <w:szCs w:val="20"/>
                <w:color w:val="auto"/>
              </w:rPr>
            </w:pPr>
            <w:r>
              <w:rPr>
                <w:rFonts w:ascii="Arial" w:cs="Arial" w:eastAsia="Arial" w:hAnsi="Arial"/>
                <w:sz w:val="10"/>
                <w:szCs w:val="10"/>
                <w:color w:val="auto"/>
              </w:rPr>
              <w:t>Additions for the year</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w:t>
            </w: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5440" w:type="dxa"/>
            <w:vAlign w:val="bottom"/>
          </w:tcPr>
          <w:p>
            <w:pPr>
              <w:spacing w:after="0"/>
              <w:rPr>
                <w:sz w:val="20"/>
                <w:szCs w:val="20"/>
                <w:color w:val="auto"/>
              </w:rPr>
            </w:pPr>
            <w:r>
              <w:rPr>
                <w:rFonts w:ascii="Arial" w:cs="Arial" w:eastAsia="Arial" w:hAnsi="Arial"/>
                <w:sz w:val="10"/>
                <w:szCs w:val="10"/>
                <w:b w:val="1"/>
                <w:bCs w:val="1"/>
                <w:color w:val="auto"/>
              </w:rPr>
              <w:t>Cost at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1,011</w:t>
            </w: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820</w:t>
            </w:r>
          </w:p>
        </w:tc>
      </w:tr>
      <w:tr>
        <w:trPr>
          <w:trHeight w:val="264"/>
        </w:trPr>
        <w:tc>
          <w:tcPr>
            <w:tcW w:w="5440" w:type="dxa"/>
            <w:vAlign w:val="bottom"/>
          </w:tcPr>
          <w:p>
            <w:pPr>
              <w:spacing w:after="0"/>
              <w:rPr>
                <w:sz w:val="20"/>
                <w:szCs w:val="20"/>
                <w:color w:val="auto"/>
              </w:rPr>
            </w:pPr>
            <w:r>
              <w:rPr>
                <w:rFonts w:ascii="Arial" w:cs="Arial" w:eastAsia="Arial" w:hAnsi="Arial"/>
                <w:sz w:val="10"/>
                <w:szCs w:val="10"/>
                <w:color w:val="auto"/>
              </w:rPr>
              <w:t>Accumulated amortization and impairment at January 1</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0"/>
                <w:szCs w:val="10"/>
                <w:color w:val="auto"/>
              </w:rPr>
              <w:t>(584)</w:t>
            </w:r>
          </w:p>
        </w:tc>
        <w:tc>
          <w:tcPr>
            <w:tcW w:w="1120" w:type="dxa"/>
            <w:vAlign w:val="bottom"/>
          </w:tcPr>
          <w:p>
            <w:pPr>
              <w:jc w:val="right"/>
              <w:spacing w:after="0"/>
              <w:rPr>
                <w:sz w:val="20"/>
                <w:szCs w:val="20"/>
                <w:color w:val="auto"/>
              </w:rPr>
            </w:pPr>
            <w:r>
              <w:rPr>
                <w:rFonts w:ascii="Arial" w:cs="Arial" w:eastAsia="Arial" w:hAnsi="Arial"/>
                <w:sz w:val="10"/>
                <w:szCs w:val="10"/>
                <w:color w:val="auto"/>
              </w:rPr>
              <w:t>(516)</w:t>
            </w:r>
          </w:p>
        </w:tc>
      </w:tr>
      <w:tr>
        <w:trPr>
          <w:trHeight w:val="136"/>
        </w:trPr>
        <w:tc>
          <w:tcPr>
            <w:tcW w:w="5440" w:type="dxa"/>
            <w:vAlign w:val="bottom"/>
          </w:tcPr>
          <w:p>
            <w:pPr>
              <w:spacing w:after="0"/>
              <w:rPr>
                <w:sz w:val="20"/>
                <w:szCs w:val="20"/>
                <w:color w:val="auto"/>
              </w:rPr>
            </w:pPr>
            <w:r>
              <w:rPr>
                <w:rFonts w:ascii="Arial" w:cs="Arial" w:eastAsia="Arial" w:hAnsi="Arial"/>
                <w:sz w:val="10"/>
                <w:szCs w:val="10"/>
                <w:color w:val="auto"/>
              </w:rPr>
              <w:t>Amortization for the year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0"/>
                <w:szCs w:val="10"/>
                <w:color w:val="auto"/>
              </w:rPr>
              <w:t>(63)</w:t>
            </w:r>
          </w:p>
        </w:tc>
        <w:tc>
          <w:tcPr>
            <w:tcW w:w="1120" w:type="dxa"/>
            <w:vAlign w:val="bottom"/>
          </w:tcPr>
          <w:p>
            <w:pPr>
              <w:jc w:val="right"/>
              <w:spacing w:after="0"/>
              <w:rPr>
                <w:sz w:val="20"/>
                <w:szCs w:val="20"/>
                <w:color w:val="auto"/>
              </w:rPr>
            </w:pPr>
            <w:r>
              <w:rPr>
                <w:rFonts w:ascii="Arial" w:cs="Arial" w:eastAsia="Arial" w:hAnsi="Arial"/>
                <w:sz w:val="10"/>
                <w:szCs w:val="10"/>
                <w:color w:val="auto"/>
              </w:rPr>
              <w:t>(72)</w:t>
            </w:r>
          </w:p>
        </w:tc>
      </w:tr>
      <w:tr>
        <w:trPr>
          <w:trHeight w:val="124"/>
        </w:trPr>
        <w:tc>
          <w:tcPr>
            <w:tcW w:w="5440" w:type="dxa"/>
            <w:vAlign w:val="bottom"/>
          </w:tcPr>
          <w:p>
            <w:pPr>
              <w:spacing w:after="0"/>
              <w:rPr>
                <w:sz w:val="20"/>
                <w:szCs w:val="20"/>
                <w:color w:val="auto"/>
              </w:rPr>
            </w:pPr>
            <w:r>
              <w:rPr>
                <w:rFonts w:ascii="Arial" w:cs="Arial" w:eastAsia="Arial" w:hAnsi="Arial"/>
                <w:sz w:val="10"/>
                <w:szCs w:val="10"/>
                <w:color w:val="auto"/>
              </w:rPr>
              <w:t>Accumulated amortization</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r>
        <w:trPr>
          <w:trHeight w:val="252"/>
        </w:trPr>
        <w:tc>
          <w:tcPr>
            <w:tcW w:w="5440" w:type="dxa"/>
            <w:vAlign w:val="bottom"/>
          </w:tcPr>
          <w:p>
            <w:pPr>
              <w:spacing w:after="0"/>
              <w:rPr>
                <w:sz w:val="20"/>
                <w:szCs w:val="20"/>
                <w:color w:val="auto"/>
              </w:rPr>
            </w:pPr>
            <w:r>
              <w:rPr>
                <w:rFonts w:ascii="Arial" w:cs="Arial" w:eastAsia="Arial" w:hAnsi="Arial"/>
                <w:sz w:val="10"/>
                <w:szCs w:val="10"/>
                <w:b w:val="1"/>
                <w:bCs w:val="1"/>
                <w:color w:val="auto"/>
              </w:rPr>
              <w:t>Accumulated amortization and impairment at December 31</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(654)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(584)</w:t>
            </w:r>
          </w:p>
        </w:tc>
      </w:tr>
      <w:tr>
        <w:trPr>
          <w:trHeight w:val="252"/>
        </w:trPr>
        <w:tc>
          <w:tcPr>
            <w:tcW w:w="5440" w:type="dxa"/>
            <w:vAlign w:val="bottom"/>
          </w:tcPr>
          <w:p>
            <w:pPr>
              <w:spacing w:after="0"/>
              <w:rPr>
                <w:sz w:val="20"/>
                <w:szCs w:val="20"/>
                <w:color w:val="auto"/>
              </w:rPr>
            </w:pPr>
            <w:r>
              <w:rPr>
                <w:rFonts w:ascii="Arial" w:cs="Arial" w:eastAsia="Arial" w:hAnsi="Arial"/>
                <w:sz w:val="10"/>
                <w:szCs w:val="10"/>
                <w:b w:val="1"/>
                <w:bCs w:val="1"/>
                <w:color w:val="auto"/>
              </w:rPr>
              <w:t>Carrying amount at December 31</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357</w:t>
            </w:r>
          </w:p>
        </w:tc>
        <w:tc>
          <w:tcPr>
            <w:tcW w:w="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236</w:t>
            </w:r>
          </w:p>
        </w:tc>
      </w:tr>
      <w:tr>
        <w:trPr>
          <w:trHeight w:val="343"/>
        </w:trPr>
        <w:tc>
          <w:tcPr>
            <w:tcW w:w="5440" w:type="dxa"/>
            <w:vAlign w:val="bottom"/>
          </w:tcPr>
          <w:p>
            <w:pPr>
              <w:spacing w:after="0"/>
              <w:rPr>
                <w:sz w:val="20"/>
                <w:szCs w:val="20"/>
                <w:color w:val="auto"/>
              </w:rPr>
            </w:pPr>
            <w:r>
              <w:rPr>
                <w:rFonts w:ascii="Arial" w:cs="Arial" w:eastAsia="Arial" w:hAnsi="Arial"/>
                <w:sz w:val="10"/>
                <w:szCs w:val="10"/>
                <w:b w:val="1"/>
                <w:bCs w:val="1"/>
                <w:color w:val="auto"/>
              </w:rPr>
              <w:t>(DKK million)</w:t>
            </w: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24"/>
                <w:szCs w:val="2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2020</w:t>
            </w:r>
          </w:p>
        </w:tc>
      </w:tr>
      <w:tr>
        <w:trPr>
          <w:trHeight w:val="93"/>
        </w:trPr>
        <w:tc>
          <w:tcPr>
            <w:tcW w:w="5440" w:type="dxa"/>
            <w:vAlign w:val="bottom"/>
          </w:tcPr>
          <w:p>
            <w:pPr>
              <w:spacing w:after="0" w:line="93" w:lineRule="exact"/>
              <w:rPr>
                <w:sz w:val="20"/>
                <w:szCs w:val="20"/>
                <w:color w:val="auto"/>
              </w:rPr>
            </w:pPr>
            <w:r>
              <w:rPr>
                <w:rFonts w:ascii="Arial" w:cs="Arial" w:eastAsia="Arial" w:hAnsi="Arial"/>
                <w:sz w:val="10"/>
                <w:szCs w:val="10"/>
                <w:b w:val="1"/>
                <w:bCs w:val="1"/>
                <w:color w:val="auto"/>
              </w:rPr>
              <w:t>Amortization and impairment included in the income statement as follows:</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14"/>
        </w:trPr>
        <w:tc>
          <w:tcPr>
            <w:tcW w:w="5440" w:type="dxa"/>
            <w:vAlign w:val="bottom"/>
          </w:tcPr>
          <w:p>
            <w:pPr>
              <w:spacing w:after="0" w:line="114" w:lineRule="exact"/>
              <w:rPr>
                <w:sz w:val="20"/>
                <w:szCs w:val="20"/>
                <w:color w:val="auto"/>
              </w:rPr>
            </w:pPr>
            <w:r>
              <w:rPr>
                <w:rFonts w:ascii="Arial" w:cs="Arial" w:eastAsia="Arial" w:hAnsi="Arial"/>
                <w:sz w:val="10"/>
                <w:szCs w:val="10"/>
                <w:color w:val="auto"/>
              </w:rPr>
              <w:t>Research and development expenses</w:t>
            </w:r>
          </w:p>
        </w:tc>
        <w:tc>
          <w:tcPr>
            <w:tcW w:w="11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63</w:t>
            </w:r>
          </w:p>
        </w:tc>
        <w:tc>
          <w:tcPr>
            <w:tcW w:w="100" w:type="dxa"/>
            <w:vAlign w:val="bottom"/>
          </w:tcPr>
          <w:p>
            <w:pPr>
              <w:spacing w:after="0"/>
              <w:rPr>
                <w:sz w:val="9"/>
                <w:szCs w:val="9"/>
                <w:color w:val="auto"/>
              </w:rPr>
            </w:pPr>
          </w:p>
        </w:tc>
        <w:tc>
          <w:tcPr>
            <w:tcW w:w="11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72</w:t>
            </w:r>
          </w:p>
        </w:tc>
        <w:tc>
          <w:tcPr>
            <w:tcW w:w="40" w:type="dxa"/>
            <w:vAlign w:val="bottom"/>
          </w:tcPr>
          <w:p>
            <w:pPr>
              <w:spacing w:after="0"/>
              <w:rPr>
                <w:sz w:val="9"/>
                <w:szCs w:val="9"/>
                <w:color w:val="auto"/>
              </w:rPr>
            </w:pPr>
          </w:p>
        </w:tc>
        <w:tc>
          <w:tcPr>
            <w:tcW w:w="11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119</w:t>
            </w:r>
          </w:p>
        </w:tc>
      </w:tr>
      <w:tr>
        <w:trPr>
          <w:trHeight w:val="207"/>
        </w:trPr>
        <w:tc>
          <w:tcPr>
            <w:tcW w:w="5440" w:type="dxa"/>
            <w:vAlign w:val="bottom"/>
          </w:tcPr>
          <w:p>
            <w:pPr>
              <w:spacing w:after="0"/>
              <w:rPr>
                <w:sz w:val="20"/>
                <w:szCs w:val="20"/>
                <w:color w:val="auto"/>
              </w:rPr>
            </w:pPr>
            <w:r>
              <w:rPr>
                <w:rFonts w:ascii="Arial" w:cs="Arial" w:eastAsia="Arial" w:hAnsi="Arial"/>
                <w:sz w:val="10"/>
                <w:szCs w:val="10"/>
                <w:b w:val="1"/>
                <w:bCs w:val="1"/>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72</w:t>
            </w:r>
          </w:p>
        </w:tc>
        <w:tc>
          <w:tcPr>
            <w:tcW w:w="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119</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Parent Company intangible assets include licenses and rights primarily to gain access to targets and technologies identified by third parties as well as subsidiaries.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3.1 in the consolidated financial statements for additional information regarding intangible assets of the Group.</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141/158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4" w:name="page145"/>
    <w:bookmarkEnd w:id="14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6 – Property and Equipment</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860" w:type="dxa"/>
            <w:vAlign w:val="bottom"/>
          </w:tcPr>
          <w:p>
            <w:pPr>
              <w:jc w:val="center"/>
              <w:ind w:left="92"/>
              <w:spacing w:after="0"/>
              <w:rPr>
                <w:sz w:val="20"/>
                <w:szCs w:val="20"/>
                <w:color w:val="auto"/>
              </w:rPr>
            </w:pPr>
            <w:r>
              <w:rPr>
                <w:rFonts w:ascii="Arial" w:cs="Arial" w:eastAsia="Arial" w:hAnsi="Arial"/>
                <w:sz w:val="10"/>
                <w:szCs w:val="10"/>
                <w:b w:val="1"/>
                <w:bCs w:val="1"/>
                <w:color w:val="auto"/>
                <w:w w:val="96"/>
              </w:rPr>
              <w:t>Leasehold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7"/>
              </w:rPr>
              <w:t>Equipment, furniture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Assets under</w:t>
            </w:r>
          </w:p>
        </w:tc>
        <w:tc>
          <w:tcPr>
            <w:tcW w:w="4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5"/>
              </w:rPr>
              <w:t>Total property and</w:t>
            </w:r>
          </w:p>
        </w:tc>
      </w:tr>
      <w:tr>
        <w:trPr>
          <w:trHeight w:val="116"/>
        </w:trPr>
        <w:tc>
          <w:tcPr>
            <w:tcW w:w="4720" w:type="dxa"/>
            <w:vAlign w:val="bottom"/>
          </w:tcPr>
          <w:p>
            <w:pPr>
              <w:spacing w:after="0"/>
              <w:rPr>
                <w:sz w:val="10"/>
                <w:szCs w:val="10"/>
                <w:color w:val="auto"/>
              </w:rPr>
            </w:pPr>
          </w:p>
        </w:tc>
        <w:tc>
          <w:tcPr>
            <w:tcW w:w="860" w:type="dxa"/>
            <w:vAlign w:val="bottom"/>
          </w:tcPr>
          <w:p>
            <w:pPr>
              <w:jc w:val="center"/>
              <w:ind w:left="112"/>
              <w:spacing w:after="0"/>
              <w:rPr>
                <w:sz w:val="20"/>
                <w:szCs w:val="20"/>
                <w:color w:val="auto"/>
              </w:rPr>
            </w:pPr>
            <w:r>
              <w:rPr>
                <w:rFonts w:ascii="Arial" w:cs="Arial" w:eastAsia="Arial" w:hAnsi="Arial"/>
                <w:sz w:val="10"/>
                <w:szCs w:val="10"/>
                <w:b w:val="1"/>
                <w:bCs w:val="1"/>
                <w:color w:val="auto"/>
                <w:w w:val="96"/>
              </w:rPr>
              <w:t>improvements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8"/>
              </w:rPr>
              <w:t>and fixtures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5"/>
              </w:rPr>
              <w:t>construction</w:t>
            </w:r>
          </w:p>
        </w:tc>
        <w:tc>
          <w:tcPr>
            <w:tcW w:w="4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4"/>
              </w:rPr>
              <w:t>equipment</w:t>
            </w:r>
          </w:p>
        </w:tc>
      </w:tr>
      <w:tr>
        <w:trPr>
          <w:trHeight w:val="91"/>
        </w:trPr>
        <w:tc>
          <w:tcPr>
            <w:tcW w:w="4720" w:type="dxa"/>
            <w:vAlign w:val="bottom"/>
          </w:tcPr>
          <w:p>
            <w:pPr>
              <w:spacing w:after="0" w:line="91" w:lineRule="exact"/>
              <w:rPr>
                <w:sz w:val="20"/>
                <w:szCs w:val="20"/>
                <w:color w:val="auto"/>
              </w:rPr>
            </w:pPr>
            <w:r>
              <w:rPr>
                <w:rFonts w:ascii="Arial" w:cs="Arial" w:eastAsia="Arial" w:hAnsi="Arial"/>
                <w:sz w:val="10"/>
                <w:szCs w:val="10"/>
                <w:b w:val="1"/>
                <w:bCs w:val="1"/>
                <w:color w:val="auto"/>
              </w:rPr>
              <w:t>(DKK million)</w:t>
            </w:r>
          </w:p>
        </w:tc>
        <w:tc>
          <w:tcPr>
            <w:tcW w:w="8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r>
      <w:tr>
        <w:trPr>
          <w:trHeight w:val="111"/>
        </w:trPr>
        <w:tc>
          <w:tcPr>
            <w:tcW w:w="4720" w:type="dxa"/>
            <w:vAlign w:val="bottom"/>
          </w:tcPr>
          <w:p>
            <w:pPr>
              <w:spacing w:after="0" w:line="111" w:lineRule="exact"/>
              <w:rPr>
                <w:sz w:val="20"/>
                <w:szCs w:val="20"/>
                <w:color w:val="auto"/>
              </w:rPr>
            </w:pPr>
            <w:r>
              <w:rPr>
                <w:rFonts w:ascii="Arial" w:cs="Arial" w:eastAsia="Arial" w:hAnsi="Arial"/>
                <w:sz w:val="10"/>
                <w:szCs w:val="10"/>
                <w:b w:val="1"/>
                <w:bCs w:val="1"/>
                <w:color w:val="auto"/>
              </w:rPr>
              <w:t>2022</w:t>
            </w: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09"/>
        </w:trPr>
        <w:tc>
          <w:tcPr>
            <w:tcW w:w="5580" w:type="dxa"/>
            <w:vAlign w:val="bottom"/>
            <w:gridSpan w:val="2"/>
          </w:tcPr>
          <w:p>
            <w:pPr>
              <w:spacing w:after="0" w:line="109" w:lineRule="exact"/>
              <w:rPr>
                <w:sz w:val="20"/>
                <w:szCs w:val="20"/>
                <w:color w:val="auto"/>
              </w:rPr>
            </w:pPr>
            <w:r>
              <w:rPr>
                <w:rFonts w:ascii="Arial" w:cs="Arial" w:eastAsia="Arial" w:hAnsi="Arial"/>
                <w:sz w:val="10"/>
                <w:szCs w:val="10"/>
                <w:color w:val="auto"/>
              </w:rPr>
              <w:t>Cost at January 1</w:t>
            </w:r>
          </w:p>
        </w:tc>
        <w:tc>
          <w:tcPr>
            <w:tcW w:w="160" w:type="dxa"/>
            <w:vAlign w:val="bottom"/>
          </w:tcPr>
          <w:p>
            <w:pPr>
              <w:jc w:val="right"/>
              <w:spacing w:after="0" w:line="109" w:lineRule="exact"/>
              <w:rPr>
                <w:sz w:val="20"/>
                <w:szCs w:val="20"/>
                <w:color w:val="auto"/>
              </w:rPr>
            </w:pPr>
            <w:r>
              <w:rPr>
                <w:rFonts w:ascii="Arial" w:cs="Arial" w:eastAsia="Arial" w:hAnsi="Arial"/>
                <w:sz w:val="10"/>
                <w:szCs w:val="10"/>
                <w:color w:val="auto"/>
              </w:rPr>
              <w:t>4</w:t>
            </w:r>
          </w:p>
        </w:tc>
        <w:tc>
          <w:tcPr>
            <w:tcW w:w="4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25</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6</w:t>
            </w:r>
          </w:p>
        </w:tc>
        <w:tc>
          <w:tcPr>
            <w:tcW w:w="10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35</w:t>
            </w:r>
          </w:p>
        </w:tc>
      </w:tr>
      <w:tr>
        <w:trPr>
          <w:trHeight w:val="109"/>
        </w:trPr>
        <w:tc>
          <w:tcPr>
            <w:tcW w:w="5580" w:type="dxa"/>
            <w:vAlign w:val="bottom"/>
            <w:gridSpan w:val="2"/>
          </w:tcPr>
          <w:p>
            <w:pPr>
              <w:spacing w:after="0" w:line="109" w:lineRule="exact"/>
              <w:rPr>
                <w:sz w:val="20"/>
                <w:szCs w:val="20"/>
                <w:color w:val="auto"/>
              </w:rPr>
            </w:pPr>
            <w:r>
              <w:rPr>
                <w:rFonts w:ascii="Arial" w:cs="Arial" w:eastAsia="Arial" w:hAnsi="Arial"/>
                <w:sz w:val="10"/>
                <w:szCs w:val="10"/>
                <w:color w:val="auto"/>
              </w:rPr>
              <w:t>Additions for the year</w:t>
            </w:r>
          </w:p>
        </w:tc>
        <w:tc>
          <w:tcPr>
            <w:tcW w:w="1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6</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11</w:t>
            </w:r>
          </w:p>
        </w:tc>
        <w:tc>
          <w:tcPr>
            <w:tcW w:w="10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17</w:t>
            </w:r>
          </w:p>
        </w:tc>
      </w:tr>
      <w:tr>
        <w:trPr>
          <w:trHeight w:val="114"/>
        </w:trPr>
        <w:tc>
          <w:tcPr>
            <w:tcW w:w="4720" w:type="dxa"/>
            <w:vAlign w:val="bottom"/>
          </w:tcPr>
          <w:p>
            <w:pPr>
              <w:spacing w:after="0" w:line="114" w:lineRule="exact"/>
              <w:rPr>
                <w:sz w:val="20"/>
                <w:szCs w:val="20"/>
                <w:color w:val="auto"/>
              </w:rPr>
            </w:pPr>
            <w:r>
              <w:rPr>
                <w:rFonts w:ascii="Arial" w:cs="Arial" w:eastAsia="Arial" w:hAnsi="Arial"/>
                <w:sz w:val="10"/>
                <w:szCs w:val="10"/>
                <w:color w:val="auto"/>
              </w:rPr>
              <w:t>Disposals for the year</w:t>
            </w:r>
          </w:p>
        </w:tc>
        <w:tc>
          <w:tcPr>
            <w:tcW w:w="860" w:type="dxa"/>
            <w:vAlign w:val="bottom"/>
          </w:tcPr>
          <w:p>
            <w:pPr>
              <w:spacing w:after="0"/>
              <w:rPr>
                <w:sz w:val="9"/>
                <w:szCs w:val="9"/>
                <w:color w:val="auto"/>
              </w:rPr>
            </w:pPr>
          </w:p>
        </w:tc>
        <w:tc>
          <w:tcPr>
            <w:tcW w:w="1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8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(7)</w:t>
            </w:r>
          </w:p>
        </w:tc>
        <w:tc>
          <w:tcPr>
            <w:tcW w:w="10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(7)</w:t>
            </w: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Cost at December 31</w:t>
            </w:r>
          </w:p>
        </w:tc>
        <w:tc>
          <w:tcPr>
            <w:tcW w:w="8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w:t>
            </w:r>
          </w:p>
        </w:tc>
        <w:tc>
          <w:tcPr>
            <w:tcW w:w="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w:t>
            </w:r>
          </w:p>
        </w:tc>
        <w:tc>
          <w:tcPr>
            <w:tcW w:w="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w:t>
            </w:r>
          </w:p>
        </w:tc>
        <w:tc>
          <w:tcPr>
            <w:tcW w:w="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45</w:t>
            </w:r>
          </w:p>
        </w:tc>
      </w:tr>
      <w:tr>
        <w:trPr>
          <w:trHeight w:val="202"/>
        </w:trPr>
        <w:tc>
          <w:tcPr>
            <w:tcW w:w="5580" w:type="dxa"/>
            <w:vAlign w:val="bottom"/>
            <w:gridSpan w:val="2"/>
          </w:tcPr>
          <w:p>
            <w:pPr>
              <w:spacing w:after="0"/>
              <w:rPr>
                <w:sz w:val="20"/>
                <w:szCs w:val="20"/>
                <w:color w:val="auto"/>
              </w:rPr>
            </w:pPr>
            <w:r>
              <w:rPr>
                <w:rFonts w:ascii="Arial" w:cs="Arial" w:eastAsia="Arial" w:hAnsi="Arial"/>
                <w:sz w:val="10"/>
                <w:szCs w:val="10"/>
                <w:color w:val="auto"/>
              </w:rPr>
              <w:t>Accumulated depreciation and impairment at January 1</w:t>
            </w: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(3)</w:t>
            </w:r>
          </w:p>
        </w:tc>
        <w:tc>
          <w:tcPr>
            <w:tcW w:w="1080" w:type="dxa"/>
            <w:vAlign w:val="bottom"/>
            <w:gridSpan w:val="2"/>
          </w:tcPr>
          <w:p>
            <w:pPr>
              <w:jc w:val="right"/>
              <w:ind w:right="60"/>
              <w:spacing w:after="0"/>
              <w:rPr>
                <w:sz w:val="20"/>
                <w:szCs w:val="20"/>
                <w:color w:val="auto"/>
              </w:rPr>
            </w:pPr>
            <w:r>
              <w:rPr>
                <w:rFonts w:ascii="Arial" w:cs="Arial" w:eastAsia="Arial" w:hAnsi="Arial"/>
                <w:sz w:val="10"/>
                <w:szCs w:val="10"/>
                <w:color w:val="auto"/>
              </w:rPr>
              <w:t>(19)</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(22)</w:t>
            </w:r>
          </w:p>
        </w:tc>
      </w:tr>
      <w:tr>
        <w:trPr>
          <w:trHeight w:val="109"/>
        </w:trPr>
        <w:tc>
          <w:tcPr>
            <w:tcW w:w="5580" w:type="dxa"/>
            <w:vAlign w:val="bottom"/>
            <w:gridSpan w:val="2"/>
          </w:tcPr>
          <w:p>
            <w:pPr>
              <w:spacing w:after="0" w:line="109" w:lineRule="exact"/>
              <w:rPr>
                <w:sz w:val="20"/>
                <w:szCs w:val="20"/>
                <w:color w:val="auto"/>
              </w:rPr>
            </w:pPr>
            <w:r>
              <w:rPr>
                <w:rFonts w:ascii="Arial" w:cs="Arial" w:eastAsia="Arial" w:hAnsi="Arial"/>
                <w:sz w:val="10"/>
                <w:szCs w:val="10"/>
                <w:color w:val="auto"/>
              </w:rPr>
              <w:t>Depreciation for the year</w:t>
            </w:r>
          </w:p>
        </w:tc>
        <w:tc>
          <w:tcPr>
            <w:tcW w:w="20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w:t>
            </w:r>
          </w:p>
        </w:tc>
        <w:tc>
          <w:tcPr>
            <w:tcW w:w="108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(5)</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(6)</w:t>
            </w:r>
          </w:p>
        </w:tc>
      </w:tr>
      <w:tr>
        <w:trPr>
          <w:trHeight w:val="114"/>
        </w:trPr>
        <w:tc>
          <w:tcPr>
            <w:tcW w:w="4720" w:type="dxa"/>
            <w:vAlign w:val="bottom"/>
          </w:tcPr>
          <w:p>
            <w:pPr>
              <w:spacing w:after="0" w:line="114" w:lineRule="exact"/>
              <w:rPr>
                <w:sz w:val="20"/>
                <w:szCs w:val="20"/>
                <w:color w:val="auto"/>
              </w:rPr>
            </w:pPr>
            <w:r>
              <w:rPr>
                <w:rFonts w:ascii="Arial" w:cs="Arial" w:eastAsia="Arial" w:hAnsi="Arial"/>
                <w:sz w:val="10"/>
                <w:szCs w:val="10"/>
                <w:color w:val="auto"/>
              </w:rPr>
              <w:t>Disposals for the year</w:t>
            </w: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w:t>
            </w:r>
          </w:p>
        </w:tc>
        <w:tc>
          <w:tcPr>
            <w:tcW w:w="60" w:type="dxa"/>
            <w:vAlign w:val="bottom"/>
          </w:tcPr>
          <w:p>
            <w:pPr>
              <w:spacing w:after="0"/>
              <w:rPr>
                <w:sz w:val="9"/>
                <w:szCs w:val="9"/>
                <w:color w:val="auto"/>
              </w:rPr>
            </w:pPr>
          </w:p>
        </w:tc>
        <w:tc>
          <w:tcPr>
            <w:tcW w:w="10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9</w:t>
            </w: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Accumulated depreciation and impairment at December 31</w:t>
            </w:r>
          </w:p>
        </w:tc>
        <w:tc>
          <w:tcPr>
            <w:tcW w:w="8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(15)</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0"/>
                <w:szCs w:val="10"/>
                <w:b w:val="1"/>
                <w:bCs w:val="1"/>
                <w:color w:val="auto"/>
              </w:rPr>
              <w:t>(19)</w:t>
            </w: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Carrying amount at December 31</w:t>
            </w:r>
          </w:p>
        </w:tc>
        <w:tc>
          <w:tcPr>
            <w:tcW w:w="8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w:t>
            </w:r>
          </w:p>
        </w:tc>
        <w:tc>
          <w:tcPr>
            <w:tcW w:w="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w:t>
            </w:r>
          </w:p>
        </w:tc>
      </w:tr>
      <w:tr>
        <w:trPr>
          <w:trHeight w:val="200"/>
        </w:trPr>
        <w:tc>
          <w:tcPr>
            <w:tcW w:w="4720" w:type="dxa"/>
            <w:vAlign w:val="bottom"/>
          </w:tcPr>
          <w:p>
            <w:pPr>
              <w:spacing w:after="0"/>
              <w:rPr>
                <w:sz w:val="17"/>
                <w:szCs w:val="17"/>
                <w:color w:val="auto"/>
              </w:rPr>
            </w:pPr>
          </w:p>
        </w:tc>
        <w:tc>
          <w:tcPr>
            <w:tcW w:w="860" w:type="dxa"/>
            <w:vAlign w:val="bottom"/>
          </w:tcPr>
          <w:p>
            <w:pPr>
              <w:jc w:val="center"/>
              <w:ind w:left="92"/>
              <w:spacing w:after="0"/>
              <w:rPr>
                <w:sz w:val="20"/>
                <w:szCs w:val="20"/>
                <w:color w:val="auto"/>
              </w:rPr>
            </w:pPr>
            <w:r>
              <w:rPr>
                <w:rFonts w:ascii="Arial" w:cs="Arial" w:eastAsia="Arial" w:hAnsi="Arial"/>
                <w:sz w:val="10"/>
                <w:szCs w:val="10"/>
                <w:b w:val="1"/>
                <w:bCs w:val="1"/>
                <w:color w:val="auto"/>
                <w:w w:val="96"/>
              </w:rPr>
              <w:t>Leasehold</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7"/>
              </w:rPr>
              <w:t>Equipment, furniture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Assets under</w:t>
            </w:r>
          </w:p>
        </w:tc>
        <w:tc>
          <w:tcPr>
            <w:tcW w:w="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5"/>
              </w:rPr>
              <w:t>Total property and</w:t>
            </w:r>
          </w:p>
        </w:tc>
      </w:tr>
      <w:tr>
        <w:trPr>
          <w:trHeight w:val="116"/>
        </w:trPr>
        <w:tc>
          <w:tcPr>
            <w:tcW w:w="4720" w:type="dxa"/>
            <w:vAlign w:val="bottom"/>
          </w:tcPr>
          <w:p>
            <w:pPr>
              <w:spacing w:after="0"/>
              <w:rPr>
                <w:sz w:val="10"/>
                <w:szCs w:val="10"/>
                <w:color w:val="auto"/>
              </w:rPr>
            </w:pPr>
          </w:p>
        </w:tc>
        <w:tc>
          <w:tcPr>
            <w:tcW w:w="860" w:type="dxa"/>
            <w:vAlign w:val="bottom"/>
          </w:tcPr>
          <w:p>
            <w:pPr>
              <w:jc w:val="center"/>
              <w:ind w:left="112"/>
              <w:spacing w:after="0"/>
              <w:rPr>
                <w:sz w:val="20"/>
                <w:szCs w:val="20"/>
                <w:color w:val="auto"/>
              </w:rPr>
            </w:pPr>
            <w:r>
              <w:rPr>
                <w:rFonts w:ascii="Arial" w:cs="Arial" w:eastAsia="Arial" w:hAnsi="Arial"/>
                <w:sz w:val="10"/>
                <w:szCs w:val="10"/>
                <w:b w:val="1"/>
                <w:bCs w:val="1"/>
                <w:color w:val="auto"/>
                <w:w w:val="96"/>
              </w:rPr>
              <w:t>improvements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8"/>
              </w:rPr>
              <w:t>and fixtures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5"/>
              </w:rPr>
              <w:t>construction</w:t>
            </w:r>
          </w:p>
        </w:tc>
        <w:tc>
          <w:tcPr>
            <w:tcW w:w="4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4"/>
              </w:rPr>
              <w:t>equipment</w:t>
            </w:r>
          </w:p>
        </w:tc>
      </w:tr>
      <w:tr>
        <w:trPr>
          <w:trHeight w:val="91"/>
        </w:trPr>
        <w:tc>
          <w:tcPr>
            <w:tcW w:w="4720" w:type="dxa"/>
            <w:vAlign w:val="bottom"/>
          </w:tcPr>
          <w:p>
            <w:pPr>
              <w:spacing w:after="0" w:line="91" w:lineRule="exact"/>
              <w:rPr>
                <w:sz w:val="20"/>
                <w:szCs w:val="20"/>
                <w:color w:val="auto"/>
              </w:rPr>
            </w:pPr>
            <w:r>
              <w:rPr>
                <w:rFonts w:ascii="Arial" w:cs="Arial" w:eastAsia="Arial" w:hAnsi="Arial"/>
                <w:sz w:val="10"/>
                <w:szCs w:val="10"/>
                <w:b w:val="1"/>
                <w:bCs w:val="1"/>
                <w:color w:val="auto"/>
              </w:rPr>
              <w:t>(DKK million)</w:t>
            </w:r>
          </w:p>
        </w:tc>
        <w:tc>
          <w:tcPr>
            <w:tcW w:w="8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r>
      <w:tr>
        <w:trPr>
          <w:trHeight w:val="111"/>
        </w:trPr>
        <w:tc>
          <w:tcPr>
            <w:tcW w:w="4720" w:type="dxa"/>
            <w:vAlign w:val="bottom"/>
          </w:tcPr>
          <w:p>
            <w:pPr>
              <w:spacing w:after="0" w:line="111" w:lineRule="exact"/>
              <w:rPr>
                <w:sz w:val="20"/>
                <w:szCs w:val="20"/>
                <w:color w:val="auto"/>
              </w:rPr>
            </w:pPr>
            <w:r>
              <w:rPr>
                <w:rFonts w:ascii="Arial" w:cs="Arial" w:eastAsia="Arial" w:hAnsi="Arial"/>
                <w:sz w:val="10"/>
                <w:szCs w:val="10"/>
                <w:b w:val="1"/>
                <w:bCs w:val="1"/>
                <w:color w:val="auto"/>
              </w:rPr>
              <w:t>2021</w:t>
            </w: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09"/>
        </w:trPr>
        <w:tc>
          <w:tcPr>
            <w:tcW w:w="5580" w:type="dxa"/>
            <w:vAlign w:val="bottom"/>
            <w:gridSpan w:val="2"/>
          </w:tcPr>
          <w:p>
            <w:pPr>
              <w:spacing w:after="0" w:line="109" w:lineRule="exact"/>
              <w:rPr>
                <w:sz w:val="20"/>
                <w:szCs w:val="20"/>
                <w:color w:val="auto"/>
              </w:rPr>
            </w:pPr>
            <w:r>
              <w:rPr>
                <w:rFonts w:ascii="Arial" w:cs="Arial" w:eastAsia="Arial" w:hAnsi="Arial"/>
                <w:sz w:val="10"/>
                <w:szCs w:val="10"/>
                <w:color w:val="auto"/>
              </w:rPr>
              <w:t>Cost at January 1</w:t>
            </w:r>
          </w:p>
        </w:tc>
        <w:tc>
          <w:tcPr>
            <w:tcW w:w="160" w:type="dxa"/>
            <w:vAlign w:val="bottom"/>
          </w:tcPr>
          <w:p>
            <w:pPr>
              <w:jc w:val="right"/>
              <w:spacing w:after="0" w:line="109" w:lineRule="exact"/>
              <w:rPr>
                <w:sz w:val="20"/>
                <w:szCs w:val="20"/>
                <w:color w:val="auto"/>
              </w:rPr>
            </w:pPr>
            <w:r>
              <w:rPr>
                <w:rFonts w:ascii="Arial" w:cs="Arial" w:eastAsia="Arial" w:hAnsi="Arial"/>
                <w:sz w:val="10"/>
                <w:szCs w:val="10"/>
                <w:color w:val="auto"/>
              </w:rPr>
              <w:t>4</w:t>
            </w:r>
          </w:p>
        </w:tc>
        <w:tc>
          <w:tcPr>
            <w:tcW w:w="4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23</w:t>
            </w:r>
          </w:p>
        </w:tc>
        <w:tc>
          <w:tcPr>
            <w:tcW w:w="6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27</w:t>
            </w:r>
          </w:p>
        </w:tc>
      </w:tr>
      <w:tr>
        <w:trPr>
          <w:trHeight w:val="114"/>
        </w:trPr>
        <w:tc>
          <w:tcPr>
            <w:tcW w:w="4720" w:type="dxa"/>
            <w:vAlign w:val="bottom"/>
          </w:tcPr>
          <w:p>
            <w:pPr>
              <w:spacing w:after="0" w:line="114" w:lineRule="exact"/>
              <w:rPr>
                <w:sz w:val="20"/>
                <w:szCs w:val="20"/>
                <w:color w:val="auto"/>
              </w:rPr>
            </w:pPr>
            <w:r>
              <w:rPr>
                <w:rFonts w:ascii="Arial" w:cs="Arial" w:eastAsia="Arial" w:hAnsi="Arial"/>
                <w:sz w:val="10"/>
                <w:szCs w:val="10"/>
                <w:color w:val="auto"/>
              </w:rPr>
              <w:t>Additions for the year</w:t>
            </w: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w:t>
            </w:r>
          </w:p>
        </w:tc>
        <w:tc>
          <w:tcPr>
            <w:tcW w:w="60" w:type="dxa"/>
            <w:vAlign w:val="bottom"/>
          </w:tcPr>
          <w:p>
            <w:pPr>
              <w:spacing w:after="0"/>
              <w:rPr>
                <w:sz w:val="9"/>
                <w:szCs w:val="9"/>
                <w:color w:val="auto"/>
              </w:rPr>
            </w:pPr>
          </w:p>
        </w:tc>
        <w:tc>
          <w:tcPr>
            <w:tcW w:w="10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6</w:t>
            </w:r>
          </w:p>
        </w:tc>
        <w:tc>
          <w:tcPr>
            <w:tcW w:w="40" w:type="dxa"/>
            <w:vAlign w:val="bottom"/>
          </w:tcPr>
          <w:p>
            <w:pPr>
              <w:spacing w:after="0"/>
              <w:rPr>
                <w:sz w:val="9"/>
                <w:szCs w:val="9"/>
                <w:color w:val="auto"/>
              </w:rPr>
            </w:pPr>
          </w:p>
        </w:tc>
        <w:tc>
          <w:tcPr>
            <w:tcW w:w="10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w:t>
            </w: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Cost at December 31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w:t>
            </w:r>
          </w:p>
        </w:tc>
        <w:tc>
          <w:tcPr>
            <w:tcW w:w="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w:t>
            </w:r>
          </w:p>
        </w:tc>
        <w:tc>
          <w:tcPr>
            <w:tcW w:w="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w:t>
            </w:r>
          </w:p>
        </w:tc>
      </w:tr>
      <w:tr>
        <w:trPr>
          <w:trHeight w:val="202"/>
        </w:trPr>
        <w:tc>
          <w:tcPr>
            <w:tcW w:w="5580" w:type="dxa"/>
            <w:vAlign w:val="bottom"/>
            <w:gridSpan w:val="2"/>
          </w:tcPr>
          <w:p>
            <w:pPr>
              <w:spacing w:after="0"/>
              <w:rPr>
                <w:sz w:val="20"/>
                <w:szCs w:val="20"/>
                <w:color w:val="auto"/>
              </w:rPr>
            </w:pPr>
            <w:r>
              <w:rPr>
                <w:rFonts w:ascii="Arial" w:cs="Arial" w:eastAsia="Arial" w:hAnsi="Arial"/>
                <w:sz w:val="10"/>
                <w:szCs w:val="10"/>
                <w:color w:val="auto"/>
              </w:rPr>
              <w:t>Accumulated depreciation and impairment at January 1</w:t>
            </w: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(2)</w:t>
            </w:r>
          </w:p>
        </w:tc>
        <w:tc>
          <w:tcPr>
            <w:tcW w:w="1080" w:type="dxa"/>
            <w:vAlign w:val="bottom"/>
            <w:gridSpan w:val="2"/>
          </w:tcPr>
          <w:p>
            <w:pPr>
              <w:jc w:val="right"/>
              <w:ind w:right="60"/>
              <w:spacing w:after="0"/>
              <w:rPr>
                <w:sz w:val="20"/>
                <w:szCs w:val="20"/>
                <w:color w:val="auto"/>
              </w:rPr>
            </w:pPr>
            <w:r>
              <w:rPr>
                <w:rFonts w:ascii="Arial" w:cs="Arial" w:eastAsia="Arial" w:hAnsi="Arial"/>
                <w:sz w:val="10"/>
                <w:szCs w:val="10"/>
                <w:color w:val="auto"/>
              </w:rPr>
              <w:t>(15)</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(17)</w:t>
            </w:r>
          </w:p>
        </w:tc>
      </w:tr>
      <w:tr>
        <w:trPr>
          <w:trHeight w:val="114"/>
        </w:trPr>
        <w:tc>
          <w:tcPr>
            <w:tcW w:w="4720" w:type="dxa"/>
            <w:vAlign w:val="bottom"/>
          </w:tcPr>
          <w:p>
            <w:pPr>
              <w:spacing w:after="0" w:line="114" w:lineRule="exact"/>
              <w:rPr>
                <w:sz w:val="20"/>
                <w:szCs w:val="20"/>
                <w:color w:val="auto"/>
              </w:rPr>
            </w:pPr>
            <w:r>
              <w:rPr>
                <w:rFonts w:ascii="Arial" w:cs="Arial" w:eastAsia="Arial" w:hAnsi="Arial"/>
                <w:sz w:val="10"/>
                <w:szCs w:val="10"/>
                <w:color w:val="auto"/>
              </w:rPr>
              <w:t>Depreciation for the year</w:t>
            </w:r>
          </w:p>
        </w:tc>
        <w:tc>
          <w:tcPr>
            <w:tcW w:w="860" w:type="dxa"/>
            <w:vAlign w:val="bottom"/>
          </w:tcPr>
          <w:p>
            <w:pPr>
              <w:spacing w:after="0"/>
              <w:rPr>
                <w:sz w:val="9"/>
                <w:szCs w:val="9"/>
                <w:color w:val="auto"/>
              </w:rPr>
            </w:pPr>
          </w:p>
        </w:tc>
        <w:tc>
          <w:tcPr>
            <w:tcW w:w="160" w:type="dxa"/>
            <w:vAlign w:val="bottom"/>
          </w:tcPr>
          <w:p>
            <w:pPr>
              <w:jc w:val="right"/>
              <w:spacing w:after="0" w:line="114" w:lineRule="exact"/>
              <w:rPr>
                <w:sz w:val="20"/>
                <w:szCs w:val="20"/>
                <w:color w:val="auto"/>
              </w:rPr>
            </w:pPr>
            <w:r>
              <w:rPr>
                <w:rFonts w:ascii="Arial" w:cs="Arial" w:eastAsia="Arial" w:hAnsi="Arial"/>
                <w:sz w:val="10"/>
                <w:szCs w:val="10"/>
                <w:color w:val="auto"/>
              </w:rPr>
              <w:t>(1)</w:t>
            </w:r>
          </w:p>
        </w:tc>
        <w:tc>
          <w:tcPr>
            <w:tcW w:w="40" w:type="dxa"/>
            <w:vAlign w:val="bottom"/>
          </w:tcPr>
          <w:p>
            <w:pPr>
              <w:spacing w:after="0"/>
              <w:rPr>
                <w:sz w:val="9"/>
                <w:szCs w:val="9"/>
                <w:color w:val="auto"/>
              </w:rPr>
            </w:pPr>
          </w:p>
        </w:tc>
        <w:tc>
          <w:tcPr>
            <w:tcW w:w="108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(4)</w:t>
            </w:r>
          </w:p>
        </w:tc>
        <w:tc>
          <w:tcPr>
            <w:tcW w:w="10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(5)</w:t>
            </w:r>
          </w:p>
        </w:tc>
      </w:tr>
      <w:tr>
        <w:trPr>
          <w:trHeight w:val="20"/>
        </w:trPr>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Accumulated depreciation and impairment at December 31</w:t>
            </w:r>
          </w:p>
        </w:tc>
        <w:tc>
          <w:tcPr>
            <w:tcW w:w="8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(3)</w:t>
            </w:r>
          </w:p>
        </w:tc>
        <w:tc>
          <w:tcPr>
            <w:tcW w:w="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(19)</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0"/>
                <w:szCs w:val="10"/>
                <w:b w:val="1"/>
                <w:bCs w:val="1"/>
                <w:color w:val="auto"/>
              </w:rPr>
              <w:t>(22)</w:t>
            </w:r>
          </w:p>
        </w:tc>
      </w:tr>
      <w:tr>
        <w:trPr>
          <w:trHeight w:val="207"/>
        </w:trPr>
        <w:tc>
          <w:tcPr>
            <w:tcW w:w="4720" w:type="dxa"/>
            <w:vAlign w:val="bottom"/>
          </w:tcPr>
          <w:p>
            <w:pPr>
              <w:spacing w:after="0"/>
              <w:rPr>
                <w:sz w:val="20"/>
                <w:szCs w:val="20"/>
                <w:color w:val="auto"/>
              </w:rPr>
            </w:pPr>
            <w:r>
              <w:rPr>
                <w:rFonts w:ascii="Arial" w:cs="Arial" w:eastAsia="Arial" w:hAnsi="Arial"/>
                <w:sz w:val="10"/>
                <w:szCs w:val="10"/>
                <w:b w:val="1"/>
                <w:bCs w:val="1"/>
                <w:color w:val="auto"/>
              </w:rPr>
              <w:t>Carrying amount at December 31</w:t>
            </w:r>
          </w:p>
        </w:tc>
        <w:tc>
          <w:tcPr>
            <w:tcW w:w="8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w:t>
            </w:r>
          </w:p>
        </w:tc>
        <w:tc>
          <w:tcPr>
            <w:tcW w:w="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w:t>
            </w:r>
          </w:p>
        </w:tc>
        <w:tc>
          <w:tcPr>
            <w:tcW w:w="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w:t>
            </w:r>
          </w:p>
        </w:tc>
      </w:tr>
      <w:tr>
        <w:trPr>
          <w:trHeight w:val="343"/>
        </w:trPr>
        <w:tc>
          <w:tcPr>
            <w:tcW w:w="4720" w:type="dxa"/>
            <w:vAlign w:val="bottom"/>
          </w:tcPr>
          <w:p>
            <w:pPr>
              <w:spacing w:after="0"/>
              <w:rPr>
                <w:sz w:val="24"/>
                <w:szCs w:val="24"/>
                <w:color w:val="auto"/>
              </w:rPr>
            </w:pPr>
          </w:p>
        </w:tc>
        <w:tc>
          <w:tcPr>
            <w:tcW w:w="860" w:type="dxa"/>
            <w:vAlign w:val="bottom"/>
            <w:tcBorders>
              <w:bottom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98"/>
              </w:rPr>
              <w:t>2022</w:t>
            </w: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4"/>
        </w:trPr>
        <w:tc>
          <w:tcPr>
            <w:tcW w:w="5580" w:type="dxa"/>
            <w:vAlign w:val="bottom"/>
            <w:gridSpan w:val="2"/>
          </w:tcPr>
          <w:p>
            <w:pPr>
              <w:spacing w:after="0"/>
              <w:rPr>
                <w:sz w:val="20"/>
                <w:szCs w:val="20"/>
                <w:color w:val="auto"/>
              </w:rPr>
            </w:pPr>
            <w:r>
              <w:rPr>
                <w:rFonts w:ascii="Arial" w:cs="Arial" w:eastAsia="Arial" w:hAnsi="Arial"/>
                <w:sz w:val="10"/>
                <w:szCs w:val="10"/>
                <w:b w:val="1"/>
                <w:bCs w:val="1"/>
                <w:color w:val="auto"/>
              </w:rPr>
              <w:t>(DKK million)</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6"/>
        </w:trPr>
        <w:tc>
          <w:tcPr>
            <w:tcW w:w="5580" w:type="dxa"/>
            <w:vAlign w:val="bottom"/>
            <w:gridSpan w:val="2"/>
          </w:tcPr>
          <w:p>
            <w:pPr>
              <w:spacing w:after="0"/>
              <w:rPr>
                <w:sz w:val="20"/>
                <w:szCs w:val="20"/>
                <w:color w:val="auto"/>
              </w:rPr>
            </w:pPr>
            <w:r>
              <w:rPr>
                <w:rFonts w:ascii="Arial" w:cs="Arial" w:eastAsia="Arial" w:hAnsi="Arial"/>
                <w:sz w:val="10"/>
                <w:szCs w:val="10"/>
                <w:b w:val="1"/>
                <w:bCs w:val="1"/>
                <w:color w:val="auto"/>
              </w:rPr>
              <w:t>Depreciation and impairment included in the income statement as follows: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0"/>
        </w:trPr>
        <w:tc>
          <w:tcPr>
            <w:tcW w:w="5580" w:type="dxa"/>
            <w:vAlign w:val="bottom"/>
            <w:gridSpan w:val="2"/>
          </w:tcPr>
          <w:p>
            <w:pPr>
              <w:spacing w:after="0"/>
              <w:rPr>
                <w:sz w:val="20"/>
                <w:szCs w:val="20"/>
                <w:color w:val="auto"/>
              </w:rPr>
            </w:pPr>
            <w:r>
              <w:rPr>
                <w:rFonts w:ascii="Arial" w:cs="Arial" w:eastAsia="Arial" w:hAnsi="Arial"/>
                <w:sz w:val="10"/>
                <w:szCs w:val="10"/>
                <w:color w:val="auto"/>
              </w:rPr>
              <w:t>Research and development expenses</w:t>
            </w:r>
          </w:p>
        </w:tc>
        <w:tc>
          <w:tcPr>
            <w:tcW w:w="160" w:type="dxa"/>
            <w:vAlign w:val="bottom"/>
          </w:tcPr>
          <w:p>
            <w:pPr>
              <w:jc w:val="right"/>
              <w:spacing w:after="0"/>
              <w:rPr>
                <w:sz w:val="20"/>
                <w:szCs w:val="20"/>
                <w:color w:val="auto"/>
              </w:rPr>
            </w:pPr>
            <w:r>
              <w:rPr>
                <w:rFonts w:ascii="Arial" w:cs="Arial" w:eastAsia="Arial" w:hAnsi="Arial"/>
                <w:sz w:val="10"/>
                <w:szCs w:val="10"/>
                <w:color w:val="auto"/>
              </w:rPr>
              <w:t>2</w:t>
            </w:r>
          </w:p>
        </w:tc>
        <w:tc>
          <w:tcPr>
            <w:tcW w:w="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w:t>
            </w: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4"/>
        </w:trPr>
        <w:tc>
          <w:tcPr>
            <w:tcW w:w="4720" w:type="dxa"/>
            <w:vAlign w:val="bottom"/>
          </w:tcPr>
          <w:p>
            <w:pPr>
              <w:spacing w:after="0"/>
              <w:rPr>
                <w:sz w:val="20"/>
                <w:szCs w:val="20"/>
                <w:color w:val="auto"/>
              </w:rPr>
            </w:pPr>
            <w:r>
              <w:rPr>
                <w:rFonts w:ascii="Arial" w:cs="Arial" w:eastAsia="Arial" w:hAnsi="Arial"/>
                <w:sz w:val="10"/>
                <w:szCs w:val="10"/>
                <w:color w:val="auto"/>
              </w:rPr>
              <w:t>Selling, general and administrative expenses</w:t>
            </w: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4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2"/>
        </w:trPr>
        <w:tc>
          <w:tcPr>
            <w:tcW w:w="4720" w:type="dxa"/>
            <w:vAlign w:val="bottom"/>
          </w:tcPr>
          <w:p>
            <w:pPr>
              <w:spacing w:after="0"/>
              <w:rPr>
                <w:sz w:val="20"/>
                <w:szCs w:val="20"/>
                <w:color w:val="auto"/>
              </w:rPr>
            </w:pPr>
            <w:r>
              <w:rPr>
                <w:rFonts w:ascii="Arial" w:cs="Arial" w:eastAsia="Arial" w:hAnsi="Arial"/>
                <w:sz w:val="10"/>
                <w:szCs w:val="10"/>
                <w:b w:val="1"/>
                <w:bCs w:val="1"/>
                <w:color w:val="auto"/>
              </w:rPr>
              <w:t>Total</w:t>
            </w: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w:t>
            </w: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3.2 in the consolidated financial statements for additional information regarding property and equipment of the Group.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7 – Leases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parent company has entered into lease agreements with respect to office space.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leases are non-cancellable over various periods through 2038.</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5" w:name="page146"/>
    <w:bookmarkEnd w:id="14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1140" w:type="dxa"/>
            <w:vAlign w:val="bottom"/>
          </w:tcPr>
          <w:p>
            <w:pPr>
              <w:ind w:left="320"/>
              <w:spacing w:after="0"/>
              <w:rPr>
                <w:sz w:val="20"/>
                <w:szCs w:val="20"/>
                <w:color w:val="auto"/>
              </w:rPr>
            </w:pPr>
            <w:r>
              <w:rPr>
                <w:rFonts w:ascii="Arial" w:cs="Arial" w:eastAsia="Arial" w:hAnsi="Arial"/>
                <w:sz w:val="12"/>
                <w:szCs w:val="12"/>
                <w:color w:val="auto"/>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left="200"/>
              <w:spacing w:after="0"/>
              <w:rPr>
                <w:sz w:val="20"/>
                <w:szCs w:val="20"/>
                <w:color w:val="auto"/>
              </w:rPr>
            </w:pPr>
            <w:r>
              <w:rPr>
                <w:rFonts w:ascii="Arial" w:cs="Arial" w:eastAsia="Arial" w:hAnsi="Arial"/>
                <w:sz w:val="12"/>
                <w:szCs w:val="12"/>
                <w:color w:val="auto"/>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26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9"/>
        </w:trPr>
        <w:tc>
          <w:tcPr>
            <w:tcW w:w="5620" w:type="dxa"/>
            <w:vAlign w:val="bottom"/>
            <w:gridSpan w:val="2"/>
          </w:tcPr>
          <w:p>
            <w:pPr>
              <w:ind w:left="5040"/>
              <w:spacing w:after="0"/>
              <w:rPr>
                <w:sz w:val="20"/>
                <w:szCs w:val="20"/>
                <w:color w:val="auto"/>
              </w:rPr>
            </w:pPr>
            <w:r>
              <w:rPr>
                <w:rFonts w:ascii="Arial" w:cs="Arial" w:eastAsia="Arial" w:hAnsi="Arial"/>
                <w:sz w:val="12"/>
                <w:szCs w:val="12"/>
                <w:color w:val="auto"/>
              </w:rPr>
              <w:t>2022</w:t>
            </w:r>
          </w:p>
        </w:tc>
        <w:tc>
          <w:tcPr>
            <w:tcW w:w="1540" w:type="dxa"/>
            <w:vAlign w:val="bottom"/>
            <w:gridSpan w:val="3"/>
          </w:tcPr>
          <w:p>
            <w:pPr>
              <w:jc w:val="right"/>
              <w:ind w:right="240"/>
              <w:spacing w:after="0"/>
              <w:rPr>
                <w:sz w:val="20"/>
                <w:szCs w:val="20"/>
                <w:color w:val="auto"/>
              </w:rPr>
            </w:pPr>
            <w:r>
              <w:rPr>
                <w:rFonts w:ascii="Arial" w:cs="Arial" w:eastAsia="Arial" w:hAnsi="Arial"/>
                <w:sz w:val="12"/>
                <w:szCs w:val="12"/>
                <w:color w:val="auto"/>
              </w:rPr>
              <w:t>2021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500"/>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20"/>
                <w:szCs w:val="20"/>
                <w:color w:val="auto"/>
              </w:rPr>
            </w:pPr>
            <w:r>
              <w:rPr>
                <w:rFonts w:ascii="Arial" w:cs="Arial" w:eastAsia="Arial" w:hAnsi="Arial"/>
                <w:sz w:val="12"/>
                <w:szCs w:val="12"/>
                <w:color w:val="auto"/>
              </w:rPr>
              <w:t>(DKK million)</w:t>
            </w: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Right-of-use assets</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2"/>
                <w:szCs w:val="22"/>
                <w:color w:val="auto"/>
              </w:rPr>
            </w:pPr>
          </w:p>
        </w:tc>
        <w:tc>
          <w:tcPr>
            <w:tcW w:w="1400" w:type="dxa"/>
            <w:vAlign w:val="bottom"/>
            <w:vMerge w:val="restart"/>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23"/>
        </w:trPr>
        <w:tc>
          <w:tcPr>
            <w:tcW w:w="5620" w:type="dxa"/>
            <w:vAlign w:val="bottom"/>
            <w:gridSpan w:val="2"/>
          </w:tcPr>
          <w:p>
            <w:pPr>
              <w:spacing w:after="0" w:line="123" w:lineRule="exact"/>
              <w:rPr>
                <w:sz w:val="20"/>
                <w:szCs w:val="20"/>
                <w:color w:val="auto"/>
              </w:rPr>
            </w:pPr>
            <w:r>
              <w:rPr>
                <w:rFonts w:ascii="Arial" w:cs="Arial" w:eastAsia="Arial" w:hAnsi="Arial"/>
                <w:sz w:val="11"/>
                <w:szCs w:val="11"/>
                <w:color w:val="auto"/>
              </w:rPr>
              <w:t>Balance at January 1</w:t>
            </w:r>
          </w:p>
        </w:tc>
        <w:tc>
          <w:tcPr>
            <w:tcW w:w="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620" w:type="dxa"/>
            <w:vAlign w:val="bottom"/>
            <w:gridSpan w:val="2"/>
          </w:tcPr>
          <w:p>
            <w:pPr>
              <w:spacing w:after="0" w:line="136" w:lineRule="exact"/>
              <w:rPr>
                <w:sz w:val="20"/>
                <w:szCs w:val="20"/>
                <w:color w:val="auto"/>
              </w:rPr>
            </w:pPr>
            <w:r>
              <w:rPr>
                <w:rFonts w:ascii="Arial" w:cs="Arial" w:eastAsia="Arial" w:hAnsi="Arial"/>
                <w:sz w:val="9"/>
                <w:szCs w:val="9"/>
                <w:color w:val="auto"/>
              </w:rPr>
              <w:t>Additions to right-of-use assets</w:t>
            </w:r>
            <w:r>
              <w:rPr>
                <w:rFonts w:ascii="Arial" w:cs="Arial" w:eastAsia="Arial" w:hAnsi="Arial"/>
                <w:sz w:val="15"/>
                <w:szCs w:val="15"/>
                <w:color w:val="auto"/>
                <w:vertAlign w:val="superscript"/>
              </w:rPr>
              <w:t>1</w:t>
            </w:r>
          </w:p>
        </w:tc>
        <w:tc>
          <w:tcPr>
            <w:tcW w:w="260" w:type="dxa"/>
            <w:vAlign w:val="bottom"/>
          </w:tcPr>
          <w:p>
            <w:pPr>
              <w:jc w:val="right"/>
              <w:spacing w:after="0" w:line="136"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1"/>
                <w:szCs w:val="11"/>
                <w:color w:val="auto"/>
              </w:rPr>
              <w:t>Depreciation charge for the year</w:t>
            </w:r>
          </w:p>
        </w:tc>
        <w:tc>
          <w:tcPr>
            <w:tcW w:w="11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(13)</w:t>
            </w:r>
          </w:p>
        </w:tc>
        <w:tc>
          <w:tcPr>
            <w:tcW w:w="114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(13)</w:t>
            </w:r>
          </w:p>
        </w:tc>
        <w:tc>
          <w:tcPr>
            <w:tcW w:w="140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397"/>
        </w:trPr>
        <w:tc>
          <w:tcPr>
            <w:tcW w:w="4480" w:type="dxa"/>
            <w:vAlign w:val="bottom"/>
          </w:tcPr>
          <w:p>
            <w:pPr>
              <w:spacing w:after="0"/>
              <w:rPr>
                <w:sz w:val="20"/>
                <w:szCs w:val="20"/>
                <w:color w:val="auto"/>
              </w:rPr>
            </w:pPr>
            <w:r>
              <w:rPr>
                <w:rFonts w:ascii="Arial" w:cs="Arial" w:eastAsia="Arial" w:hAnsi="Arial"/>
                <w:sz w:val="11"/>
                <w:szCs w:val="11"/>
                <w:b w:val="1"/>
                <w:bCs w:val="1"/>
                <w:color w:val="auto"/>
              </w:rPr>
              <w:t>Balance at December 31</w:t>
            </w:r>
          </w:p>
        </w:tc>
        <w:tc>
          <w:tcPr>
            <w:tcW w:w="1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w:t>
            </w:r>
          </w:p>
        </w:tc>
        <w:tc>
          <w:tcPr>
            <w:tcW w:w="14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w:t>
            </w:r>
          </w:p>
        </w:tc>
        <w:tc>
          <w:tcPr>
            <w:tcW w:w="120" w:type="dxa"/>
            <w:vAlign w:val="bottom"/>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w:t>
            </w:r>
          </w:p>
        </w:tc>
        <w:tc>
          <w:tcPr>
            <w:tcW w:w="0" w:type="dxa"/>
            <w:vAlign w:val="bottom"/>
          </w:tcPr>
          <w:p>
            <w:pPr>
              <w:spacing w:after="0"/>
              <w:rPr>
                <w:sz w:val="1"/>
                <w:szCs w:val="1"/>
                <w:color w:val="auto"/>
              </w:rPr>
            </w:pPr>
          </w:p>
        </w:tc>
      </w:tr>
      <w:tr>
        <w:trPr>
          <w:trHeight w:val="261"/>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Lease liabilities</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2"/>
                <w:szCs w:val="22"/>
                <w:color w:val="auto"/>
              </w:rPr>
            </w:pPr>
          </w:p>
        </w:tc>
        <w:tc>
          <w:tcPr>
            <w:tcW w:w="140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23"/>
        </w:trPr>
        <w:tc>
          <w:tcPr>
            <w:tcW w:w="5620" w:type="dxa"/>
            <w:vAlign w:val="bottom"/>
            <w:gridSpan w:val="2"/>
          </w:tcPr>
          <w:p>
            <w:pPr>
              <w:spacing w:after="0" w:line="123" w:lineRule="exact"/>
              <w:rPr>
                <w:sz w:val="20"/>
                <w:szCs w:val="20"/>
                <w:color w:val="auto"/>
              </w:rPr>
            </w:pPr>
            <w:r>
              <w:rPr>
                <w:rFonts w:ascii="Arial" w:cs="Arial" w:eastAsia="Arial" w:hAnsi="Arial"/>
                <w:sz w:val="11"/>
                <w:szCs w:val="11"/>
                <w:color w:val="auto"/>
              </w:rPr>
              <w:t>Current</w:t>
            </w:r>
          </w:p>
        </w:tc>
        <w:tc>
          <w:tcPr>
            <w:tcW w:w="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1"/>
                <w:szCs w:val="11"/>
                <w:color w:val="auto"/>
              </w:rPr>
              <w:t>Non-current</w:t>
            </w:r>
          </w:p>
        </w:tc>
        <w:tc>
          <w:tcPr>
            <w:tcW w:w="1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51"/>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Total lease liabilities</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bl>
    <w:p>
      <w:pPr>
        <w:ind w:left="20" w:right="4759" w:firstLine="2"/>
        <w:spacing w:after="0" w:line="236" w:lineRule="auto"/>
        <w:tabs>
          <w:tab w:leader="none" w:pos="142" w:val="left"/>
        </w:tabs>
        <w:numPr>
          <w:ilvl w:val="0"/>
          <w:numId w:val="94"/>
        </w:numPr>
        <w:rPr>
          <w:rFonts w:ascii="Arial" w:cs="Arial" w:eastAsia="Arial" w:hAnsi="Arial"/>
          <w:sz w:val="8"/>
          <w:szCs w:val="8"/>
          <w:color w:val="auto"/>
        </w:rPr>
      </w:pPr>
      <w:r>
        <w:rPr>
          <w:rFonts w:ascii="Arial" w:cs="Arial" w:eastAsia="Arial" w:hAnsi="Arial"/>
          <w:sz w:val="8"/>
          <w:szCs w:val="8"/>
          <w:color w:val="auto"/>
        </w:rPr>
        <w:t>Additions to right-of-use assets also includes modifications to existing leases and adjustments to the provisions for contractual restoration obligations related to leases of Genmab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-107950</wp:posOffset>
            </wp:positionV>
            <wp:extent cx="284924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49245" cy="5715"/>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4480" w:type="dxa"/>
            <w:vAlign w:val="bottom"/>
          </w:tcPr>
          <w:p>
            <w:pPr>
              <w:spacing w:after="0"/>
              <w:rPr>
                <w:sz w:val="20"/>
                <w:szCs w:val="20"/>
                <w:color w:val="auto"/>
              </w:rPr>
            </w:pPr>
            <w:r>
              <w:rPr>
                <w:rFonts w:ascii="Arial" w:cs="Arial" w:eastAsia="Arial" w:hAnsi="Arial"/>
                <w:sz w:val="11"/>
                <w:szCs w:val="11"/>
                <w:b w:val="1"/>
                <w:bCs w:val="1"/>
                <w:color w:val="auto"/>
              </w:rPr>
              <w:t>Cash outflow for lease payments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w:t>
            </w:r>
          </w:p>
        </w:tc>
        <w:tc>
          <w:tcPr>
            <w:tcW w:w="1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Variable lease payments and lease interest expense are immaterial.</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Future minimum payments under leases as of December 31, 2022, December 31, 2021 and December 31, 2020, are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40" w:type="dxa"/>
            <w:vAlign w:val="bottom"/>
            <w:gridSpan w:val="2"/>
          </w:tcPr>
          <w:p>
            <w:pPr>
              <w:ind w:left="5040"/>
              <w:spacing w:after="0"/>
              <w:rPr>
                <w:sz w:val="20"/>
                <w:szCs w:val="20"/>
                <w:color w:val="auto"/>
              </w:rPr>
            </w:pPr>
            <w:r>
              <w:rPr>
                <w:rFonts w:ascii="Arial" w:cs="Arial" w:eastAsia="Arial" w:hAnsi="Arial"/>
                <w:sz w:val="12"/>
                <w:szCs w:val="12"/>
                <w:color w:val="auto"/>
              </w:rPr>
              <w:t>2022</w:t>
            </w:r>
          </w:p>
        </w:tc>
        <w:tc>
          <w:tcPr>
            <w:tcW w:w="1520" w:type="dxa"/>
            <w:vAlign w:val="bottom"/>
            <w:gridSpan w:val="3"/>
          </w:tcPr>
          <w:p>
            <w:pPr>
              <w:jc w:val="right"/>
              <w:ind w:right="200"/>
              <w:spacing w:after="0"/>
              <w:rPr>
                <w:sz w:val="20"/>
                <w:szCs w:val="20"/>
                <w:color w:val="auto"/>
              </w:rPr>
            </w:pPr>
            <w:r>
              <w:rPr>
                <w:rFonts w:ascii="Arial" w:cs="Arial" w:eastAsia="Arial" w:hAnsi="Arial"/>
                <w:sz w:val="12"/>
                <w:szCs w:val="12"/>
                <w:color w:val="auto"/>
              </w:rPr>
              <w:t>2021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500"/>
              <w:spacing w:after="0"/>
              <w:rPr>
                <w:sz w:val="20"/>
                <w:szCs w:val="20"/>
                <w:color w:val="auto"/>
              </w:rPr>
            </w:pPr>
            <w:r>
              <w:rPr>
                <w:rFonts w:ascii="Arial" w:cs="Arial" w:eastAsia="Arial" w:hAnsi="Arial"/>
                <w:sz w:val="12"/>
                <w:szCs w:val="12"/>
                <w:color w:val="auto"/>
              </w:rPr>
              <w:t>2020</w:t>
            </w:r>
          </w:p>
        </w:tc>
      </w:tr>
      <w:tr>
        <w:trPr>
          <w:trHeight w:val="139"/>
        </w:trPr>
        <w:tc>
          <w:tcPr>
            <w:tcW w:w="4480" w:type="dxa"/>
            <w:vAlign w:val="bottom"/>
          </w:tcPr>
          <w:p>
            <w:pPr>
              <w:spacing w:after="0"/>
              <w:rPr>
                <w:sz w:val="20"/>
                <w:szCs w:val="20"/>
                <w:color w:val="auto"/>
              </w:rPr>
            </w:pPr>
            <w:r>
              <w:rPr>
                <w:rFonts w:ascii="Arial" w:cs="Arial" w:eastAsia="Arial" w:hAnsi="Arial"/>
                <w:sz w:val="12"/>
                <w:szCs w:val="12"/>
                <w:color w:val="auto"/>
              </w:rPr>
              <w:t>(DKK million)</w:t>
            </w:r>
          </w:p>
        </w:tc>
        <w:tc>
          <w:tcPr>
            <w:tcW w:w="10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r>
      <w:tr>
        <w:trPr>
          <w:trHeight w:val="245"/>
        </w:trPr>
        <w:tc>
          <w:tcPr>
            <w:tcW w:w="5540" w:type="dxa"/>
            <w:vAlign w:val="bottom"/>
            <w:gridSpan w:val="2"/>
          </w:tcPr>
          <w:p>
            <w:pPr>
              <w:spacing w:after="0"/>
              <w:rPr>
                <w:sz w:val="20"/>
                <w:szCs w:val="20"/>
                <w:color w:val="auto"/>
              </w:rPr>
            </w:pPr>
            <w:r>
              <w:rPr>
                <w:rFonts w:ascii="Arial" w:cs="Arial" w:eastAsia="Arial" w:hAnsi="Arial"/>
                <w:sz w:val="12"/>
                <w:szCs w:val="12"/>
                <w:b w:val="1"/>
                <w:bCs w:val="1"/>
                <w:color w:val="auto"/>
              </w:rPr>
              <w:t>Payment due</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36"/>
        </w:trPr>
        <w:tc>
          <w:tcPr>
            <w:tcW w:w="5540" w:type="dxa"/>
            <w:vAlign w:val="bottom"/>
            <w:gridSpan w:val="2"/>
          </w:tcPr>
          <w:p>
            <w:pPr>
              <w:spacing w:after="0" w:line="136" w:lineRule="exact"/>
              <w:rPr>
                <w:sz w:val="20"/>
                <w:szCs w:val="20"/>
                <w:color w:val="auto"/>
              </w:rPr>
            </w:pPr>
            <w:r>
              <w:rPr>
                <w:rFonts w:ascii="Arial" w:cs="Arial" w:eastAsia="Arial" w:hAnsi="Arial"/>
                <w:sz w:val="12"/>
                <w:szCs w:val="12"/>
                <w:color w:val="auto"/>
              </w:rPr>
              <w:t>Less than 1 year</w:t>
            </w: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5</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11</w:t>
            </w:r>
          </w:p>
        </w:tc>
        <w:tc>
          <w:tcPr>
            <w:tcW w:w="12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r>
      <w:tr>
        <w:trPr>
          <w:trHeight w:val="136"/>
        </w:trPr>
        <w:tc>
          <w:tcPr>
            <w:tcW w:w="5540" w:type="dxa"/>
            <w:vAlign w:val="bottom"/>
            <w:gridSpan w:val="2"/>
          </w:tcPr>
          <w:p>
            <w:pPr>
              <w:spacing w:after="0" w:line="136" w:lineRule="exact"/>
              <w:rPr>
                <w:sz w:val="20"/>
                <w:szCs w:val="20"/>
                <w:color w:val="auto"/>
              </w:rPr>
            </w:pPr>
            <w:r>
              <w:rPr>
                <w:rFonts w:ascii="Arial" w:cs="Arial" w:eastAsia="Arial" w:hAnsi="Arial"/>
                <w:sz w:val="12"/>
                <w:szCs w:val="12"/>
                <w:color w:val="auto"/>
              </w:rPr>
              <w:t>1 to 3 years</w:t>
            </w: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r>
      <w:tr>
        <w:trPr>
          <w:trHeight w:val="136"/>
        </w:trPr>
        <w:tc>
          <w:tcPr>
            <w:tcW w:w="5540" w:type="dxa"/>
            <w:vAlign w:val="bottom"/>
            <w:gridSpan w:val="2"/>
          </w:tcPr>
          <w:p>
            <w:pPr>
              <w:spacing w:after="0" w:line="136" w:lineRule="exact"/>
              <w:rPr>
                <w:sz w:val="20"/>
                <w:szCs w:val="20"/>
                <w:color w:val="auto"/>
              </w:rPr>
            </w:pPr>
            <w:r>
              <w:rPr>
                <w:rFonts w:ascii="Arial" w:cs="Arial" w:eastAsia="Arial" w:hAnsi="Arial"/>
                <w:sz w:val="12"/>
                <w:szCs w:val="12"/>
                <w:color w:val="auto"/>
              </w:rPr>
              <w:t>More than 3 years but less than 5 years</w:t>
            </w: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More than 5 years</w:t>
            </w:r>
          </w:p>
        </w:tc>
        <w:tc>
          <w:tcPr>
            <w:tcW w:w="10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61"/>
        </w:trPr>
        <w:tc>
          <w:tcPr>
            <w:tcW w:w="4480" w:type="dxa"/>
            <w:vAlign w:val="bottom"/>
          </w:tcPr>
          <w:p>
            <w:pPr>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Future minimum payments under leases with commencement dates after December 31, 2022 are not included in the table above.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Significant leases not yet commenced</w:t>
      </w:r>
    </w:p>
    <w:p>
      <w:pPr>
        <w:spacing w:after="0" w:line="134"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During 2020, Genmab entered into a lease agreement with respect to the new headquarters in Denmark with a commencement date in March 2023 and is non-cancellable until March 2038. The total future minimum payments over the term of the lease are approximately DKK 339 million and estimated capital expenditures to fit out the space are approximately DKK 128 million.</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6" w:name="page147"/>
    <w:bookmarkEnd w:id="14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3.3 in the consolidated financial statements for additional information regarding leases of the Group.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8 – Other Investments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3.4 to the consolidated financial statements for additional information on other investments of the Group.</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9 – Receivables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6720" w:type="dxa"/>
            <w:vAlign w:val="bottom"/>
            <w:gridSpan w:val="2"/>
          </w:tcPr>
          <w:p>
            <w:pPr>
              <w:ind w:left="6280"/>
              <w:spacing w:after="0"/>
              <w:rPr>
                <w:sz w:val="20"/>
                <w:szCs w:val="20"/>
                <w:color w:val="auto"/>
              </w:rPr>
            </w:pPr>
            <w:r>
              <w:rPr>
                <w:rFonts w:ascii="Arial" w:cs="Arial" w:eastAsia="Arial" w:hAnsi="Arial"/>
                <w:sz w:val="12"/>
                <w:szCs w:val="12"/>
                <w:b w:val="1"/>
                <w:bCs w:val="1"/>
                <w:color w:val="auto"/>
              </w:rPr>
              <w:t>2022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right"/>
              <w:ind w:right="640"/>
              <w:spacing w:after="0"/>
              <w:rPr>
                <w:sz w:val="20"/>
                <w:szCs w:val="20"/>
                <w:color w:val="auto"/>
              </w:rPr>
            </w:pPr>
            <w:r>
              <w:rPr>
                <w:rFonts w:ascii="Arial" w:cs="Arial" w:eastAsia="Arial" w:hAnsi="Arial"/>
                <w:sz w:val="12"/>
                <w:szCs w:val="12"/>
                <w:b w:val="1"/>
                <w:bCs w:val="1"/>
                <w:color w:val="auto"/>
              </w:rPr>
              <w:t>2021</w:t>
            </w:r>
          </w:p>
        </w:tc>
      </w:tr>
      <w:tr>
        <w:trPr>
          <w:trHeight w:val="123"/>
        </w:trPr>
        <w:tc>
          <w:tcPr>
            <w:tcW w:w="5580" w:type="dxa"/>
            <w:vAlign w:val="bottom"/>
          </w:tcPr>
          <w:p>
            <w:pPr>
              <w:spacing w:after="0" w:line="124" w:lineRule="exact"/>
              <w:rPr>
                <w:sz w:val="20"/>
                <w:szCs w:val="20"/>
                <w:color w:val="auto"/>
              </w:rPr>
            </w:pPr>
            <w:r>
              <w:rPr>
                <w:rFonts w:ascii="Arial" w:cs="Arial" w:eastAsia="Arial" w:hAnsi="Arial"/>
                <w:sz w:val="12"/>
                <w:szCs w:val="12"/>
                <w:color w:val="auto"/>
              </w:rPr>
              <w:t>(DKK million)</w:t>
            </w:r>
          </w:p>
        </w:tc>
        <w:tc>
          <w:tcPr>
            <w:tcW w:w="1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r>
      <w:tr>
        <w:trPr>
          <w:trHeight w:val="136"/>
        </w:trPr>
        <w:tc>
          <w:tcPr>
            <w:tcW w:w="6720" w:type="dxa"/>
            <w:vAlign w:val="bottom"/>
            <w:gridSpan w:val="2"/>
          </w:tcPr>
          <w:p>
            <w:pPr>
              <w:spacing w:after="0" w:line="136" w:lineRule="exact"/>
              <w:rPr>
                <w:sz w:val="20"/>
                <w:szCs w:val="20"/>
                <w:color w:val="auto"/>
              </w:rPr>
            </w:pPr>
            <w:r>
              <w:rPr>
                <w:rFonts w:ascii="Arial" w:cs="Arial" w:eastAsia="Arial" w:hAnsi="Arial"/>
                <w:sz w:val="12"/>
                <w:szCs w:val="12"/>
                <w:color w:val="auto"/>
              </w:rPr>
              <w:t>Receivables related to collaboration agreements</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5,257</w:t>
            </w:r>
          </w:p>
        </w:tc>
        <w:tc>
          <w:tcPr>
            <w:tcW w:w="8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Arial" w:cs="Arial" w:eastAsia="Arial" w:hAnsi="Arial"/>
                <w:sz w:val="12"/>
                <w:szCs w:val="12"/>
                <w:color w:val="auto"/>
              </w:rPr>
              <w:t>2,979</w:t>
            </w:r>
          </w:p>
        </w:tc>
      </w:tr>
      <w:tr>
        <w:trPr>
          <w:trHeight w:val="136"/>
        </w:trPr>
        <w:tc>
          <w:tcPr>
            <w:tcW w:w="6720" w:type="dxa"/>
            <w:vAlign w:val="bottom"/>
            <w:gridSpan w:val="2"/>
          </w:tcPr>
          <w:p>
            <w:pPr>
              <w:spacing w:after="0" w:line="136" w:lineRule="exact"/>
              <w:rPr>
                <w:sz w:val="20"/>
                <w:szCs w:val="20"/>
                <w:color w:val="auto"/>
              </w:rPr>
            </w:pPr>
            <w:r>
              <w:rPr>
                <w:rFonts w:ascii="Arial" w:cs="Arial" w:eastAsia="Arial" w:hAnsi="Arial"/>
                <w:sz w:val="12"/>
                <w:szCs w:val="12"/>
                <w:color w:val="auto"/>
              </w:rPr>
              <w:t>Receivables from subsidiaries</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129</w:t>
            </w:r>
          </w:p>
        </w:tc>
        <w:tc>
          <w:tcPr>
            <w:tcW w:w="8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Arial" w:cs="Arial" w:eastAsia="Arial" w:hAnsi="Arial"/>
                <w:sz w:val="12"/>
                <w:szCs w:val="12"/>
                <w:color w:val="auto"/>
              </w:rPr>
              <w:t>9</w:t>
            </w:r>
          </w:p>
        </w:tc>
      </w:tr>
      <w:tr>
        <w:trPr>
          <w:trHeight w:val="136"/>
        </w:trPr>
        <w:tc>
          <w:tcPr>
            <w:tcW w:w="6720" w:type="dxa"/>
            <w:vAlign w:val="bottom"/>
            <w:gridSpan w:val="2"/>
          </w:tcPr>
          <w:p>
            <w:pPr>
              <w:spacing w:after="0" w:line="136" w:lineRule="exact"/>
              <w:rPr>
                <w:sz w:val="20"/>
                <w:szCs w:val="20"/>
                <w:color w:val="auto"/>
              </w:rPr>
            </w:pPr>
            <w:r>
              <w:rPr>
                <w:rFonts w:ascii="Arial" w:cs="Arial" w:eastAsia="Arial" w:hAnsi="Arial"/>
                <w:sz w:val="12"/>
                <w:szCs w:val="12"/>
                <w:color w:val="auto"/>
              </w:rPr>
              <w:t>Interest receivables</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c>
          <w:tcPr>
            <w:tcW w:w="8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Arial" w:cs="Arial" w:eastAsia="Arial" w:hAnsi="Arial"/>
                <w:sz w:val="12"/>
                <w:szCs w:val="12"/>
                <w:color w:val="auto"/>
              </w:rPr>
              <w:t>37</w:t>
            </w:r>
          </w:p>
        </w:tc>
      </w:tr>
      <w:tr>
        <w:trPr>
          <w:trHeight w:val="136"/>
        </w:trPr>
        <w:tc>
          <w:tcPr>
            <w:tcW w:w="6720" w:type="dxa"/>
            <w:vAlign w:val="bottom"/>
            <w:gridSpan w:val="2"/>
          </w:tcPr>
          <w:p>
            <w:pPr>
              <w:spacing w:after="0" w:line="136" w:lineRule="exact"/>
              <w:rPr>
                <w:sz w:val="20"/>
                <w:szCs w:val="20"/>
                <w:color w:val="auto"/>
              </w:rPr>
            </w:pPr>
            <w:r>
              <w:rPr>
                <w:rFonts w:ascii="Arial" w:cs="Arial" w:eastAsia="Arial" w:hAnsi="Arial"/>
                <w:sz w:val="12"/>
                <w:szCs w:val="12"/>
                <w:color w:val="auto"/>
              </w:rPr>
              <w:t>Other receivables</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77</w:t>
            </w:r>
          </w:p>
        </w:tc>
        <w:tc>
          <w:tcPr>
            <w:tcW w:w="8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Arial" w:cs="Arial" w:eastAsia="Arial" w:hAnsi="Arial"/>
                <w:sz w:val="12"/>
                <w:szCs w:val="12"/>
                <w:color w:val="auto"/>
              </w:rPr>
              <w:t>52</w:t>
            </w:r>
          </w:p>
        </w:tc>
      </w:tr>
      <w:tr>
        <w:trPr>
          <w:trHeight w:val="136"/>
        </w:trPr>
        <w:tc>
          <w:tcPr>
            <w:tcW w:w="6720" w:type="dxa"/>
            <w:vAlign w:val="bottom"/>
            <w:gridSpan w:val="2"/>
          </w:tcPr>
          <w:p>
            <w:pPr>
              <w:spacing w:after="0" w:line="136" w:lineRule="exact"/>
              <w:rPr>
                <w:sz w:val="20"/>
                <w:szCs w:val="20"/>
                <w:color w:val="auto"/>
              </w:rPr>
            </w:pPr>
            <w:r>
              <w:rPr>
                <w:rFonts w:ascii="Arial" w:cs="Arial" w:eastAsia="Arial" w:hAnsi="Arial"/>
                <w:sz w:val="12"/>
                <w:szCs w:val="12"/>
                <w:color w:val="auto"/>
              </w:rPr>
              <w:t>Receivables for securities matured</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290</w:t>
            </w:r>
          </w:p>
        </w:tc>
        <w:tc>
          <w:tcPr>
            <w:tcW w:w="8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49"/>
        </w:trPr>
        <w:tc>
          <w:tcPr>
            <w:tcW w:w="6720" w:type="dxa"/>
            <w:vAlign w:val="bottom"/>
            <w:gridSpan w:val="2"/>
          </w:tcPr>
          <w:p>
            <w:pPr>
              <w:spacing w:after="0"/>
              <w:rPr>
                <w:sz w:val="20"/>
                <w:szCs w:val="20"/>
                <w:color w:val="auto"/>
              </w:rPr>
            </w:pPr>
            <w:r>
              <w:rPr>
                <w:rFonts w:ascii="Arial" w:cs="Arial" w:eastAsia="Arial" w:hAnsi="Arial"/>
                <w:sz w:val="12"/>
                <w:szCs w:val="12"/>
                <w:color w:val="auto"/>
              </w:rPr>
              <w:t>Prepayments</w:t>
            </w:r>
          </w:p>
        </w:tc>
        <w:tc>
          <w:tcPr>
            <w:tcW w:w="50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25"/>
        </w:trPr>
        <w:tc>
          <w:tcPr>
            <w:tcW w:w="5580" w:type="dxa"/>
            <w:vAlign w:val="bottom"/>
          </w:tcPr>
          <w:p>
            <w:pPr>
              <w:spacing w:after="0" w:line="125" w:lineRule="exact"/>
              <w:rPr>
                <w:sz w:val="20"/>
                <w:szCs w:val="20"/>
                <w:color w:val="auto"/>
              </w:rPr>
            </w:pPr>
            <w:r>
              <w:rPr>
                <w:rFonts w:ascii="Arial" w:cs="Arial" w:eastAsia="Arial" w:hAnsi="Arial"/>
                <w:sz w:val="12"/>
                <w:szCs w:val="12"/>
                <w:b w:val="1"/>
                <w:bCs w:val="1"/>
                <w:color w:val="auto"/>
              </w:rPr>
              <w:t>Total</w:t>
            </w:r>
          </w:p>
        </w:tc>
        <w:tc>
          <w:tcPr>
            <w:tcW w:w="1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5,920</w:t>
            </w:r>
          </w:p>
        </w:tc>
        <w:tc>
          <w:tcPr>
            <w:tcW w:w="80" w:type="dxa"/>
            <w:vAlign w:val="bottom"/>
          </w:tcPr>
          <w:p>
            <w:pPr>
              <w:spacing w:after="0"/>
              <w:rPr>
                <w:sz w:val="10"/>
                <w:szCs w:val="10"/>
                <w:color w:val="auto"/>
              </w:rPr>
            </w:pPr>
          </w:p>
        </w:tc>
        <w:tc>
          <w:tcPr>
            <w:tcW w:w="1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3,204</w:t>
            </w:r>
          </w:p>
        </w:tc>
      </w:tr>
      <w:tr>
        <w:trPr>
          <w:trHeight w:val="248"/>
        </w:trPr>
        <w:tc>
          <w:tcPr>
            <w:tcW w:w="6720" w:type="dxa"/>
            <w:vAlign w:val="bottom"/>
            <w:gridSpan w:val="2"/>
          </w:tcPr>
          <w:p>
            <w:pPr>
              <w:spacing w:after="0"/>
              <w:rPr>
                <w:sz w:val="20"/>
                <w:szCs w:val="20"/>
                <w:color w:val="auto"/>
              </w:rPr>
            </w:pPr>
            <w:r>
              <w:rPr>
                <w:rFonts w:ascii="Arial" w:cs="Arial" w:eastAsia="Arial" w:hAnsi="Arial"/>
                <w:sz w:val="12"/>
                <w:szCs w:val="12"/>
                <w:color w:val="auto"/>
              </w:rPr>
              <w:t>Non-current receivables</w:t>
            </w:r>
          </w:p>
        </w:tc>
        <w:tc>
          <w:tcPr>
            <w:tcW w:w="50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9"/>
        </w:trPr>
        <w:tc>
          <w:tcPr>
            <w:tcW w:w="5580" w:type="dxa"/>
            <w:vAlign w:val="bottom"/>
          </w:tcPr>
          <w:p>
            <w:pPr>
              <w:spacing w:after="0"/>
              <w:rPr>
                <w:sz w:val="20"/>
                <w:szCs w:val="20"/>
                <w:color w:val="auto"/>
              </w:rPr>
            </w:pPr>
            <w:r>
              <w:rPr>
                <w:rFonts w:ascii="Arial" w:cs="Arial" w:eastAsia="Arial" w:hAnsi="Arial"/>
                <w:sz w:val="12"/>
                <w:szCs w:val="12"/>
                <w:color w:val="auto"/>
              </w:rPr>
              <w:t>Current receivables</w:t>
            </w:r>
          </w:p>
        </w:tc>
        <w:tc>
          <w:tcPr>
            <w:tcW w:w="1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5,885</w:t>
            </w:r>
          </w:p>
        </w:tc>
        <w:tc>
          <w:tcPr>
            <w:tcW w:w="80" w:type="dxa"/>
            <w:vAlign w:val="bottom"/>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3,196</w:t>
            </w:r>
          </w:p>
        </w:tc>
      </w:tr>
      <w:tr>
        <w:trPr>
          <w:trHeight w:val="261"/>
        </w:trPr>
        <w:tc>
          <w:tcPr>
            <w:tcW w:w="558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5,920</w:t>
            </w:r>
          </w:p>
        </w:tc>
        <w:tc>
          <w:tcPr>
            <w:tcW w:w="8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3,204</w:t>
            </w:r>
          </w:p>
        </w:tc>
      </w:tr>
    </w:tbl>
    <w:p>
      <w:pPr>
        <w:spacing w:after="0" w:line="24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3.5 in the consolidated financial statements for additional information regarding receivables of the Group.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10 – Deferred Revenue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40" w:type="dxa"/>
            <w:vAlign w:val="bottom"/>
            <w:vMerge w:val="restart"/>
          </w:tcPr>
          <w:p>
            <w:pPr>
              <w:spacing w:after="0"/>
              <w:rPr>
                <w:sz w:val="20"/>
                <w:szCs w:val="20"/>
                <w:color w:val="auto"/>
              </w:rPr>
            </w:pPr>
            <w:r>
              <w:rPr>
                <w:rFonts w:ascii="Arial" w:cs="Arial" w:eastAsia="Arial" w:hAnsi="Arial"/>
                <w:sz w:val="12"/>
                <w:szCs w:val="12"/>
                <w:color w:val="auto"/>
              </w:rPr>
              <w:t>(DKK million)</w:t>
            </w:r>
          </w:p>
        </w:tc>
        <w:tc>
          <w:tcPr>
            <w:tcW w:w="4140" w:type="dxa"/>
            <w:vAlign w:val="bottom"/>
            <w:gridSpan w:val="4"/>
          </w:tcPr>
          <w:p>
            <w:pPr>
              <w:jc w:val="right"/>
              <w:ind w:right="420"/>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right"/>
              <w:ind w:right="663"/>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12"/>
        </w:trPr>
        <w:tc>
          <w:tcPr>
            <w:tcW w:w="2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line="136" w:lineRule="exact"/>
              <w:rPr>
                <w:sz w:val="20"/>
                <w:szCs w:val="20"/>
                <w:color w:val="auto"/>
              </w:rPr>
            </w:pPr>
            <w:r>
              <w:rPr>
                <w:rFonts w:ascii="Arial" w:cs="Arial" w:eastAsia="Arial" w:hAnsi="Arial"/>
                <w:sz w:val="12"/>
                <w:szCs w:val="12"/>
                <w:color w:val="auto"/>
              </w:rPr>
              <w:t>Deferred revenue at January 1</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513</w:t>
            </w:r>
          </w:p>
        </w:tc>
        <w:tc>
          <w:tcPr>
            <w:tcW w:w="320" w:type="dxa"/>
            <w:vAlign w:val="bottom"/>
          </w:tcPr>
          <w:p>
            <w:pPr>
              <w:spacing w:after="0"/>
              <w:rPr>
                <w:sz w:val="11"/>
                <w:szCs w:val="11"/>
                <w:color w:val="auto"/>
              </w:rPr>
            </w:pPr>
          </w:p>
        </w:tc>
        <w:tc>
          <w:tcPr>
            <w:tcW w:w="1680" w:type="dxa"/>
            <w:vAlign w:val="bottom"/>
          </w:tcPr>
          <w:p>
            <w:pPr>
              <w:jc w:val="right"/>
              <w:spacing w:after="0" w:line="136" w:lineRule="exact"/>
              <w:rPr>
                <w:sz w:val="20"/>
                <w:szCs w:val="20"/>
                <w:color w:val="auto"/>
              </w:rPr>
            </w:pPr>
            <w:r>
              <w:rPr>
                <w:rFonts w:ascii="Arial" w:cs="Arial" w:eastAsia="Arial" w:hAnsi="Arial"/>
                <w:sz w:val="12"/>
                <w:szCs w:val="12"/>
                <w:color w:val="auto"/>
              </w:rPr>
              <w:t>513</w:t>
            </w:r>
          </w:p>
        </w:tc>
        <w:tc>
          <w:tcPr>
            <w:tcW w:w="0" w:type="dxa"/>
            <w:vAlign w:val="bottom"/>
          </w:tcPr>
          <w:p>
            <w:pPr>
              <w:spacing w:after="0"/>
              <w:rPr>
                <w:sz w:val="1"/>
                <w:szCs w:val="1"/>
                <w:color w:val="auto"/>
              </w:rPr>
            </w:pPr>
          </w:p>
        </w:tc>
      </w:tr>
      <w:tr>
        <w:trPr>
          <w:trHeight w:val="136"/>
        </w:trPr>
        <w:tc>
          <w:tcPr>
            <w:tcW w:w="2540" w:type="dxa"/>
            <w:vAlign w:val="bottom"/>
          </w:tcPr>
          <w:p>
            <w:pPr>
              <w:spacing w:after="0" w:line="136" w:lineRule="exact"/>
              <w:rPr>
                <w:sz w:val="20"/>
                <w:szCs w:val="20"/>
                <w:color w:val="auto"/>
              </w:rPr>
            </w:pPr>
            <w:r>
              <w:rPr>
                <w:rFonts w:ascii="Arial" w:cs="Arial" w:eastAsia="Arial" w:hAnsi="Arial"/>
                <w:sz w:val="12"/>
                <w:szCs w:val="12"/>
                <w:color w:val="auto"/>
              </w:rPr>
              <w:t>Customer payment received</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1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2"/>
                <w:szCs w:val="12"/>
                <w:color w:val="auto"/>
              </w:rPr>
              <w:t>Revenue recognized during the year</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1"/>
        </w:trPr>
        <w:tc>
          <w:tcPr>
            <w:tcW w:w="254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32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0" w:type="dxa"/>
            <w:vAlign w:val="bottom"/>
          </w:tcPr>
          <w:p>
            <w:pPr>
              <w:spacing w:after="0"/>
              <w:rPr>
                <w:sz w:val="1"/>
                <w:szCs w:val="1"/>
                <w:color w:val="auto"/>
              </w:rPr>
            </w:pPr>
          </w:p>
        </w:tc>
      </w:tr>
      <w:tr>
        <w:trPr>
          <w:trHeight w:val="248"/>
        </w:trPr>
        <w:tc>
          <w:tcPr>
            <w:tcW w:w="2540" w:type="dxa"/>
            <w:vAlign w:val="bottom"/>
          </w:tcPr>
          <w:p>
            <w:pPr>
              <w:spacing w:after="0"/>
              <w:rPr>
                <w:sz w:val="20"/>
                <w:szCs w:val="20"/>
                <w:color w:val="auto"/>
              </w:rPr>
            </w:pPr>
            <w:r>
              <w:rPr>
                <w:rFonts w:ascii="Arial" w:cs="Arial" w:eastAsia="Arial" w:hAnsi="Arial"/>
                <w:sz w:val="12"/>
                <w:szCs w:val="12"/>
                <w:color w:val="auto"/>
              </w:rPr>
              <w:t>Non-current deferred revenue</w:t>
            </w: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480</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2"/>
                <w:szCs w:val="12"/>
                <w:color w:val="auto"/>
              </w:rPr>
              <w:t>Current deferred revenue</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320" w:type="dxa"/>
            <w:vAlign w:val="bottom"/>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61"/>
        </w:trPr>
        <w:tc>
          <w:tcPr>
            <w:tcW w:w="254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32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513</w:t>
            </w:r>
          </w:p>
        </w:tc>
        <w:tc>
          <w:tcPr>
            <w:tcW w:w="0" w:type="dxa"/>
            <w:vAlign w:val="bottom"/>
          </w:tcPr>
          <w:p>
            <w:pPr>
              <w:spacing w:after="0"/>
              <w:rPr>
                <w:sz w:val="1"/>
                <w:szCs w:val="1"/>
                <w:color w:val="auto"/>
              </w:rPr>
            </w:pPr>
          </w:p>
        </w:tc>
      </w:tr>
      <w:tr>
        <w:trPr>
          <w:trHeight w:val="417"/>
        </w:trPr>
        <w:tc>
          <w:tcPr>
            <w:tcW w:w="6680" w:type="dxa"/>
            <w:vAlign w:val="bottom"/>
            <w:gridSpan w:val="5"/>
          </w:tcPr>
          <w:p>
            <w:pPr>
              <w:spacing w:after="0"/>
              <w:rPr>
                <w:sz w:val="20"/>
                <w:szCs w:val="20"/>
                <w:color w:val="auto"/>
              </w:rPr>
            </w:pPr>
            <w:r>
              <w:rPr>
                <w:rFonts w:ascii="Arial" w:cs="Arial" w:eastAsia="Arial" w:hAnsi="Arial"/>
                <w:sz w:val="12"/>
                <w:szCs w:val="12"/>
                <w:color w:val="029C93"/>
              </w:rPr>
              <w:t>Refer to Note 3.6 in the consolidated financial statements for additional information regarding deferred revenue of the Group.</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540" w:type="dxa"/>
            <w:vAlign w:val="bottom"/>
          </w:tcPr>
          <w:p>
            <w:pPr>
              <w:spacing w:after="0"/>
              <w:rPr>
                <w:sz w:val="20"/>
                <w:szCs w:val="20"/>
                <w:color w:val="auto"/>
              </w:rPr>
            </w:pPr>
            <w:r>
              <w:rPr>
                <w:rFonts w:ascii="Arial" w:cs="Arial" w:eastAsia="Arial" w:hAnsi="Arial"/>
                <w:sz w:val="10"/>
                <w:szCs w:val="10"/>
                <w:color w:val="auto"/>
              </w:rPr>
              <w:t>Genmab A/S</w:t>
            </w:r>
          </w:p>
        </w:tc>
        <w:tc>
          <w:tcPr>
            <w:tcW w:w="4140" w:type="dxa"/>
            <w:vAlign w:val="bottom"/>
            <w:gridSpan w:val="4"/>
          </w:tcPr>
          <w:p>
            <w:pPr>
              <w:ind w:left="600"/>
              <w:spacing w:after="0"/>
              <w:rPr>
                <w:sz w:val="20"/>
                <w:szCs w:val="20"/>
                <w:color w:val="auto"/>
              </w:rPr>
            </w:pPr>
            <w:r>
              <w:rPr>
                <w:rFonts w:ascii="Arial" w:cs="Arial" w:eastAsia="Arial" w:hAnsi="Arial"/>
                <w:sz w:val="10"/>
                <w:szCs w:val="10"/>
                <w:color w:val="auto"/>
              </w:rPr>
              <w:t>Tel: +45 7020 2728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25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jc w:val="right"/>
              <w:spacing w:after="0" w:line="109" w:lineRule="exact"/>
              <w:rPr>
                <w:sz w:val="20"/>
                <w:szCs w:val="20"/>
                <w:color w:val="auto"/>
              </w:rPr>
            </w:pPr>
            <w:r>
              <w:rPr>
                <w:rFonts w:ascii="Arial" w:cs="Arial" w:eastAsia="Arial" w:hAnsi="Arial"/>
                <w:sz w:val="10"/>
                <w:szCs w:val="10"/>
                <w:color w:val="auto"/>
              </w:rPr>
              <w:t>Page 144/158</w:t>
            </w:r>
          </w:p>
        </w:tc>
        <w:tc>
          <w:tcPr>
            <w:tcW w:w="0" w:type="dxa"/>
            <w:vAlign w:val="bottom"/>
          </w:tcPr>
          <w:p>
            <w:pPr>
              <w:spacing w:after="0"/>
              <w:rPr>
                <w:sz w:val="1"/>
                <w:szCs w:val="1"/>
                <w:color w:val="auto"/>
              </w:rPr>
            </w:pPr>
          </w:p>
        </w:tc>
      </w:tr>
      <w:tr>
        <w:trPr>
          <w:trHeight w:val="105"/>
        </w:trPr>
        <w:tc>
          <w:tcPr>
            <w:tcW w:w="25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4140" w:type="dxa"/>
            <w:vAlign w:val="bottom"/>
            <w:gridSpan w:val="4"/>
          </w:tcPr>
          <w:p>
            <w:pPr>
              <w:ind w:left="600"/>
              <w:spacing w:after="0" w:line="105" w:lineRule="exact"/>
              <w:rPr>
                <w:sz w:val="20"/>
                <w:szCs w:val="20"/>
                <w:color w:val="auto"/>
              </w:rPr>
            </w:pPr>
            <w:r>
              <w:rPr>
                <w:rFonts w:ascii="Arial" w:cs="Arial" w:eastAsia="Arial" w:hAnsi="Arial"/>
                <w:sz w:val="10"/>
                <w:szCs w:val="10"/>
                <w:color w:val="0000FF"/>
              </w:rPr>
              <w:t>www.genmab.com</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47" w:name="page148"/>
    <w:bookmarkEnd w:id="14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11 – Other Payables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vMerge w:val="restart"/>
          </w:tcPr>
          <w:p>
            <w:pPr>
              <w:spacing w:after="0"/>
              <w:rPr>
                <w:sz w:val="20"/>
                <w:szCs w:val="20"/>
                <w:color w:val="auto"/>
              </w:rPr>
            </w:pPr>
            <w:r>
              <w:rPr>
                <w:rFonts w:ascii="Arial" w:cs="Arial" w:eastAsia="Arial" w:hAnsi="Arial"/>
                <w:sz w:val="12"/>
                <w:szCs w:val="12"/>
                <w:color w:val="auto"/>
              </w:rPr>
              <w:t>(DKK million)</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2"/>
                <w:szCs w:val="12"/>
                <w:color w:val="auto"/>
              </w:rPr>
              <w:t>2022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jc w:val="right"/>
              <w:ind w:right="664"/>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12"/>
        </w:trPr>
        <w:tc>
          <w:tcPr>
            <w:tcW w:w="28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2"/>
                <w:szCs w:val="12"/>
                <w:color w:val="auto"/>
              </w:rPr>
              <w:t>Liabilities related to collaboration agreements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2"/>
                <w:szCs w:val="12"/>
                <w:color w:val="auto"/>
              </w:rPr>
              <w:t>Staff cost liabilities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2"/>
                <w:szCs w:val="12"/>
                <w:color w:val="auto"/>
              </w:rPr>
              <w:t>Other liabilities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653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577</w:t>
            </w: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2"/>
                <w:szCs w:val="12"/>
                <w:color w:val="auto"/>
              </w:rPr>
              <w:t>Payable to subsidiaries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1,136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770</w:t>
            </w: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2"/>
                <w:szCs w:val="12"/>
                <w:color w:val="auto"/>
              </w:rPr>
              <w:t>Provisions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20"/>
                <w:szCs w:val="20"/>
                <w:color w:val="auto"/>
              </w:rPr>
            </w:pPr>
            <w:r>
              <w:rPr>
                <w:rFonts w:ascii="Arial" w:cs="Arial" w:eastAsia="Arial" w:hAnsi="Arial"/>
                <w:sz w:val="12"/>
                <w:szCs w:val="12"/>
                <w:color w:val="auto"/>
              </w:rPr>
              <w:t>Accounts payable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261"/>
        </w:trPr>
        <w:tc>
          <w:tcPr>
            <w:tcW w:w="282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2,045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1,608</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Arial" w:cs="Arial" w:eastAsia="Arial" w:hAnsi="Arial"/>
                <w:sz w:val="12"/>
                <w:szCs w:val="12"/>
                <w:color w:val="auto"/>
              </w:rPr>
              <w:t>Non-current other payables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20"/>
                <w:szCs w:val="20"/>
                <w:color w:val="auto"/>
              </w:rPr>
            </w:pPr>
            <w:r>
              <w:rPr>
                <w:rFonts w:ascii="Arial" w:cs="Arial" w:eastAsia="Arial" w:hAnsi="Arial"/>
                <w:sz w:val="12"/>
                <w:szCs w:val="12"/>
                <w:color w:val="auto"/>
              </w:rPr>
              <w:t>Current other payables</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2,045</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w:t>
            </w:r>
          </w:p>
        </w:tc>
        <w:tc>
          <w:tcPr>
            <w:tcW w:w="0" w:type="dxa"/>
            <w:vAlign w:val="bottom"/>
          </w:tcPr>
          <w:p>
            <w:pPr>
              <w:spacing w:after="0"/>
              <w:rPr>
                <w:sz w:val="1"/>
                <w:szCs w:val="1"/>
                <w:color w:val="auto"/>
              </w:rPr>
            </w:pPr>
          </w:p>
        </w:tc>
      </w:tr>
      <w:tr>
        <w:trPr>
          <w:trHeight w:val="261"/>
        </w:trPr>
        <w:tc>
          <w:tcPr>
            <w:tcW w:w="2820" w:type="dxa"/>
            <w:vAlign w:val="bottom"/>
          </w:tcPr>
          <w:p>
            <w:pPr>
              <w:spacing w:after="0"/>
              <w:rPr>
                <w:sz w:val="20"/>
                <w:szCs w:val="20"/>
                <w:color w:val="auto"/>
              </w:rPr>
            </w:pPr>
            <w:r>
              <w:rPr>
                <w:rFonts w:ascii="Arial" w:cs="Arial" w:eastAsia="Arial" w:hAnsi="Arial"/>
                <w:sz w:val="12"/>
                <w:szCs w:val="12"/>
                <w:b w:val="1"/>
                <w:bCs w:val="1"/>
                <w:color w:val="auto"/>
              </w:rPr>
              <w:t>Total at December 31</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2,045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1,608</w:t>
            </w:r>
          </w:p>
        </w:tc>
        <w:tc>
          <w:tcPr>
            <w:tcW w:w="0" w:type="dxa"/>
            <w:vAlign w:val="bottom"/>
          </w:tcPr>
          <w:p>
            <w:pPr>
              <w:spacing w:after="0"/>
              <w:rPr>
                <w:sz w:val="1"/>
                <w:szCs w:val="1"/>
                <w:color w:val="auto"/>
              </w:rPr>
            </w:pPr>
          </w:p>
        </w:tc>
      </w:tr>
      <w:tr>
        <w:trPr>
          <w:trHeight w:val="417"/>
        </w:trPr>
        <w:tc>
          <w:tcPr>
            <w:tcW w:w="6800" w:type="dxa"/>
            <w:vAlign w:val="bottom"/>
            <w:gridSpan w:val="9"/>
          </w:tcPr>
          <w:p>
            <w:pPr>
              <w:spacing w:after="0"/>
              <w:rPr>
                <w:sz w:val="20"/>
                <w:szCs w:val="20"/>
                <w:color w:val="auto"/>
              </w:rPr>
            </w:pPr>
            <w:r>
              <w:rPr>
                <w:rFonts w:ascii="Arial" w:cs="Arial" w:eastAsia="Arial" w:hAnsi="Arial"/>
                <w:sz w:val="12"/>
                <w:szCs w:val="12"/>
                <w:color w:val="029C93"/>
              </w:rPr>
              <w:t>Refer to Note 3.7 in the consolidated financial statements for additional information regarding other payables of the Group.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20" w:type="dxa"/>
            <w:vAlign w:val="bottom"/>
          </w:tcPr>
          <w:p>
            <w:pPr>
              <w:spacing w:after="0"/>
              <w:rPr>
                <w:sz w:val="20"/>
                <w:szCs w:val="20"/>
                <w:color w:val="auto"/>
              </w:rPr>
            </w:pPr>
            <w:r>
              <w:rPr>
                <w:rFonts w:ascii="Arial" w:cs="Arial" w:eastAsia="Arial" w:hAnsi="Arial"/>
                <w:sz w:val="15"/>
                <w:szCs w:val="15"/>
                <w:b w:val="1"/>
                <w:bCs w:val="1"/>
                <w:color w:val="auto"/>
              </w:rPr>
              <w:t>12 – Marketable Securities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800" w:type="dxa"/>
            <w:vAlign w:val="bottom"/>
            <w:gridSpan w:val="9"/>
          </w:tcPr>
          <w:p>
            <w:pPr>
              <w:spacing w:after="0"/>
              <w:rPr>
                <w:sz w:val="20"/>
                <w:szCs w:val="20"/>
                <w:color w:val="auto"/>
              </w:rPr>
            </w:pPr>
            <w:r>
              <w:rPr>
                <w:rFonts w:ascii="Arial" w:cs="Arial" w:eastAsia="Arial" w:hAnsi="Arial"/>
                <w:sz w:val="12"/>
                <w:szCs w:val="12"/>
                <w:color w:val="029C93"/>
              </w:rPr>
              <w:t>Refer to Note 4.4 to the consolidated financial statements for additional information on marketable securities of the Group.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820" w:type="dxa"/>
            <w:vAlign w:val="bottom"/>
          </w:tcPr>
          <w:p>
            <w:pPr>
              <w:spacing w:after="0"/>
              <w:rPr>
                <w:sz w:val="20"/>
                <w:szCs w:val="20"/>
                <w:color w:val="auto"/>
              </w:rPr>
            </w:pPr>
            <w:r>
              <w:rPr>
                <w:rFonts w:ascii="Arial" w:cs="Arial" w:eastAsia="Arial" w:hAnsi="Arial"/>
                <w:sz w:val="15"/>
                <w:szCs w:val="15"/>
                <w:b w:val="1"/>
                <w:bCs w:val="1"/>
                <w:color w:val="auto"/>
              </w:rPr>
              <w:t>13 – Financial Income and Expenses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20" w:type="dxa"/>
            <w:vAlign w:val="bottom"/>
            <w:vMerge w:val="restart"/>
          </w:tcPr>
          <w:p>
            <w:pPr>
              <w:spacing w:after="0"/>
              <w:rPr>
                <w:sz w:val="20"/>
                <w:szCs w:val="20"/>
                <w:color w:val="auto"/>
              </w:rPr>
            </w:pPr>
            <w:r>
              <w:rPr>
                <w:rFonts w:ascii="Arial" w:cs="Arial" w:eastAsia="Arial" w:hAnsi="Arial"/>
                <w:sz w:val="11"/>
                <w:szCs w:val="11"/>
                <w:color w:val="auto"/>
              </w:rPr>
              <w:t>(DKK million)</w:t>
            </w:r>
          </w:p>
        </w:tc>
        <w:tc>
          <w:tcPr>
            <w:tcW w:w="2480" w:type="dxa"/>
            <w:vAlign w:val="bottom"/>
            <w:gridSpan w:val="4"/>
          </w:tcPr>
          <w:p>
            <w:pPr>
              <w:jc w:val="right"/>
              <w:ind w:right="160"/>
              <w:spacing w:after="0"/>
              <w:rPr>
                <w:sz w:val="20"/>
                <w:szCs w:val="20"/>
                <w:color w:val="auto"/>
              </w:rPr>
            </w:pPr>
            <w:r>
              <w:rPr>
                <w:rFonts w:ascii="Arial" w:cs="Arial" w:eastAsia="Arial" w:hAnsi="Arial"/>
                <w:sz w:val="11"/>
                <w:szCs w:val="11"/>
                <w:color w:val="auto"/>
              </w:rPr>
              <w:t>2022</w:t>
            </w:r>
          </w:p>
        </w:tc>
        <w:tc>
          <w:tcPr>
            <w:tcW w:w="1500" w:type="dxa"/>
            <w:vAlign w:val="bottom"/>
            <w:gridSpan w:val="4"/>
          </w:tcPr>
          <w:p>
            <w:pPr>
              <w:jc w:val="right"/>
              <w:ind w:right="80"/>
              <w:spacing w:after="0"/>
              <w:rPr>
                <w:sz w:val="20"/>
                <w:szCs w:val="20"/>
                <w:color w:val="auto"/>
              </w:rPr>
            </w:pPr>
            <w:r>
              <w:rPr>
                <w:rFonts w:ascii="Arial" w:cs="Arial" w:eastAsia="Arial" w:hAnsi="Arial"/>
                <w:sz w:val="11"/>
                <w:szCs w:val="11"/>
                <w:color w:val="auto"/>
              </w:rPr>
              <w:t>2021</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ind w:right="584"/>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07"/>
        </w:trPr>
        <w:tc>
          <w:tcPr>
            <w:tcW w:w="28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b w:val="1"/>
                <w:bCs w:val="1"/>
                <w:color w:val="auto"/>
              </w:rPr>
              <w:t>Financial income:</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Interest and other financial income</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321</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190</w:t>
            </w:r>
          </w:p>
        </w:tc>
        <w:tc>
          <w:tcPr>
            <w:tcW w:w="6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184</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Interest from subsidiaries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Gain on other investments, net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20"/>
                <w:szCs w:val="20"/>
                <w:color w:val="auto"/>
              </w:rPr>
            </w:pPr>
            <w:r>
              <w:rPr>
                <w:rFonts w:ascii="Arial" w:cs="Arial" w:eastAsia="Arial" w:hAnsi="Arial"/>
                <w:sz w:val="11"/>
                <w:szCs w:val="11"/>
                <w:color w:val="auto"/>
              </w:rPr>
              <w:t>Foreign exchange rate gain, net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978</w:t>
            </w: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1,417</w:t>
            </w:r>
          </w:p>
        </w:tc>
        <w:tc>
          <w:tcPr>
            <w:tcW w:w="60" w:type="dxa"/>
            <w:vAlign w:val="bottom"/>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jc w:val="right"/>
              <w:spacing w:after="0" w:line="10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20"/>
                <w:szCs w:val="20"/>
                <w:color w:val="auto"/>
              </w:rPr>
            </w:pPr>
            <w:r>
              <w:rPr>
                <w:rFonts w:ascii="Arial" w:cs="Arial" w:eastAsia="Arial" w:hAnsi="Arial"/>
                <w:sz w:val="11"/>
                <w:szCs w:val="11"/>
                <w:b w:val="1"/>
                <w:bCs w:val="1"/>
                <w:color w:val="auto"/>
              </w:rPr>
              <w:t>Total financial income</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1,300</w:t>
            </w: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1,610</w:t>
            </w:r>
          </w:p>
        </w:tc>
        <w:tc>
          <w:tcPr>
            <w:tcW w:w="60" w:type="dxa"/>
            <w:vAlign w:val="bottom"/>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254</w:t>
            </w:r>
          </w:p>
        </w:tc>
        <w:tc>
          <w:tcPr>
            <w:tcW w:w="0" w:type="dxa"/>
            <w:vAlign w:val="bottom"/>
          </w:tcPr>
          <w:p>
            <w:pPr>
              <w:spacing w:after="0"/>
              <w:rPr>
                <w:sz w:val="1"/>
                <w:szCs w:val="1"/>
                <w:color w:val="auto"/>
              </w:rPr>
            </w:pPr>
          </w:p>
        </w:tc>
      </w:tr>
      <w:tr>
        <w:trPr>
          <w:trHeight w:val="361"/>
        </w:trPr>
        <w:tc>
          <w:tcPr>
            <w:tcW w:w="2820" w:type="dxa"/>
            <w:vAlign w:val="bottom"/>
          </w:tcPr>
          <w:p>
            <w:pPr>
              <w:spacing w:after="0"/>
              <w:rPr>
                <w:sz w:val="20"/>
                <w:szCs w:val="20"/>
                <w:color w:val="auto"/>
              </w:rPr>
            </w:pPr>
            <w:r>
              <w:rPr>
                <w:rFonts w:ascii="Arial" w:cs="Arial" w:eastAsia="Arial" w:hAnsi="Arial"/>
                <w:sz w:val="11"/>
                <w:szCs w:val="11"/>
                <w:b w:val="1"/>
                <w:bCs w:val="1"/>
                <w:color w:val="auto"/>
              </w:rPr>
              <w:t>Financial expenses: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Interest and other financial expenses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1"/>
                <w:szCs w:val="11"/>
                <w:color w:val="auto"/>
              </w:rPr>
              <w:t>(6)</w:t>
            </w:r>
          </w:p>
        </w:tc>
        <w:tc>
          <w:tcPr>
            <w:tcW w:w="960" w:type="dxa"/>
            <w:vAlign w:val="bottom"/>
          </w:tcPr>
          <w:p>
            <w:pPr>
              <w:spacing w:after="0"/>
              <w:rPr>
                <w:sz w:val="11"/>
                <w:szCs w:val="1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15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Interest to subsidiaries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1"/>
                <w:szCs w:val="11"/>
                <w:color w:val="auto"/>
              </w:rPr>
              <w:t>(2)</w:t>
            </w:r>
          </w:p>
        </w:tc>
        <w:tc>
          <w:tcPr>
            <w:tcW w:w="96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Loss on marketable securities, net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1"/>
                <w:szCs w:val="11"/>
                <w:color w:val="auto"/>
              </w:rPr>
              <w:t>(361)</w:t>
            </w:r>
          </w:p>
        </w:tc>
        <w:tc>
          <w:tcPr>
            <w:tcW w:w="960" w:type="dxa"/>
            <w:vAlign w:val="bottom"/>
          </w:tcPr>
          <w:p>
            <w:pPr>
              <w:spacing w:after="0"/>
              <w:rPr>
                <w:sz w:val="11"/>
                <w:szCs w:val="1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1"/>
                <w:szCs w:val="11"/>
                <w:color w:val="auto"/>
              </w:rPr>
              <w:t>(246)</w:t>
            </w:r>
          </w:p>
        </w:tc>
        <w:tc>
          <w:tcPr>
            <w:tcW w:w="1520" w:type="dxa"/>
            <w:vAlign w:val="bottom"/>
          </w:tcPr>
          <w:p>
            <w:pPr>
              <w:jc w:val="right"/>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20"/>
                <w:szCs w:val="20"/>
                <w:color w:val="auto"/>
              </w:rPr>
            </w:pPr>
            <w:r>
              <w:rPr>
                <w:rFonts w:ascii="Arial" w:cs="Arial" w:eastAsia="Arial" w:hAnsi="Arial"/>
                <w:sz w:val="11"/>
                <w:szCs w:val="11"/>
                <w:color w:val="auto"/>
              </w:rPr>
              <w:t>Loss on other investments, net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1"/>
                <w:szCs w:val="11"/>
                <w:color w:val="auto"/>
              </w:rPr>
              <w:t>(7)</w:t>
            </w:r>
          </w:p>
        </w:tc>
        <w:tc>
          <w:tcPr>
            <w:tcW w:w="15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20"/>
                <w:szCs w:val="20"/>
                <w:color w:val="auto"/>
              </w:rPr>
            </w:pPr>
            <w:r>
              <w:rPr>
                <w:rFonts w:ascii="Arial" w:cs="Arial" w:eastAsia="Arial" w:hAnsi="Arial"/>
                <w:sz w:val="11"/>
                <w:szCs w:val="11"/>
                <w:color w:val="auto"/>
              </w:rPr>
              <w:t>Foreign exchange rate loss, net</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(1,423)</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1"/>
                <w:szCs w:val="11"/>
                <w:b w:val="1"/>
                <w:bCs w:val="1"/>
                <w:color w:val="auto"/>
              </w:rPr>
              <w:t>Total financial expenses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(369)</w:t>
            </w:r>
          </w:p>
        </w:tc>
        <w:tc>
          <w:tcPr>
            <w:tcW w:w="960" w:type="dxa"/>
            <w:vAlign w:val="bottom"/>
          </w:tcPr>
          <w:p>
            <w:pPr>
              <w:spacing w:after="0"/>
              <w:rPr>
                <w:sz w:val="21"/>
                <w:szCs w:val="21"/>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(254)</w:t>
            </w: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(1,519)</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1"/>
                <w:szCs w:val="11"/>
                <w:b w:val="1"/>
                <w:bCs w:val="1"/>
                <w:color w:val="auto"/>
              </w:rPr>
              <w:t>Net financial items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931</w:t>
            </w:r>
          </w:p>
        </w:tc>
        <w:tc>
          <w:tcPr>
            <w:tcW w:w="6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1,356</w:t>
            </w:r>
          </w:p>
        </w:tc>
        <w:tc>
          <w:tcPr>
            <w:tcW w:w="6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(1,265)</w:t>
            </w:r>
          </w:p>
        </w:tc>
        <w:tc>
          <w:tcPr>
            <w:tcW w:w="0" w:type="dxa"/>
            <w:vAlign w:val="bottom"/>
          </w:tcPr>
          <w:p>
            <w:pPr>
              <w:spacing w:after="0"/>
              <w:rPr>
                <w:sz w:val="1"/>
                <w:szCs w:val="1"/>
                <w:color w:val="auto"/>
              </w:rPr>
            </w:pPr>
          </w:p>
        </w:tc>
      </w:tr>
      <w:tr>
        <w:trPr>
          <w:trHeight w:val="646"/>
        </w:trPr>
        <w:tc>
          <w:tcPr>
            <w:tcW w:w="2820" w:type="dxa"/>
            <w:vAlign w:val="bottom"/>
          </w:tcPr>
          <w:p>
            <w:pPr>
              <w:spacing w:after="0"/>
              <w:rPr>
                <w:sz w:val="20"/>
                <w:szCs w:val="20"/>
                <w:color w:val="auto"/>
              </w:rPr>
            </w:pPr>
            <w:r>
              <w:rPr>
                <w:rFonts w:ascii="Arial" w:cs="Arial" w:eastAsia="Arial" w:hAnsi="Arial"/>
                <w:sz w:val="10"/>
                <w:szCs w:val="10"/>
                <w:color w:val="auto"/>
              </w:rPr>
              <w:t>Genmab A/S</w:t>
            </w:r>
          </w:p>
        </w:tc>
        <w:tc>
          <w:tcPr>
            <w:tcW w:w="2480" w:type="dxa"/>
            <w:vAlign w:val="bottom"/>
            <w:gridSpan w:val="4"/>
          </w:tcPr>
          <w:p>
            <w:pPr>
              <w:ind w:left="320"/>
              <w:spacing w:after="0"/>
              <w:rPr>
                <w:sz w:val="20"/>
                <w:szCs w:val="20"/>
                <w:color w:val="auto"/>
              </w:rPr>
            </w:pPr>
            <w:r>
              <w:rPr>
                <w:rFonts w:ascii="Arial" w:cs="Arial" w:eastAsia="Arial" w:hAnsi="Arial"/>
                <w:sz w:val="10"/>
                <w:szCs w:val="10"/>
                <w:color w:val="auto"/>
              </w:rPr>
              <w:t>Tel: +45 7020 2728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282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jc w:val="right"/>
              <w:spacing w:after="0" w:line="109" w:lineRule="exact"/>
              <w:rPr>
                <w:sz w:val="20"/>
                <w:szCs w:val="20"/>
                <w:color w:val="auto"/>
              </w:rPr>
            </w:pPr>
            <w:r>
              <w:rPr>
                <w:rFonts w:ascii="Arial" w:cs="Arial" w:eastAsia="Arial" w:hAnsi="Arial"/>
                <w:sz w:val="10"/>
                <w:szCs w:val="10"/>
                <w:color w:val="auto"/>
              </w:rPr>
              <w:t>Page 145/158</w:t>
            </w:r>
          </w:p>
        </w:tc>
        <w:tc>
          <w:tcPr>
            <w:tcW w:w="0" w:type="dxa"/>
            <w:vAlign w:val="bottom"/>
          </w:tcPr>
          <w:p>
            <w:pPr>
              <w:spacing w:after="0"/>
              <w:rPr>
                <w:sz w:val="1"/>
                <w:szCs w:val="1"/>
                <w:color w:val="auto"/>
              </w:rPr>
            </w:pPr>
          </w:p>
        </w:tc>
      </w:tr>
      <w:tr>
        <w:trPr>
          <w:trHeight w:val="105"/>
        </w:trPr>
        <w:tc>
          <w:tcPr>
            <w:tcW w:w="282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480" w:type="dxa"/>
            <w:vAlign w:val="bottom"/>
            <w:gridSpan w:val="4"/>
          </w:tcPr>
          <w:p>
            <w:pPr>
              <w:ind w:left="320"/>
              <w:spacing w:after="0" w:line="105" w:lineRule="exact"/>
              <w:rPr>
                <w:sz w:val="20"/>
                <w:szCs w:val="20"/>
                <w:color w:val="auto"/>
              </w:rPr>
            </w:pPr>
            <w:r>
              <w:rPr>
                <w:rFonts w:ascii="Arial" w:cs="Arial" w:eastAsia="Arial" w:hAnsi="Arial"/>
                <w:sz w:val="10"/>
                <w:szCs w:val="10"/>
                <w:color w:val="0000FF"/>
              </w:rPr>
              <w:t>www.genmab.com</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2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48" w:name="page149"/>
    <w:bookmarkEnd w:id="14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4.5 in the consolidated financial statements for additional information regarding financial income and expenses of the Group.</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14 – Remuneration of the Board of Directors and Executive Management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Remuneration of the Board of Directors for the parent is the same as the Group.</w:t>
      </w:r>
    </w:p>
    <w:p>
      <w:pPr>
        <w:spacing w:after="0" w:line="143" w:lineRule="exact"/>
        <w:rPr>
          <w:sz w:val="20"/>
          <w:szCs w:val="20"/>
          <w:color w:val="auto"/>
        </w:rPr>
      </w:pPr>
    </w:p>
    <w:p>
      <w:pPr>
        <w:ind w:left="20" w:right="179"/>
        <w:spacing w:after="0" w:line="273" w:lineRule="auto"/>
        <w:rPr>
          <w:sz w:val="20"/>
          <w:szCs w:val="20"/>
          <w:color w:val="auto"/>
        </w:rPr>
      </w:pPr>
      <w:r>
        <w:rPr>
          <w:rFonts w:ascii="Arial" w:cs="Arial" w:eastAsia="Arial" w:hAnsi="Arial"/>
          <w:sz w:val="12"/>
          <w:szCs w:val="12"/>
          <w:color w:val="auto"/>
        </w:rPr>
        <w:t>Remuneration of Executive Management for the parent company is 10% of total compensation for each member of Executive Management as reported in Note 5.1 in the consolidated financial statements, per service agreement with each member of Executive Management.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5.1 in the consolidated financial statements for additional information regarding the remuneration of the Board of Directors and Executive Management.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15 – Related Party Disclosures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Genmab A/S’ related parties are the parent company’s subsidiaries, Board of Directors, Executive Management, and close members of the family of these persons.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TRANSACTIONS WITH SUBSIDIARIES</w:t>
      </w:r>
    </w:p>
    <w:p>
      <w:pPr>
        <w:spacing w:after="0" w:line="12" w:lineRule="exact"/>
        <w:rPr>
          <w:sz w:val="20"/>
          <w:szCs w:val="20"/>
          <w:color w:val="auto"/>
        </w:rPr>
      </w:pPr>
    </w:p>
    <w:p>
      <w:pPr>
        <w:ind w:left="20" w:right="159"/>
        <w:spacing w:after="0" w:line="251" w:lineRule="auto"/>
        <w:rPr>
          <w:sz w:val="20"/>
          <w:szCs w:val="20"/>
          <w:color w:val="auto"/>
        </w:rPr>
      </w:pPr>
      <w:r>
        <w:rPr>
          <w:rFonts w:ascii="Times New Roman" w:cs="Times New Roman" w:eastAsia="Times New Roman" w:hAnsi="Times New Roman"/>
          <w:sz w:val="12"/>
          <w:szCs w:val="12"/>
          <w:color w:val="auto"/>
        </w:rPr>
        <w:t>Genmab B.V., Genmab Holding B.V., Genmab US, Inc. and Genmab K.K. are 100% (directly or indirectly) owned subsidiaries of Genmab A/S and are included in the consolidated financial statements. During 2022, various intercompany transactions and services between the aforementioned companies took place in the field of research and development, selling, general and administration, finance and management. All intercompany transactions have been eliminated in the consolidated financial statements of the Genmab Group.</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5560" w:type="dxa"/>
            <w:vAlign w:val="bottom"/>
            <w:gridSpan w:val="2"/>
          </w:tcPr>
          <w:p>
            <w:pPr>
              <w:ind w:left="5200"/>
              <w:spacing w:after="0"/>
              <w:rPr>
                <w:sz w:val="20"/>
                <w:szCs w:val="20"/>
                <w:color w:val="auto"/>
              </w:rPr>
            </w:pPr>
            <w:r>
              <w:rPr>
                <w:rFonts w:ascii="Arial" w:cs="Arial" w:eastAsia="Arial" w:hAnsi="Arial"/>
                <w:sz w:val="12"/>
                <w:szCs w:val="12"/>
                <w:color w:val="auto"/>
              </w:rPr>
              <w:t>2022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ind w:right="500"/>
              <w:spacing w:after="0"/>
              <w:rPr>
                <w:sz w:val="20"/>
                <w:szCs w:val="20"/>
                <w:color w:val="auto"/>
              </w:rPr>
            </w:pPr>
            <w:r>
              <w:rPr>
                <w:rFonts w:ascii="Arial" w:cs="Arial" w:eastAsia="Arial" w:hAnsi="Arial"/>
                <w:sz w:val="12"/>
                <w:szCs w:val="12"/>
                <w:color w:val="auto"/>
              </w:rPr>
              <w:t>2021</w:t>
            </w:r>
          </w:p>
        </w:tc>
        <w:tc>
          <w:tcPr>
            <w:tcW w:w="80" w:type="dxa"/>
            <w:vAlign w:val="bottom"/>
          </w:tcPr>
          <w:p>
            <w:pPr>
              <w:spacing w:after="0"/>
              <w:rPr>
                <w:sz w:val="12"/>
                <w:szCs w:val="12"/>
                <w:color w:val="auto"/>
              </w:rPr>
            </w:pPr>
          </w:p>
        </w:tc>
        <w:tc>
          <w:tcPr>
            <w:tcW w:w="1400" w:type="dxa"/>
            <w:vAlign w:val="bottom"/>
          </w:tcPr>
          <w:p>
            <w:pPr>
              <w:jc w:val="right"/>
              <w:ind w:right="520"/>
              <w:spacing w:after="0"/>
              <w:rPr>
                <w:sz w:val="20"/>
                <w:szCs w:val="20"/>
                <w:color w:val="auto"/>
              </w:rPr>
            </w:pPr>
            <w:r>
              <w:rPr>
                <w:rFonts w:ascii="Arial" w:cs="Arial" w:eastAsia="Arial" w:hAnsi="Arial"/>
                <w:sz w:val="12"/>
                <w:szCs w:val="12"/>
                <w:color w:val="auto"/>
              </w:rPr>
              <w:t>2020</w:t>
            </w:r>
          </w:p>
        </w:tc>
      </w:tr>
      <w:tr>
        <w:trPr>
          <w:trHeight w:val="112"/>
        </w:trPr>
        <w:tc>
          <w:tcPr>
            <w:tcW w:w="4640" w:type="dxa"/>
            <w:vAlign w:val="bottom"/>
          </w:tcPr>
          <w:p>
            <w:pPr>
              <w:spacing w:after="0" w:line="113" w:lineRule="exact"/>
              <w:rPr>
                <w:sz w:val="20"/>
                <w:szCs w:val="20"/>
                <w:color w:val="auto"/>
              </w:rPr>
            </w:pPr>
            <w:r>
              <w:rPr>
                <w:rFonts w:ascii="Arial" w:cs="Arial" w:eastAsia="Arial" w:hAnsi="Arial"/>
                <w:sz w:val="12"/>
                <w:szCs w:val="12"/>
                <w:color w:val="auto"/>
              </w:rPr>
              <w:t>(DKK million)</w:t>
            </w:r>
          </w:p>
        </w:tc>
        <w:tc>
          <w:tcPr>
            <w:tcW w:w="9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b w:val="1"/>
                <w:bCs w:val="1"/>
                <w:color w:val="auto"/>
              </w:rPr>
              <w:t>Transactions with subsidiaries: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4"/>
        </w:trPr>
        <w:tc>
          <w:tcPr>
            <w:tcW w:w="556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Income statement: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Service fee income</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233</w:t>
            </w:r>
          </w:p>
        </w:tc>
        <w:tc>
          <w:tcPr>
            <w:tcW w:w="8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221</w:t>
            </w:r>
          </w:p>
        </w:tc>
        <w:tc>
          <w:tcPr>
            <w:tcW w:w="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127</w:t>
            </w: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Service fee costs</w:t>
            </w: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(4,446)</w:t>
            </w:r>
          </w:p>
        </w:tc>
        <w:tc>
          <w:tcPr>
            <w:tcW w:w="14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(2,675)</w:t>
            </w: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(1,693)</w:t>
            </w: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Milestone costs</w:t>
            </w: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(1,090)</w:t>
            </w: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Financial income</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3</w:t>
            </w:r>
          </w:p>
        </w:tc>
        <w:tc>
          <w:tcPr>
            <w:tcW w:w="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59"/>
        </w:trPr>
        <w:tc>
          <w:tcPr>
            <w:tcW w:w="5560" w:type="dxa"/>
            <w:vAlign w:val="bottom"/>
            <w:gridSpan w:val="2"/>
          </w:tcPr>
          <w:p>
            <w:pPr>
              <w:spacing w:after="0"/>
              <w:rPr>
                <w:sz w:val="20"/>
                <w:szCs w:val="20"/>
                <w:color w:val="auto"/>
              </w:rPr>
            </w:pPr>
            <w:r>
              <w:rPr>
                <w:rFonts w:ascii="Arial" w:cs="Arial" w:eastAsia="Arial" w:hAnsi="Arial"/>
                <w:sz w:val="12"/>
                <w:szCs w:val="12"/>
                <w:color w:val="auto"/>
              </w:rPr>
              <w:t>Financial expense</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49"/>
        </w:trPr>
        <w:tc>
          <w:tcPr>
            <w:tcW w:w="5560" w:type="dxa"/>
            <w:vAlign w:val="bottom"/>
            <w:gridSpan w:val="2"/>
          </w:tcPr>
          <w:p>
            <w:pPr>
              <w:spacing w:after="0"/>
              <w:rPr>
                <w:sz w:val="20"/>
                <w:szCs w:val="20"/>
                <w:color w:val="auto"/>
              </w:rPr>
            </w:pPr>
            <w:r>
              <w:rPr>
                <w:rFonts w:ascii="Arial" w:cs="Arial" w:eastAsia="Arial" w:hAnsi="Arial"/>
                <w:sz w:val="12"/>
                <w:szCs w:val="12"/>
                <w:i w:val="1"/>
                <w:iCs w:val="1"/>
                <w:color w:val="auto"/>
              </w:rPr>
              <w:t>Balance sheet: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Intangible assets</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217</w:t>
            </w:r>
          </w:p>
        </w:tc>
        <w:tc>
          <w:tcPr>
            <w:tcW w:w="8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33</w:t>
            </w:r>
          </w:p>
        </w:tc>
        <w:tc>
          <w:tcPr>
            <w:tcW w:w="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40</w:t>
            </w:r>
          </w:p>
        </w:tc>
      </w:tr>
      <w:tr>
        <w:trPr>
          <w:trHeight w:val="136"/>
        </w:trPr>
        <w:tc>
          <w:tcPr>
            <w:tcW w:w="5560" w:type="dxa"/>
            <w:vAlign w:val="bottom"/>
            <w:gridSpan w:val="2"/>
          </w:tcPr>
          <w:p>
            <w:pPr>
              <w:spacing w:after="0" w:line="136" w:lineRule="exact"/>
              <w:rPr>
                <w:sz w:val="20"/>
                <w:szCs w:val="20"/>
                <w:color w:val="auto"/>
              </w:rPr>
            </w:pPr>
            <w:r>
              <w:rPr>
                <w:rFonts w:ascii="Arial" w:cs="Arial" w:eastAsia="Arial" w:hAnsi="Arial"/>
                <w:sz w:val="12"/>
                <w:szCs w:val="12"/>
                <w:color w:val="auto"/>
              </w:rPr>
              <w:t>Current receivables</w:t>
            </w: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129</w:t>
            </w:r>
          </w:p>
        </w:tc>
        <w:tc>
          <w:tcPr>
            <w:tcW w:w="80" w:type="dxa"/>
            <w:vAlign w:val="bottom"/>
          </w:tcPr>
          <w:p>
            <w:pPr>
              <w:spacing w:after="0"/>
              <w:rPr>
                <w:sz w:val="11"/>
                <w:szCs w:val="11"/>
                <w:color w:val="auto"/>
              </w:rPr>
            </w:pP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9</w:t>
            </w:r>
          </w:p>
        </w:tc>
        <w:tc>
          <w:tcPr>
            <w:tcW w:w="80" w:type="dxa"/>
            <w:vAlign w:val="bottom"/>
          </w:tcPr>
          <w:p>
            <w:pPr>
              <w:spacing w:after="0"/>
              <w:rPr>
                <w:sz w:val="11"/>
                <w:szCs w:val="11"/>
                <w:color w:val="auto"/>
              </w:rPr>
            </w:pPr>
          </w:p>
        </w:tc>
        <w:tc>
          <w:tcPr>
            <w:tcW w:w="1400" w:type="dxa"/>
            <w:vAlign w:val="bottom"/>
          </w:tcPr>
          <w:p>
            <w:pPr>
              <w:jc w:val="right"/>
              <w:spacing w:after="0" w:line="136" w:lineRule="exact"/>
              <w:rPr>
                <w:sz w:val="20"/>
                <w:szCs w:val="20"/>
                <w:color w:val="auto"/>
              </w:rPr>
            </w:pPr>
            <w:r>
              <w:rPr>
                <w:rFonts w:ascii="Arial" w:cs="Arial" w:eastAsia="Arial" w:hAnsi="Arial"/>
                <w:sz w:val="12"/>
                <w:szCs w:val="12"/>
                <w:color w:val="auto"/>
              </w:rPr>
              <w:t>73</w:t>
            </w:r>
          </w:p>
        </w:tc>
      </w:tr>
      <w:tr>
        <w:trPr>
          <w:trHeight w:val="149"/>
        </w:trPr>
        <w:tc>
          <w:tcPr>
            <w:tcW w:w="4640" w:type="dxa"/>
            <w:vAlign w:val="bottom"/>
          </w:tcPr>
          <w:p>
            <w:pPr>
              <w:spacing w:after="0"/>
              <w:rPr>
                <w:sz w:val="20"/>
                <w:szCs w:val="20"/>
                <w:color w:val="auto"/>
              </w:rPr>
            </w:pPr>
            <w:r>
              <w:rPr>
                <w:rFonts w:ascii="Arial" w:cs="Arial" w:eastAsia="Arial" w:hAnsi="Arial"/>
                <w:sz w:val="12"/>
                <w:szCs w:val="12"/>
                <w:color w:val="auto"/>
              </w:rPr>
              <w:t>Current payables</w:t>
            </w:r>
          </w:p>
        </w:tc>
        <w:tc>
          <w:tcPr>
            <w:tcW w:w="9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(1,136)</w:t>
            </w: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(770)</w:t>
            </w:r>
          </w:p>
        </w:tc>
        <w:tc>
          <w:tcPr>
            <w:tcW w:w="1400" w:type="dxa"/>
            <w:vAlign w:val="bottom"/>
          </w:tcPr>
          <w:p>
            <w:pPr>
              <w:jc w:val="right"/>
              <w:spacing w:after="0"/>
              <w:rPr>
                <w:sz w:val="20"/>
                <w:szCs w:val="20"/>
                <w:color w:val="auto"/>
              </w:rPr>
            </w:pPr>
            <w:r>
              <w:rPr>
                <w:rFonts w:ascii="Arial" w:cs="Arial" w:eastAsia="Arial" w:hAnsi="Arial"/>
                <w:sz w:val="12"/>
                <w:szCs w:val="12"/>
                <w:color w:val="auto"/>
              </w:rPr>
              <w:t>(358)</w:t>
            </w: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41"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Genmab A/S has placed at each subsidiary’s disposal a credit facility (denominated in local currency) that the subsidiary may use to draw from in order to secure the necessary funding of its activities.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5.2 to the consolidated financial statements for additional information regarding transactions with related parties of the Group.</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146/158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9" w:name="page150"/>
    <w:bookmarkEnd w:id="14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16 – Investments in Subsidiaries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840" w:type="dxa"/>
            <w:vAlign w:val="bottom"/>
            <w:gridSpan w:val="2"/>
          </w:tcPr>
          <w:p>
            <w:pPr>
              <w:ind w:left="6440"/>
              <w:spacing w:after="0"/>
              <w:rPr>
                <w:sz w:val="20"/>
                <w:szCs w:val="20"/>
                <w:color w:val="auto"/>
              </w:rPr>
            </w:pPr>
            <w:r>
              <w:rPr>
                <w:rFonts w:ascii="Arial" w:cs="Arial" w:eastAsia="Arial" w:hAnsi="Arial"/>
                <w:sz w:val="12"/>
                <w:szCs w:val="12"/>
                <w:color w:val="auto"/>
              </w:rPr>
              <w:t>2022</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jc w:val="right"/>
              <w:ind w:right="580"/>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112"/>
        </w:trPr>
        <w:tc>
          <w:tcPr>
            <w:tcW w:w="5820" w:type="dxa"/>
            <w:vAlign w:val="bottom"/>
          </w:tcPr>
          <w:p>
            <w:pPr>
              <w:spacing w:after="0" w:line="113" w:lineRule="exact"/>
              <w:rPr>
                <w:sz w:val="20"/>
                <w:szCs w:val="20"/>
                <w:color w:val="auto"/>
              </w:rPr>
            </w:pPr>
            <w:r>
              <w:rPr>
                <w:rFonts w:ascii="Arial" w:cs="Arial" w:eastAsia="Arial" w:hAnsi="Arial"/>
                <w:sz w:val="12"/>
                <w:szCs w:val="12"/>
                <w:color w:val="auto"/>
              </w:rPr>
              <w:t>(DKK million)</w:t>
            </w:r>
          </w:p>
        </w:tc>
        <w:tc>
          <w:tcPr>
            <w:tcW w:w="10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840" w:type="dxa"/>
            <w:vAlign w:val="bottom"/>
            <w:gridSpan w:val="2"/>
          </w:tcPr>
          <w:p>
            <w:pPr>
              <w:spacing w:after="0" w:line="136" w:lineRule="exact"/>
              <w:rPr>
                <w:sz w:val="20"/>
                <w:szCs w:val="20"/>
                <w:color w:val="auto"/>
              </w:rPr>
            </w:pPr>
            <w:r>
              <w:rPr>
                <w:rFonts w:ascii="Arial" w:cs="Arial" w:eastAsia="Arial" w:hAnsi="Arial"/>
                <w:sz w:val="12"/>
                <w:szCs w:val="12"/>
                <w:color w:val="auto"/>
              </w:rPr>
              <w:t>Cost at January 1</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4,435</w:t>
            </w:r>
          </w:p>
        </w:tc>
        <w:tc>
          <w:tcPr>
            <w:tcW w:w="60" w:type="dxa"/>
            <w:vAlign w:val="bottom"/>
          </w:tcPr>
          <w:p>
            <w:pPr>
              <w:spacing w:after="0"/>
              <w:rPr>
                <w:sz w:val="11"/>
                <w:szCs w:val="11"/>
                <w:color w:val="auto"/>
              </w:rPr>
            </w:pPr>
          </w:p>
        </w:tc>
        <w:tc>
          <w:tcPr>
            <w:tcW w:w="1560" w:type="dxa"/>
            <w:vAlign w:val="bottom"/>
          </w:tcPr>
          <w:p>
            <w:pPr>
              <w:jc w:val="right"/>
              <w:spacing w:after="0" w:line="136" w:lineRule="exact"/>
              <w:rPr>
                <w:sz w:val="20"/>
                <w:szCs w:val="20"/>
                <w:color w:val="auto"/>
              </w:rPr>
            </w:pPr>
            <w:r>
              <w:rPr>
                <w:rFonts w:ascii="Arial" w:cs="Arial" w:eastAsia="Arial" w:hAnsi="Arial"/>
                <w:sz w:val="12"/>
                <w:szCs w:val="12"/>
                <w:color w:val="auto"/>
              </w:rPr>
              <w:t>3,885</w:t>
            </w: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500" w:type="dxa"/>
            <w:vAlign w:val="bottom"/>
          </w:tcPr>
          <w:p>
            <w:pPr>
              <w:jc w:val="right"/>
              <w:spacing w:after="0"/>
              <w:rPr>
                <w:sz w:val="20"/>
                <w:szCs w:val="20"/>
                <w:color w:val="auto"/>
              </w:rPr>
            </w:pPr>
            <w:r>
              <w:rPr>
                <w:rFonts w:ascii="Arial" w:cs="Arial" w:eastAsia="Arial" w:hAnsi="Arial"/>
                <w:sz w:val="12"/>
                <w:szCs w:val="12"/>
                <w:color w:val="auto"/>
              </w:rPr>
              <w:t>300</w:t>
            </w:r>
          </w:p>
        </w:tc>
        <w:tc>
          <w:tcPr>
            <w:tcW w:w="6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550</w:t>
            </w:r>
          </w:p>
        </w:tc>
        <w:tc>
          <w:tcPr>
            <w:tcW w:w="0" w:type="dxa"/>
            <w:vAlign w:val="bottom"/>
          </w:tcPr>
          <w:p>
            <w:pPr>
              <w:spacing w:after="0"/>
              <w:rPr>
                <w:sz w:val="1"/>
                <w:szCs w:val="1"/>
                <w:color w:val="auto"/>
              </w:rPr>
            </w:pPr>
          </w:p>
        </w:tc>
      </w:tr>
      <w:tr>
        <w:trPr>
          <w:trHeight w:val="154"/>
        </w:trPr>
        <w:tc>
          <w:tcPr>
            <w:tcW w:w="5820" w:type="dxa"/>
            <w:vAlign w:val="bottom"/>
          </w:tcPr>
          <w:p>
            <w:pPr>
              <w:spacing w:after="0"/>
              <w:rPr>
                <w:sz w:val="20"/>
                <w:szCs w:val="20"/>
                <w:color w:val="auto"/>
              </w:rPr>
            </w:pPr>
            <w:r>
              <w:rPr>
                <w:rFonts w:ascii="Arial" w:cs="Arial" w:eastAsia="Arial" w:hAnsi="Arial"/>
                <w:sz w:val="12"/>
                <w:szCs w:val="12"/>
                <w:b w:val="1"/>
                <w:bCs w:val="1"/>
                <w:color w:val="auto"/>
              </w:rPr>
              <w:t>Cost at December 31</w:t>
            </w:r>
          </w:p>
        </w:tc>
        <w:tc>
          <w:tcPr>
            <w:tcW w:w="10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4,735</w:t>
            </w:r>
          </w:p>
        </w:tc>
        <w:tc>
          <w:tcPr>
            <w:tcW w:w="60" w:type="dxa"/>
            <w:vAlign w:val="bottom"/>
          </w:tcPr>
          <w:p>
            <w:pPr>
              <w:spacing w:after="0"/>
              <w:rPr>
                <w:sz w:val="13"/>
                <w:szCs w:val="13"/>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4,435</w:t>
            </w:r>
          </w:p>
        </w:tc>
        <w:tc>
          <w:tcPr>
            <w:tcW w:w="0" w:type="dxa"/>
            <w:vAlign w:val="bottom"/>
          </w:tcPr>
          <w:p>
            <w:pPr>
              <w:spacing w:after="0"/>
              <w:rPr>
                <w:sz w:val="1"/>
                <w:szCs w:val="1"/>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2"/>
                <w:szCs w:val="12"/>
                <w:color w:val="auto"/>
              </w:rPr>
              <w:t>Impairment at January 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(1,929)</w:t>
            </w:r>
          </w:p>
        </w:tc>
        <w:tc>
          <w:tcPr>
            <w:tcW w:w="1560" w:type="dxa"/>
            <w:vAlign w:val="bottom"/>
          </w:tcPr>
          <w:p>
            <w:pPr>
              <w:jc w:val="right"/>
              <w:spacing w:after="0"/>
              <w:rPr>
                <w:sz w:val="20"/>
                <w:szCs w:val="20"/>
                <w:color w:val="auto"/>
              </w:rPr>
            </w:pPr>
            <w:r>
              <w:rPr>
                <w:rFonts w:ascii="Arial" w:cs="Arial" w:eastAsia="Arial" w:hAnsi="Arial"/>
                <w:sz w:val="12"/>
                <w:szCs w:val="12"/>
                <w:color w:val="auto"/>
              </w:rPr>
              <w:t>(1,929)</w:t>
            </w:r>
          </w:p>
        </w:tc>
        <w:tc>
          <w:tcPr>
            <w:tcW w:w="0" w:type="dxa"/>
            <w:vAlign w:val="bottom"/>
          </w:tcPr>
          <w:p>
            <w:pPr>
              <w:spacing w:after="0"/>
              <w:rPr>
                <w:sz w:val="1"/>
                <w:szCs w:val="1"/>
                <w:color w:val="auto"/>
              </w:rPr>
            </w:pPr>
          </w:p>
        </w:tc>
      </w:tr>
      <w:tr>
        <w:trPr>
          <w:trHeight w:val="154"/>
        </w:trPr>
        <w:tc>
          <w:tcPr>
            <w:tcW w:w="5820" w:type="dxa"/>
            <w:vAlign w:val="bottom"/>
          </w:tcPr>
          <w:p>
            <w:pPr>
              <w:spacing w:after="0"/>
              <w:rPr>
                <w:sz w:val="20"/>
                <w:szCs w:val="20"/>
                <w:color w:val="auto"/>
              </w:rPr>
            </w:pPr>
            <w:r>
              <w:rPr>
                <w:rFonts w:ascii="Arial" w:cs="Arial" w:eastAsia="Arial" w:hAnsi="Arial"/>
                <w:sz w:val="12"/>
                <w:szCs w:val="12"/>
                <w:b w:val="1"/>
                <w:bCs w:val="1"/>
                <w:color w:val="auto"/>
              </w:rPr>
              <w:t>Impairment at December 31</w:t>
            </w:r>
          </w:p>
        </w:tc>
        <w:tc>
          <w:tcPr>
            <w:tcW w:w="10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(1,929)</w:t>
            </w:r>
          </w:p>
        </w:tc>
        <w:tc>
          <w:tcPr>
            <w:tcW w:w="60" w:type="dxa"/>
            <w:vAlign w:val="bottom"/>
          </w:tcPr>
          <w:p>
            <w:pPr>
              <w:spacing w:after="0"/>
              <w:rPr>
                <w:sz w:val="13"/>
                <w:szCs w:val="13"/>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(1,929)</w:t>
            </w:r>
          </w:p>
        </w:tc>
        <w:tc>
          <w:tcPr>
            <w:tcW w:w="0" w:type="dxa"/>
            <w:vAlign w:val="bottom"/>
          </w:tcPr>
          <w:p>
            <w:pPr>
              <w:spacing w:after="0"/>
              <w:rPr>
                <w:sz w:val="1"/>
                <w:szCs w:val="1"/>
                <w:color w:val="auto"/>
              </w:rPr>
            </w:pPr>
          </w:p>
        </w:tc>
      </w:tr>
      <w:tr>
        <w:trPr>
          <w:trHeight w:val="107"/>
        </w:trPr>
        <w:tc>
          <w:tcPr>
            <w:tcW w:w="5820" w:type="dxa"/>
            <w:vAlign w:val="bottom"/>
            <w:vMerge w:val="restart"/>
          </w:tcPr>
          <w:p>
            <w:pPr>
              <w:spacing w:after="0"/>
              <w:rPr>
                <w:sz w:val="20"/>
                <w:szCs w:val="20"/>
                <w:color w:val="auto"/>
              </w:rPr>
            </w:pPr>
            <w:r>
              <w:rPr>
                <w:rFonts w:ascii="Arial" w:cs="Arial" w:eastAsia="Arial" w:hAnsi="Arial"/>
                <w:sz w:val="12"/>
                <w:szCs w:val="12"/>
                <w:b w:val="1"/>
                <w:bCs w:val="1"/>
                <w:color w:val="auto"/>
              </w:rPr>
              <w:t>Carrying amount at December 31</w:t>
            </w:r>
          </w:p>
        </w:tc>
        <w:tc>
          <w:tcPr>
            <w:tcW w:w="1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820" w:type="dxa"/>
            <w:vAlign w:val="bottom"/>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2,806</w:t>
            </w:r>
          </w:p>
        </w:tc>
        <w:tc>
          <w:tcPr>
            <w:tcW w:w="60" w:type="dxa"/>
            <w:vAlign w:val="bottom"/>
          </w:tcPr>
          <w:p>
            <w:pPr>
              <w:spacing w:after="0"/>
              <w:rPr>
                <w:sz w:val="10"/>
                <w:szCs w:val="10"/>
                <w:color w:val="auto"/>
              </w:rPr>
            </w:pPr>
          </w:p>
        </w:tc>
        <w:tc>
          <w:tcPr>
            <w:tcW w:w="15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2,506</w:t>
            </w:r>
          </w:p>
        </w:tc>
        <w:tc>
          <w:tcPr>
            <w:tcW w:w="0" w:type="dxa"/>
            <w:vAlign w:val="bottom"/>
          </w:tcPr>
          <w:p>
            <w:pPr>
              <w:spacing w:after="0"/>
              <w:rPr>
                <w:sz w:val="1"/>
                <w:szCs w:val="1"/>
                <w:color w:val="auto"/>
              </w:rPr>
            </w:pPr>
          </w:p>
        </w:tc>
      </w:tr>
      <w:tr>
        <w:trPr>
          <w:trHeight w:val="272"/>
        </w:trPr>
        <w:tc>
          <w:tcPr>
            <w:tcW w:w="6840" w:type="dxa"/>
            <w:vAlign w:val="bottom"/>
            <w:gridSpan w:val="2"/>
          </w:tcPr>
          <w:p>
            <w:pPr>
              <w:spacing w:after="0"/>
              <w:rPr>
                <w:sz w:val="20"/>
                <w:szCs w:val="20"/>
                <w:color w:val="auto"/>
              </w:rPr>
            </w:pPr>
            <w:r>
              <w:rPr>
                <w:rFonts w:ascii="Arial" w:cs="Arial" w:eastAsia="Arial" w:hAnsi="Arial"/>
                <w:sz w:val="12"/>
                <w:szCs w:val="12"/>
                <w:color w:val="029C93"/>
              </w:rPr>
              <w:t>Refer to Note 1.1 in the consolidated financial statements for a listing of subsidiaries owned by Genmab A/S.</w:t>
            </w: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1 in the parent financial statements for details of change in accounting policies impacting Genmab A/S investment in subsidiaries.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17 – Commitments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PURCHASE OBLIGATIONS</w:t>
      </w:r>
    </w:p>
    <w:p>
      <w:pPr>
        <w:spacing w:after="0" w:line="10" w:lineRule="exact"/>
        <w:rPr>
          <w:sz w:val="20"/>
          <w:szCs w:val="20"/>
          <w:color w:val="auto"/>
        </w:rPr>
      </w:pPr>
    </w:p>
    <w:p>
      <w:pPr>
        <w:ind w:left="20" w:right="99"/>
        <w:spacing w:after="0" w:line="252" w:lineRule="auto"/>
        <w:rPr>
          <w:sz w:val="20"/>
          <w:szCs w:val="20"/>
          <w:color w:val="auto"/>
        </w:rPr>
      </w:pPr>
      <w:r>
        <w:rPr>
          <w:rFonts w:ascii="Arial" w:cs="Arial" w:eastAsia="Arial" w:hAnsi="Arial"/>
          <w:sz w:val="12"/>
          <w:szCs w:val="12"/>
          <w:color w:val="auto"/>
        </w:rPr>
        <w:t>Genmab A/S has entered into a number of agreements related to research and development activities that contain various obligations. These short-term contractual obligations amounted to approximately DKK 1,558 million as of December 31, 2022, all of which is due in less than two years (2021: approximately DKK 1,207 million).</w:t>
      </w:r>
    </w:p>
    <w:p>
      <w:pPr>
        <w:spacing w:after="0" w:line="115" w:lineRule="exact"/>
        <w:rPr>
          <w:sz w:val="20"/>
          <w:szCs w:val="20"/>
          <w:color w:val="auto"/>
        </w:rPr>
      </w:pPr>
    </w:p>
    <w:p>
      <w:pPr>
        <w:ind w:left="20" w:right="159"/>
        <w:spacing w:after="0" w:line="245" w:lineRule="auto"/>
        <w:rPr>
          <w:sz w:val="20"/>
          <w:szCs w:val="20"/>
          <w:color w:val="auto"/>
        </w:rPr>
      </w:pPr>
      <w:r>
        <w:rPr>
          <w:rFonts w:ascii="Arial" w:cs="Arial" w:eastAsia="Arial" w:hAnsi="Arial"/>
          <w:sz w:val="12"/>
          <w:szCs w:val="12"/>
          <w:color w:val="auto"/>
        </w:rPr>
        <w:t>Genmab A/S also has certain contingent commitments under our license and collaboration agreements that may become due in the future. As of December 31, 2022, these contingent commitments amounted to approximately DKK 14,537 million (USD 2,085 million) in potential future development, regulatory and commercial milestone payments to third parties under license and collaboration agreements for our pre-clinical and clinical stage development programs as compared to approximately DKK 14,371 million (USD 2,190 million) as of December 31, 2021. These milestone payments generally become due and payable only upon the achievement of certain development, clinical, regulatory or commercial milestones. The events triggering such payments or obligations have not yet occurred.</w:t>
      </w:r>
    </w:p>
    <w:p>
      <w:pPr>
        <w:spacing w:after="0" w:line="121" w:lineRule="exact"/>
        <w:rPr>
          <w:sz w:val="20"/>
          <w:szCs w:val="20"/>
          <w:color w:val="auto"/>
        </w:rPr>
      </w:pPr>
    </w:p>
    <w:p>
      <w:pPr>
        <w:ind w:left="20" w:right="99"/>
        <w:spacing w:after="0" w:line="248" w:lineRule="auto"/>
        <w:rPr>
          <w:sz w:val="20"/>
          <w:szCs w:val="20"/>
          <w:color w:val="auto"/>
        </w:rPr>
      </w:pPr>
      <w:r>
        <w:rPr>
          <w:rFonts w:ascii="Arial" w:cs="Arial" w:eastAsia="Arial" w:hAnsi="Arial"/>
          <w:sz w:val="12"/>
          <w:szCs w:val="12"/>
          <w:color w:val="auto"/>
        </w:rPr>
        <w:t>In addition to the above obligations, Genmab A/S enters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5.3 in the consolidated financial statements for additional information regarding commitments of the Group.</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0" w:name="page151"/>
    <w:bookmarkEnd w:id="15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18 – Fees to Auditors Appointed at the Annual General Meeting</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340" w:type="dxa"/>
            <w:vAlign w:val="bottom"/>
            <w:gridSpan w:val="2"/>
          </w:tcPr>
          <w:p>
            <w:pPr>
              <w:ind w:left="4880"/>
              <w:spacing w:after="0"/>
              <w:rPr>
                <w:sz w:val="20"/>
                <w:szCs w:val="20"/>
                <w:color w:val="auto"/>
              </w:rPr>
            </w:pPr>
            <w:r>
              <w:rPr>
                <w:rFonts w:ascii="Arial" w:cs="Arial" w:eastAsia="Arial" w:hAnsi="Arial"/>
                <w:sz w:val="12"/>
                <w:szCs w:val="12"/>
                <w:color w:val="auto"/>
              </w:rPr>
              <w:t>2022</w:t>
            </w:r>
          </w:p>
        </w:tc>
        <w:tc>
          <w:tcPr>
            <w:tcW w:w="1640" w:type="dxa"/>
            <w:vAlign w:val="bottom"/>
            <w:gridSpan w:val="3"/>
          </w:tcPr>
          <w:p>
            <w:pPr>
              <w:jc w:val="right"/>
              <w:ind w:right="200"/>
              <w:spacing w:after="0"/>
              <w:rPr>
                <w:sz w:val="20"/>
                <w:szCs w:val="20"/>
                <w:color w:val="auto"/>
              </w:rPr>
            </w:pPr>
            <w:r>
              <w:rPr>
                <w:rFonts w:ascii="Arial" w:cs="Arial" w:eastAsia="Arial" w:hAnsi="Arial"/>
                <w:sz w:val="12"/>
                <w:szCs w:val="12"/>
                <w:color w:val="auto"/>
              </w:rPr>
              <w:t>2021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560"/>
              <w:spacing w:after="0"/>
              <w:rPr>
                <w:sz w:val="20"/>
                <w:szCs w:val="20"/>
                <w:color w:val="auto"/>
              </w:rPr>
            </w:pPr>
            <w:r>
              <w:rPr>
                <w:rFonts w:ascii="Arial" w:cs="Arial" w:eastAsia="Arial" w:hAnsi="Arial"/>
                <w:sz w:val="12"/>
                <w:szCs w:val="12"/>
                <w:color w:val="auto"/>
              </w:rPr>
              <w:t>2020</w:t>
            </w:r>
          </w:p>
        </w:tc>
      </w:tr>
      <w:tr>
        <w:trPr>
          <w:trHeight w:val="139"/>
        </w:trPr>
        <w:tc>
          <w:tcPr>
            <w:tcW w:w="4260" w:type="dxa"/>
            <w:vAlign w:val="bottom"/>
          </w:tcPr>
          <w:p>
            <w:pPr>
              <w:spacing w:after="0"/>
              <w:rPr>
                <w:sz w:val="20"/>
                <w:szCs w:val="20"/>
                <w:color w:val="auto"/>
              </w:rPr>
            </w:pPr>
            <w:r>
              <w:rPr>
                <w:rFonts w:ascii="Arial" w:cs="Arial" w:eastAsia="Arial" w:hAnsi="Arial"/>
                <w:sz w:val="12"/>
                <w:szCs w:val="12"/>
                <w:color w:val="auto"/>
              </w:rPr>
              <w:t>(DKK million)</w:t>
            </w: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245"/>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PricewaterhouseCoopers</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36"/>
        </w:trPr>
        <w:tc>
          <w:tcPr>
            <w:tcW w:w="5340" w:type="dxa"/>
            <w:vAlign w:val="bottom"/>
            <w:gridSpan w:val="2"/>
          </w:tcPr>
          <w:p>
            <w:pPr>
              <w:spacing w:after="0" w:line="136" w:lineRule="exact"/>
              <w:rPr>
                <w:sz w:val="20"/>
                <w:szCs w:val="20"/>
                <w:color w:val="auto"/>
              </w:rPr>
            </w:pPr>
            <w:r>
              <w:rPr>
                <w:rFonts w:ascii="Arial" w:cs="Arial" w:eastAsia="Arial" w:hAnsi="Arial"/>
                <w:sz w:val="12"/>
                <w:szCs w:val="12"/>
                <w:color w:val="auto"/>
              </w:rPr>
              <w:t>Audit services</w:t>
            </w: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60" w:type="dxa"/>
            <w:vAlign w:val="bottom"/>
          </w:tcPr>
          <w:p>
            <w:pPr>
              <w:spacing w:after="0"/>
              <w:rPr>
                <w:sz w:val="11"/>
                <w:szCs w:val="11"/>
                <w:color w:val="auto"/>
              </w:rPr>
            </w:pPr>
          </w:p>
        </w:tc>
        <w:tc>
          <w:tcPr>
            <w:tcW w:w="1500" w:type="dxa"/>
            <w:vAlign w:val="bottom"/>
          </w:tcPr>
          <w:p>
            <w:pPr>
              <w:jc w:val="right"/>
              <w:spacing w:after="0" w:line="136" w:lineRule="exact"/>
              <w:rPr>
                <w:sz w:val="20"/>
                <w:szCs w:val="20"/>
                <w:color w:val="auto"/>
              </w:rPr>
            </w:pPr>
            <w:r>
              <w:rPr>
                <w:rFonts w:ascii="Arial" w:cs="Arial" w:eastAsia="Arial" w:hAnsi="Arial"/>
                <w:sz w:val="12"/>
                <w:szCs w:val="12"/>
                <w:color w:val="auto"/>
              </w:rPr>
              <w:t>4.9</w:t>
            </w:r>
          </w:p>
        </w:tc>
      </w:tr>
      <w:tr>
        <w:trPr>
          <w:trHeight w:val="136"/>
        </w:trPr>
        <w:tc>
          <w:tcPr>
            <w:tcW w:w="5340" w:type="dxa"/>
            <w:vAlign w:val="bottom"/>
            <w:gridSpan w:val="2"/>
          </w:tcPr>
          <w:p>
            <w:pPr>
              <w:spacing w:after="0" w:line="136" w:lineRule="exact"/>
              <w:rPr>
                <w:sz w:val="20"/>
                <w:szCs w:val="20"/>
                <w:color w:val="auto"/>
              </w:rPr>
            </w:pPr>
            <w:r>
              <w:rPr>
                <w:rFonts w:ascii="Arial" w:cs="Arial" w:eastAsia="Arial" w:hAnsi="Arial"/>
                <w:sz w:val="12"/>
                <w:szCs w:val="12"/>
                <w:color w:val="auto"/>
              </w:rPr>
              <w:t>Audit-related services</w:t>
            </w: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2.0</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1.8</w:t>
            </w:r>
          </w:p>
        </w:tc>
        <w:tc>
          <w:tcPr>
            <w:tcW w:w="60" w:type="dxa"/>
            <w:vAlign w:val="bottom"/>
          </w:tcPr>
          <w:p>
            <w:pPr>
              <w:spacing w:after="0"/>
              <w:rPr>
                <w:sz w:val="11"/>
                <w:szCs w:val="11"/>
                <w:color w:val="auto"/>
              </w:rPr>
            </w:pPr>
          </w:p>
        </w:tc>
        <w:tc>
          <w:tcPr>
            <w:tcW w:w="1500" w:type="dxa"/>
            <w:vAlign w:val="bottom"/>
          </w:tcPr>
          <w:p>
            <w:pPr>
              <w:jc w:val="right"/>
              <w:spacing w:after="0" w:line="136" w:lineRule="exact"/>
              <w:rPr>
                <w:sz w:val="20"/>
                <w:szCs w:val="20"/>
                <w:color w:val="auto"/>
              </w:rPr>
            </w:pPr>
            <w:r>
              <w:rPr>
                <w:rFonts w:ascii="Arial" w:cs="Arial" w:eastAsia="Arial" w:hAnsi="Arial"/>
                <w:sz w:val="12"/>
                <w:szCs w:val="12"/>
                <w:color w:val="auto"/>
              </w:rPr>
              <w:t>1.0</w:t>
            </w:r>
          </w:p>
        </w:tc>
      </w:tr>
      <w:tr>
        <w:trPr>
          <w:trHeight w:val="149"/>
        </w:trPr>
        <w:tc>
          <w:tcPr>
            <w:tcW w:w="4260" w:type="dxa"/>
            <w:vAlign w:val="bottom"/>
          </w:tcPr>
          <w:p>
            <w:pPr>
              <w:spacing w:after="0"/>
              <w:rPr>
                <w:sz w:val="20"/>
                <w:szCs w:val="20"/>
                <w:color w:val="auto"/>
              </w:rPr>
            </w:pPr>
            <w:r>
              <w:rPr>
                <w:rFonts w:ascii="Arial" w:cs="Arial" w:eastAsia="Arial" w:hAnsi="Arial"/>
                <w:sz w:val="12"/>
                <w:szCs w:val="12"/>
                <w:color w:val="auto"/>
              </w:rPr>
              <w:t>Tax and VAT services</w:t>
            </w:r>
          </w:p>
        </w:tc>
        <w:tc>
          <w:tcPr>
            <w:tcW w:w="1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r>
      <w:tr>
        <w:trPr>
          <w:trHeight w:val="261"/>
        </w:trPr>
        <w:tc>
          <w:tcPr>
            <w:tcW w:w="426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w:t>
            </w:r>
          </w:p>
        </w:tc>
        <w:tc>
          <w:tcPr>
            <w:tcW w:w="14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7.6</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6.2</w:t>
            </w:r>
          </w:p>
        </w:tc>
      </w:tr>
    </w:tbl>
    <w:p>
      <w:pPr>
        <w:spacing w:after="0" w:line="268"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Fees for other services than statutory audit of the financial statements provided by PricewaterhouseCoopers Statsautoriseret Revisionspartnerselskab amounted to DKK 2.0 million in 2022 (DKK 1.8 million in 2021 and DKK 1.3 million in 2020, respectively). These services primarily include agreed-upon procedures, other assurance assessments and reports, accounting advice, and tax and VAT compliance.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5.4 in the consolidated financial statements for additional information regarding fees to auditors of the Group.</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148/158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1" w:name="page152"/>
    <w:bookmarkEnd w:id="151"/>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19 – Adjustments to Cash Flow Statements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(DKK million)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Adjustments for non-cash transactions:</w:t>
      </w:r>
    </w:p>
    <w:p>
      <w:pPr>
        <w:ind w:left="20"/>
        <w:spacing w:after="0" w:line="236" w:lineRule="auto"/>
        <w:rPr>
          <w:sz w:val="20"/>
          <w:szCs w:val="20"/>
          <w:color w:val="auto"/>
        </w:rPr>
      </w:pPr>
      <w:r>
        <w:rPr>
          <w:rFonts w:ascii="Arial" w:cs="Arial" w:eastAsia="Arial" w:hAnsi="Arial"/>
          <w:sz w:val="12"/>
          <w:szCs w:val="12"/>
          <w:color w:val="auto"/>
        </w:rPr>
        <w:t>Depreciation, amortization and impairment</w:t>
      </w:r>
    </w:p>
    <w:p>
      <w:pPr>
        <w:ind w:left="20"/>
        <w:spacing w:after="0"/>
        <w:rPr>
          <w:sz w:val="20"/>
          <w:szCs w:val="20"/>
          <w:color w:val="auto"/>
        </w:rPr>
      </w:pPr>
      <w:r>
        <w:rPr>
          <w:rFonts w:ascii="Arial" w:cs="Arial" w:eastAsia="Arial" w:hAnsi="Arial"/>
          <w:sz w:val="12"/>
          <w:szCs w:val="12"/>
          <w:color w:val="auto"/>
        </w:rPr>
        <w:t>Share-based compensation expenses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adjustments for non-cash transactions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 in operating assets and liabilities: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Receivables</w:t>
      </w:r>
    </w:p>
    <w:p>
      <w:pPr>
        <w:ind w:left="20"/>
        <w:spacing w:after="0" w:line="236" w:lineRule="auto"/>
        <w:rPr>
          <w:sz w:val="20"/>
          <w:szCs w:val="20"/>
          <w:color w:val="auto"/>
        </w:rPr>
      </w:pPr>
      <w:r>
        <w:rPr>
          <w:rFonts w:ascii="Arial" w:cs="Arial" w:eastAsia="Arial" w:hAnsi="Arial"/>
          <w:sz w:val="12"/>
          <w:szCs w:val="12"/>
          <w:color w:val="auto"/>
        </w:rPr>
        <w:t>Deferred revenue</w:t>
      </w:r>
    </w:p>
    <w:p>
      <w:pPr>
        <w:ind w:left="20"/>
        <w:spacing w:after="0"/>
        <w:rPr>
          <w:sz w:val="20"/>
          <w:szCs w:val="20"/>
          <w:color w:val="auto"/>
        </w:rPr>
      </w:pPr>
      <w:r>
        <w:rPr>
          <w:rFonts w:ascii="Arial" w:cs="Arial" w:eastAsia="Arial" w:hAnsi="Arial"/>
          <w:sz w:val="12"/>
          <w:szCs w:val="12"/>
          <w:color w:val="auto"/>
        </w:rPr>
        <w:t>Other payables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change in operating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6985</wp:posOffset>
            </wp:positionV>
            <wp:extent cx="46037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0375" cy="571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5, 6, 7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jc w:val="right"/>
              <w:spacing w:after="0"/>
              <w:rPr>
                <w:sz w:val="20"/>
                <w:szCs w:val="20"/>
                <w:color w:val="auto"/>
              </w:rPr>
            </w:pPr>
            <w:r>
              <w:rPr>
                <w:rFonts w:ascii="Arial" w:cs="Arial" w:eastAsia="Arial" w:hAnsi="Arial"/>
                <w:sz w:val="12"/>
                <w:szCs w:val="12"/>
                <w:color w:val="auto"/>
              </w:rPr>
              <w:t>2022</w:t>
            </w:r>
          </w:p>
        </w:tc>
        <w:tc>
          <w:tcPr>
            <w:tcW w:w="1320" w:type="dxa"/>
            <w:vAlign w:val="bottom"/>
            <w:gridSpan w:val="3"/>
          </w:tcPr>
          <w:p>
            <w:pPr>
              <w:jc w:val="right"/>
              <w:ind w:right="100"/>
              <w:spacing w:after="0"/>
              <w:rPr>
                <w:sz w:val="20"/>
                <w:szCs w:val="20"/>
                <w:color w:val="auto"/>
              </w:rPr>
            </w:pPr>
            <w:r>
              <w:rPr>
                <w:rFonts w:ascii="Arial" w:cs="Arial" w:eastAsia="Arial" w:hAnsi="Arial"/>
                <w:sz w:val="12"/>
                <w:szCs w:val="12"/>
                <w:color w:val="auto"/>
              </w:rPr>
              <w:t>2021</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right"/>
              <w:ind w:right="420"/>
              <w:spacing w:after="0"/>
              <w:rPr>
                <w:sz w:val="20"/>
                <w:szCs w:val="20"/>
                <w:color w:val="auto"/>
              </w:rPr>
            </w:pPr>
            <w:r>
              <w:rPr>
                <w:rFonts w:ascii="Arial" w:cs="Arial" w:eastAsia="Arial" w:hAnsi="Arial"/>
                <w:sz w:val="12"/>
                <w:szCs w:val="12"/>
                <w:color w:val="auto"/>
              </w:rPr>
              <w:t>2020</w:t>
            </w:r>
          </w:p>
        </w:tc>
      </w:tr>
      <w:tr>
        <w:trPr>
          <w:trHeight w:val="384"/>
        </w:trPr>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4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137</w:t>
            </w:r>
          </w:p>
        </w:tc>
      </w:tr>
      <w:tr>
        <w:trPr>
          <w:trHeight w:val="149"/>
        </w:trPr>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4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r>
      <w:tr>
        <w:trPr>
          <w:trHeight w:val="261"/>
        </w:trPr>
        <w:tc>
          <w:tcPr>
            <w:tcW w:w="8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172</w:t>
            </w:r>
          </w:p>
        </w:tc>
        <w:tc>
          <w:tcPr>
            <w:tcW w:w="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139</w:t>
            </w:r>
          </w:p>
        </w:tc>
        <w:tc>
          <w:tcPr>
            <w:tcW w:w="4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177</w:t>
            </w:r>
          </w:p>
        </w:tc>
      </w:tr>
      <w:tr>
        <w:trPr>
          <w:trHeight w:val="384"/>
        </w:trPr>
        <w:tc>
          <w:tcPr>
            <w:tcW w:w="8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(2,286)</w:t>
            </w:r>
          </w:p>
        </w:tc>
        <w:tc>
          <w:tcPr>
            <w:tcW w:w="8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(923)</w:t>
            </w:r>
          </w:p>
        </w:tc>
        <w:tc>
          <w:tcPr>
            <w:tcW w:w="1240" w:type="dxa"/>
            <w:vAlign w:val="bottom"/>
          </w:tcPr>
          <w:p>
            <w:pPr>
              <w:jc w:val="right"/>
              <w:spacing w:after="0"/>
              <w:rPr>
                <w:sz w:val="20"/>
                <w:szCs w:val="20"/>
                <w:color w:val="auto"/>
              </w:rPr>
            </w:pPr>
            <w:r>
              <w:rPr>
                <w:rFonts w:ascii="Arial" w:cs="Arial" w:eastAsia="Arial" w:hAnsi="Arial"/>
                <w:sz w:val="12"/>
                <w:szCs w:val="12"/>
                <w:color w:val="auto"/>
              </w:rPr>
              <w:t>390</w:t>
            </w:r>
          </w:p>
        </w:tc>
      </w:tr>
      <w:tr>
        <w:trPr>
          <w:trHeight w:val="136"/>
        </w:trPr>
        <w:tc>
          <w:tcPr>
            <w:tcW w:w="8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513</w:t>
            </w:r>
          </w:p>
        </w:tc>
      </w:tr>
      <w:tr>
        <w:trPr>
          <w:trHeight w:val="149"/>
        </w:trPr>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4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r>
      <w:tr>
        <w:trPr>
          <w:trHeight w:val="261"/>
        </w:trPr>
        <w:tc>
          <w:tcPr>
            <w:tcW w:w="80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(2,186)</w:t>
            </w:r>
          </w:p>
        </w:tc>
        <w:tc>
          <w:tcPr>
            <w:tcW w:w="8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(954)</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1,039</w:t>
            </w:r>
          </w:p>
        </w:tc>
      </w:tr>
      <w:tr>
        <w:trPr>
          <w:trHeight w:val="20"/>
        </w:trPr>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-1829435</wp:posOffset>
            </wp:positionV>
            <wp:extent cx="1323975" cy="3854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900" w:space="720"/>
            <w:col w:w="280" w:space="280"/>
            <w:col w:w="3839"/>
          </w:cols>
          <w:pgMar w:left="1440" w:top="484" w:right="1440"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2"/>
          <w:szCs w:val="12"/>
          <w:color w:val="029C93"/>
        </w:rPr>
        <w:t>Refer to Note 5.5 in the consolidated financial statements for additional information regarding adjustments to the cash flow statement of the Group.</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149/158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type w:val="continuous"/>
        </w:sectPr>
      </w:pPr>
    </w:p>
    <w:bookmarkStart w:id="152" w:name="page153"/>
    <w:bookmarkEnd w:id="152"/>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Directors’ and Management’s Statement on the Annual Report</w:t>
      </w:r>
    </w:p>
    <w:p>
      <w:pPr>
        <w:spacing w:after="0" w:line="151" w:lineRule="exact"/>
        <w:rPr>
          <w:sz w:val="20"/>
          <w:szCs w:val="20"/>
          <w:color w:val="auto"/>
        </w:rPr>
      </w:pPr>
    </w:p>
    <w:p>
      <w:pPr>
        <w:ind w:left="20" w:right="599"/>
        <w:spacing w:after="0" w:line="273" w:lineRule="auto"/>
        <w:rPr>
          <w:sz w:val="20"/>
          <w:szCs w:val="20"/>
          <w:color w:val="auto"/>
        </w:rPr>
      </w:pPr>
      <w:r>
        <w:rPr>
          <w:rFonts w:ascii="Arial" w:cs="Arial" w:eastAsia="Arial" w:hAnsi="Arial"/>
          <w:sz w:val="12"/>
          <w:szCs w:val="12"/>
          <w:color w:val="auto"/>
        </w:rPr>
        <w:t>The Board of Directors and Executive Management have today considered and adopted the Annual Report of Genmab A/S for the financial year January 1 to December 31, 2022.</w:t>
      </w:r>
    </w:p>
    <w:p>
      <w:pPr>
        <w:spacing w:after="0" w:line="103" w:lineRule="exact"/>
        <w:rPr>
          <w:sz w:val="20"/>
          <w:szCs w:val="20"/>
          <w:color w:val="auto"/>
        </w:rPr>
      </w:pPr>
    </w:p>
    <w:p>
      <w:pPr>
        <w:ind w:left="20" w:right="339"/>
        <w:spacing w:after="0" w:line="273" w:lineRule="auto"/>
        <w:rPr>
          <w:sz w:val="20"/>
          <w:szCs w:val="20"/>
          <w:color w:val="auto"/>
        </w:rPr>
      </w:pPr>
      <w:r>
        <w:rPr>
          <w:rFonts w:ascii="Arial" w:cs="Arial" w:eastAsia="Arial" w:hAnsi="Arial"/>
          <w:sz w:val="12"/>
          <w:szCs w:val="12"/>
          <w:color w:val="auto"/>
        </w:rPr>
        <w:t>The Annual Report has been prepared in accordance with International Financial Reporting Standards (IFRS) as issued by the International Accounting Standards Board (IASB) and in accordance with IFRS as endorsed by the EU and further requirements in the Danish Financial Statements Act.</w:t>
      </w:r>
    </w:p>
    <w:p>
      <w:pPr>
        <w:spacing w:after="0" w:line="103" w:lineRule="exact"/>
        <w:rPr>
          <w:sz w:val="20"/>
          <w:szCs w:val="20"/>
          <w:color w:val="auto"/>
        </w:rPr>
      </w:pPr>
    </w:p>
    <w:p>
      <w:pPr>
        <w:ind w:left="20" w:right="99"/>
        <w:spacing w:after="0" w:line="273" w:lineRule="auto"/>
        <w:rPr>
          <w:sz w:val="20"/>
          <w:szCs w:val="20"/>
          <w:color w:val="auto"/>
        </w:rPr>
      </w:pPr>
      <w:r>
        <w:rPr>
          <w:rFonts w:ascii="Arial" w:cs="Arial" w:eastAsia="Arial" w:hAnsi="Arial"/>
          <w:sz w:val="12"/>
          <w:szCs w:val="12"/>
          <w:color w:val="auto"/>
        </w:rPr>
        <w:t>In our opinion, the Consolidated Financial Statements and the Parent Company Financial Statements give a true and fair view of the financial position at December 31, 2022 of the Group and the Parent Company and of the results of the Group and Parent Company operations and cash flows for 2022.</w:t>
      </w:r>
    </w:p>
    <w:p>
      <w:pPr>
        <w:spacing w:after="0" w:line="103" w:lineRule="exact"/>
        <w:rPr>
          <w:sz w:val="20"/>
          <w:szCs w:val="20"/>
          <w:color w:val="auto"/>
        </w:rPr>
      </w:pPr>
    </w:p>
    <w:p>
      <w:pPr>
        <w:ind w:left="20" w:right="219"/>
        <w:spacing w:after="0" w:line="255" w:lineRule="auto"/>
        <w:rPr>
          <w:sz w:val="20"/>
          <w:szCs w:val="20"/>
          <w:color w:val="auto"/>
        </w:rPr>
      </w:pPr>
      <w:r>
        <w:rPr>
          <w:rFonts w:ascii="Arial" w:cs="Arial" w:eastAsia="Arial" w:hAnsi="Arial"/>
          <w:sz w:val="12"/>
          <w:szCs w:val="12"/>
          <w:color w:val="auto"/>
        </w:rPr>
        <w:t>In our opinion, Management’s Review includes a true and fair account of the development in the operations and financial circumstances of the Group and the Parent Company, of the results for the year and of the financial position of the Group and the Parent Company as well as a description of the most significant risks and elements of uncertainty facing the Group and the Parent Company.</w:t>
      </w:r>
    </w:p>
    <w:p>
      <w:pPr>
        <w:spacing w:after="0" w:line="113" w:lineRule="exact"/>
        <w:rPr>
          <w:sz w:val="20"/>
          <w:szCs w:val="20"/>
          <w:color w:val="auto"/>
        </w:rPr>
      </w:pPr>
    </w:p>
    <w:p>
      <w:pPr>
        <w:ind w:left="20" w:right="219"/>
        <w:spacing w:after="0" w:line="273" w:lineRule="auto"/>
        <w:rPr>
          <w:sz w:val="20"/>
          <w:szCs w:val="20"/>
          <w:color w:val="auto"/>
        </w:rPr>
      </w:pPr>
      <w:r>
        <w:rPr>
          <w:rFonts w:ascii="Arial" w:cs="Arial" w:eastAsia="Arial" w:hAnsi="Arial"/>
          <w:sz w:val="12"/>
          <w:szCs w:val="12"/>
          <w:color w:val="auto"/>
        </w:rPr>
        <w:t>In our opinion, the Annual Report of Genmab A/S for the financial year January 1 to December 31, 2022, with the file name 529900MTJPDPE4MHJ122-2022-12-31-en.zip is prepared, in all material respects, in compliance with the ESEF Regulation.</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recommend that the Annual Report be adopted at the Annual General Meeting.</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Copenhagen, February 22, 2023</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29C93"/>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581025" cy="287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1025" cy="2876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41275</wp:posOffset>
            </wp:positionV>
            <wp:extent cx="552450" cy="2247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2450" cy="2247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41275</wp:posOffset>
            </wp:positionV>
            <wp:extent cx="598805" cy="2305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8805" cy="230505"/>
                    </a:xfrm>
                    <a:prstGeom prst="rect">
                      <a:avLst/>
                    </a:prstGeom>
                    <a:noFill/>
                  </pic:spPr>
                </pic:pic>
              </a:graphicData>
            </a:graphic>
          </wp:anchor>
        </w:drawing>
        <w:drawing>
          <wp:anchor simplePos="0" relativeHeight="251657728" behindDoc="1" locked="0" layoutInCell="0" allowOverlap="1">
            <wp:simplePos x="0" y="0"/>
            <wp:positionH relativeFrom="column">
              <wp:posOffset>2281555</wp:posOffset>
            </wp:positionH>
            <wp:positionV relativeFrom="paragraph">
              <wp:posOffset>35560</wp:posOffset>
            </wp:positionV>
            <wp:extent cx="408940" cy="2419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8940" cy="24193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58420</wp:posOffset>
            </wp:positionV>
            <wp:extent cx="495300" cy="195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300" cy="1955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400" w:type="dxa"/>
            <w:vAlign w:val="bottom"/>
          </w:tcPr>
          <w:p>
            <w:pPr>
              <w:spacing w:after="0"/>
              <w:rPr>
                <w:sz w:val="20"/>
                <w:szCs w:val="20"/>
                <w:color w:val="auto"/>
              </w:rPr>
            </w:pPr>
            <w:r>
              <w:rPr>
                <w:rFonts w:ascii="Arial" w:cs="Arial" w:eastAsia="Arial" w:hAnsi="Arial"/>
                <w:sz w:val="12"/>
                <w:szCs w:val="12"/>
                <w:color w:val="auto"/>
              </w:rPr>
              <w:t>Jan van de Winkel</w:t>
            </w:r>
          </w:p>
        </w:tc>
        <w:tc>
          <w:tcPr>
            <w:tcW w:w="2020" w:type="dxa"/>
            <w:vAlign w:val="bottom"/>
          </w:tcPr>
          <w:p>
            <w:pPr>
              <w:ind w:left="380"/>
              <w:spacing w:after="0"/>
              <w:rPr>
                <w:sz w:val="20"/>
                <w:szCs w:val="20"/>
                <w:color w:val="auto"/>
              </w:rPr>
            </w:pPr>
            <w:r>
              <w:rPr>
                <w:rFonts w:ascii="Arial" w:cs="Arial" w:eastAsia="Arial" w:hAnsi="Arial"/>
                <w:sz w:val="12"/>
                <w:szCs w:val="12"/>
                <w:color w:val="auto"/>
              </w:rPr>
              <w:t>Anthony Pagano</w:t>
            </w:r>
          </w:p>
        </w:tc>
        <w:tc>
          <w:tcPr>
            <w:tcW w:w="1800" w:type="dxa"/>
            <w:vAlign w:val="bottom"/>
          </w:tcPr>
          <w:p>
            <w:pPr>
              <w:ind w:left="160"/>
              <w:spacing w:after="0"/>
              <w:rPr>
                <w:sz w:val="20"/>
                <w:szCs w:val="20"/>
                <w:color w:val="auto"/>
              </w:rPr>
            </w:pPr>
            <w:r>
              <w:rPr>
                <w:rFonts w:ascii="Arial" w:cs="Arial" w:eastAsia="Arial" w:hAnsi="Arial"/>
                <w:sz w:val="12"/>
                <w:szCs w:val="12"/>
                <w:color w:val="auto"/>
              </w:rPr>
              <w:t>Judith Klimovsky</w:t>
            </w:r>
          </w:p>
        </w:tc>
        <w:tc>
          <w:tcPr>
            <w:tcW w:w="1780" w:type="dxa"/>
            <w:vAlign w:val="bottom"/>
          </w:tcPr>
          <w:p>
            <w:pPr>
              <w:ind w:left="140"/>
              <w:spacing w:after="0"/>
              <w:rPr>
                <w:sz w:val="20"/>
                <w:szCs w:val="20"/>
                <w:color w:val="auto"/>
              </w:rPr>
            </w:pPr>
            <w:r>
              <w:rPr>
                <w:rFonts w:ascii="Arial" w:cs="Arial" w:eastAsia="Arial" w:hAnsi="Arial"/>
                <w:sz w:val="12"/>
                <w:szCs w:val="12"/>
                <w:color w:val="auto"/>
              </w:rPr>
              <w:t>Anthony Mancini</w:t>
            </w:r>
          </w:p>
        </w:tc>
        <w:tc>
          <w:tcPr>
            <w:tcW w:w="1660" w:type="dxa"/>
            <w:vAlign w:val="bottom"/>
          </w:tcPr>
          <w:p>
            <w:pPr>
              <w:ind w:left="160"/>
              <w:spacing w:after="0"/>
              <w:rPr>
                <w:sz w:val="20"/>
                <w:szCs w:val="20"/>
                <w:color w:val="auto"/>
              </w:rPr>
            </w:pPr>
            <w:r>
              <w:rPr>
                <w:rFonts w:ascii="Arial" w:cs="Arial" w:eastAsia="Arial" w:hAnsi="Arial"/>
                <w:sz w:val="12"/>
                <w:szCs w:val="12"/>
                <w:color w:val="auto"/>
              </w:rPr>
              <w:t>Tahamtan Ahmadi</w:t>
            </w:r>
          </w:p>
        </w:tc>
      </w:tr>
      <w:tr>
        <w:trPr>
          <w:trHeight w:val="140"/>
        </w:trPr>
        <w:tc>
          <w:tcPr>
            <w:tcW w:w="1400" w:type="dxa"/>
            <w:vAlign w:val="bottom"/>
          </w:tcPr>
          <w:p>
            <w:pPr>
              <w:spacing w:after="0"/>
              <w:rPr>
                <w:sz w:val="12"/>
                <w:szCs w:val="12"/>
                <w:color w:val="auto"/>
              </w:rPr>
            </w:pPr>
          </w:p>
        </w:tc>
        <w:tc>
          <w:tcPr>
            <w:tcW w:w="2020" w:type="dxa"/>
            <w:vAlign w:val="bottom"/>
          </w:tcPr>
          <w:p>
            <w:pPr>
              <w:ind w:left="380"/>
              <w:spacing w:after="0"/>
              <w:rPr>
                <w:sz w:val="20"/>
                <w:szCs w:val="20"/>
                <w:color w:val="auto"/>
              </w:rPr>
            </w:pPr>
            <w:r>
              <w:rPr>
                <w:rFonts w:ascii="Arial" w:cs="Arial" w:eastAsia="Arial" w:hAnsi="Arial"/>
                <w:sz w:val="12"/>
                <w:szCs w:val="12"/>
                <w:color w:val="auto"/>
              </w:rPr>
              <w:t>(Executive Vice President &amp;</w:t>
            </w:r>
          </w:p>
        </w:tc>
        <w:tc>
          <w:tcPr>
            <w:tcW w:w="1800" w:type="dxa"/>
            <w:vAlign w:val="bottom"/>
          </w:tcPr>
          <w:p>
            <w:pPr>
              <w:ind w:left="160"/>
              <w:spacing w:after="0"/>
              <w:rPr>
                <w:sz w:val="20"/>
                <w:szCs w:val="20"/>
                <w:color w:val="auto"/>
              </w:rPr>
            </w:pPr>
            <w:r>
              <w:rPr>
                <w:rFonts w:ascii="Arial" w:cs="Arial" w:eastAsia="Arial" w:hAnsi="Arial"/>
                <w:sz w:val="12"/>
                <w:szCs w:val="12"/>
                <w:color w:val="auto"/>
              </w:rPr>
              <w:t>(Executive Vice President &amp;</w:t>
            </w:r>
          </w:p>
        </w:tc>
        <w:tc>
          <w:tcPr>
            <w:tcW w:w="1780" w:type="dxa"/>
            <w:vAlign w:val="bottom"/>
          </w:tcPr>
          <w:p>
            <w:pPr>
              <w:ind w:left="140"/>
              <w:spacing w:after="0"/>
              <w:rPr>
                <w:sz w:val="20"/>
                <w:szCs w:val="20"/>
                <w:color w:val="auto"/>
              </w:rPr>
            </w:pPr>
            <w:r>
              <w:rPr>
                <w:rFonts w:ascii="Arial" w:cs="Arial" w:eastAsia="Arial" w:hAnsi="Arial"/>
                <w:sz w:val="12"/>
                <w:szCs w:val="12"/>
                <w:color w:val="auto"/>
              </w:rPr>
              <w:t>(Executive Vice President &amp;</w:t>
            </w:r>
          </w:p>
        </w:tc>
        <w:tc>
          <w:tcPr>
            <w:tcW w:w="1660" w:type="dxa"/>
            <w:vAlign w:val="bottom"/>
          </w:tcPr>
          <w:p>
            <w:pPr>
              <w:ind w:left="160"/>
              <w:spacing w:after="0"/>
              <w:rPr>
                <w:sz w:val="20"/>
                <w:szCs w:val="20"/>
                <w:color w:val="auto"/>
              </w:rPr>
            </w:pPr>
            <w:r>
              <w:rPr>
                <w:rFonts w:ascii="Arial" w:cs="Arial" w:eastAsia="Arial" w:hAnsi="Arial"/>
                <w:sz w:val="12"/>
                <w:szCs w:val="12"/>
                <w:color w:val="auto"/>
                <w:w w:val="99"/>
              </w:rPr>
              <w:t>(Executive Vice President &amp;</w:t>
            </w:r>
          </w:p>
        </w:tc>
      </w:tr>
      <w:tr>
        <w:trPr>
          <w:trHeight w:val="159"/>
        </w:trPr>
        <w:tc>
          <w:tcPr>
            <w:tcW w:w="1400" w:type="dxa"/>
            <w:vAlign w:val="bottom"/>
          </w:tcPr>
          <w:p>
            <w:pPr>
              <w:spacing w:after="0"/>
              <w:rPr>
                <w:sz w:val="20"/>
                <w:szCs w:val="20"/>
                <w:color w:val="auto"/>
              </w:rPr>
            </w:pPr>
            <w:r>
              <w:rPr>
                <w:rFonts w:ascii="Arial" w:cs="Arial" w:eastAsia="Arial" w:hAnsi="Arial"/>
                <w:sz w:val="12"/>
                <w:szCs w:val="12"/>
                <w:color w:val="auto"/>
              </w:rPr>
              <w:t>(President &amp; CEO)</w:t>
            </w:r>
          </w:p>
        </w:tc>
        <w:tc>
          <w:tcPr>
            <w:tcW w:w="2020" w:type="dxa"/>
            <w:vAlign w:val="bottom"/>
          </w:tcPr>
          <w:p>
            <w:pPr>
              <w:ind w:left="380"/>
              <w:spacing w:after="0"/>
              <w:rPr>
                <w:sz w:val="20"/>
                <w:szCs w:val="20"/>
                <w:color w:val="auto"/>
              </w:rPr>
            </w:pPr>
            <w:r>
              <w:rPr>
                <w:rFonts w:ascii="Arial" w:cs="Arial" w:eastAsia="Arial" w:hAnsi="Arial"/>
                <w:sz w:val="12"/>
                <w:szCs w:val="12"/>
                <w:color w:val="auto"/>
              </w:rPr>
              <w:t>CFO)</w:t>
            </w:r>
          </w:p>
        </w:tc>
        <w:tc>
          <w:tcPr>
            <w:tcW w:w="1800" w:type="dxa"/>
            <w:vAlign w:val="bottom"/>
          </w:tcPr>
          <w:p>
            <w:pPr>
              <w:ind w:left="160"/>
              <w:spacing w:after="0"/>
              <w:rPr>
                <w:sz w:val="20"/>
                <w:szCs w:val="20"/>
                <w:color w:val="auto"/>
              </w:rPr>
            </w:pPr>
            <w:r>
              <w:rPr>
                <w:rFonts w:ascii="Arial" w:cs="Arial" w:eastAsia="Arial" w:hAnsi="Arial"/>
                <w:sz w:val="12"/>
                <w:szCs w:val="12"/>
                <w:color w:val="auto"/>
              </w:rPr>
              <w:t>CDO)</w:t>
            </w:r>
          </w:p>
        </w:tc>
        <w:tc>
          <w:tcPr>
            <w:tcW w:w="1780" w:type="dxa"/>
            <w:vAlign w:val="bottom"/>
          </w:tcPr>
          <w:p>
            <w:pPr>
              <w:ind w:left="140"/>
              <w:spacing w:after="0"/>
              <w:rPr>
                <w:sz w:val="20"/>
                <w:szCs w:val="20"/>
                <w:color w:val="auto"/>
              </w:rPr>
            </w:pPr>
            <w:r>
              <w:rPr>
                <w:rFonts w:ascii="Arial" w:cs="Arial" w:eastAsia="Arial" w:hAnsi="Arial"/>
                <w:sz w:val="12"/>
                <w:szCs w:val="12"/>
                <w:color w:val="auto"/>
              </w:rPr>
              <w:t>COO)</w:t>
            </w:r>
          </w:p>
        </w:tc>
        <w:tc>
          <w:tcPr>
            <w:tcW w:w="1660" w:type="dxa"/>
            <w:vAlign w:val="bottom"/>
          </w:tcPr>
          <w:p>
            <w:pPr>
              <w:ind w:left="160"/>
              <w:spacing w:after="0"/>
              <w:rPr>
                <w:sz w:val="20"/>
                <w:szCs w:val="20"/>
                <w:color w:val="auto"/>
              </w:rPr>
            </w:pPr>
            <w:r>
              <w:rPr>
                <w:rFonts w:ascii="Arial" w:cs="Arial" w:eastAsia="Arial" w:hAnsi="Arial"/>
                <w:sz w:val="12"/>
                <w:szCs w:val="12"/>
                <w:color w:val="auto"/>
              </w:rPr>
              <w:t>CMO)</w:t>
            </w: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180" w:type="dxa"/>
            <w:vAlign w:val="bottom"/>
          </w:tcPr>
          <w:p>
            <w:pPr>
              <w:spacing w:after="0"/>
              <w:rPr>
                <w:sz w:val="20"/>
                <w:szCs w:val="20"/>
                <w:color w:val="auto"/>
              </w:rPr>
            </w:pPr>
            <w:r>
              <w:rPr>
                <w:rFonts w:ascii="Arial" w:cs="Arial" w:eastAsia="Arial" w:hAnsi="Arial"/>
                <w:sz w:val="12"/>
                <w:szCs w:val="12"/>
                <w:b w:val="1"/>
                <w:bCs w:val="1"/>
                <w:color w:val="029C93"/>
              </w:rPr>
              <w:t>BOARD OF DIRECTORS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460"/>
        </w:trPr>
        <w:tc>
          <w:tcPr>
            <w:tcW w:w="2180" w:type="dxa"/>
            <w:vAlign w:val="bottom"/>
          </w:tcPr>
          <w:p>
            <w:pPr>
              <w:spacing w:after="0"/>
              <w:rPr>
                <w:sz w:val="20"/>
                <w:szCs w:val="20"/>
                <w:color w:val="auto"/>
              </w:rPr>
            </w:pPr>
            <w:r>
              <w:rPr>
                <w:rFonts w:ascii="Arial" w:cs="Arial" w:eastAsia="Arial" w:hAnsi="Arial"/>
                <w:sz w:val="12"/>
                <w:szCs w:val="12"/>
                <w:color w:val="auto"/>
              </w:rPr>
              <w:t>Deirdre P. Connelly</w:t>
            </w:r>
          </w:p>
        </w:tc>
        <w:tc>
          <w:tcPr>
            <w:tcW w:w="2820" w:type="dxa"/>
            <w:vAlign w:val="bottom"/>
            <w:gridSpan w:val="3"/>
          </w:tcPr>
          <w:p>
            <w:pPr>
              <w:ind w:left="800"/>
              <w:spacing w:after="0"/>
              <w:rPr>
                <w:sz w:val="20"/>
                <w:szCs w:val="20"/>
                <w:color w:val="auto"/>
              </w:rPr>
            </w:pPr>
            <w:r>
              <w:rPr>
                <w:rFonts w:ascii="Arial" w:cs="Arial" w:eastAsia="Arial" w:hAnsi="Arial"/>
                <w:sz w:val="12"/>
                <w:szCs w:val="12"/>
                <w:color w:val="auto"/>
              </w:rPr>
              <w:t>Pernille Erenbjerg</w:t>
            </w:r>
          </w:p>
        </w:tc>
        <w:tc>
          <w:tcPr>
            <w:tcW w:w="3960" w:type="dxa"/>
            <w:vAlign w:val="bottom"/>
          </w:tcPr>
          <w:p>
            <w:pPr>
              <w:ind w:left="980"/>
              <w:spacing w:after="0"/>
              <w:rPr>
                <w:sz w:val="20"/>
                <w:szCs w:val="20"/>
                <w:color w:val="auto"/>
              </w:rPr>
            </w:pPr>
            <w:r>
              <w:rPr>
                <w:rFonts w:ascii="Arial" w:cs="Arial" w:eastAsia="Arial" w:hAnsi="Arial"/>
                <w:sz w:val="12"/>
                <w:szCs w:val="12"/>
                <w:color w:val="auto"/>
              </w:rPr>
              <w:t>Anders Gersel Pedersen</w:t>
            </w:r>
          </w:p>
        </w:tc>
      </w:tr>
      <w:tr>
        <w:trPr>
          <w:trHeight w:val="159"/>
        </w:trPr>
        <w:tc>
          <w:tcPr>
            <w:tcW w:w="2180" w:type="dxa"/>
            <w:vAlign w:val="bottom"/>
          </w:tcPr>
          <w:p>
            <w:pPr>
              <w:spacing w:after="0"/>
              <w:rPr>
                <w:sz w:val="20"/>
                <w:szCs w:val="20"/>
                <w:color w:val="auto"/>
              </w:rPr>
            </w:pPr>
            <w:r>
              <w:rPr>
                <w:rFonts w:ascii="Arial" w:cs="Arial" w:eastAsia="Arial" w:hAnsi="Arial"/>
                <w:sz w:val="12"/>
                <w:szCs w:val="12"/>
                <w:color w:val="auto"/>
              </w:rPr>
              <w:t>(Chair)</w:t>
            </w:r>
          </w:p>
        </w:tc>
        <w:tc>
          <w:tcPr>
            <w:tcW w:w="2820" w:type="dxa"/>
            <w:vAlign w:val="bottom"/>
            <w:gridSpan w:val="3"/>
          </w:tcPr>
          <w:p>
            <w:pPr>
              <w:ind w:left="800"/>
              <w:spacing w:after="0"/>
              <w:rPr>
                <w:sz w:val="20"/>
                <w:szCs w:val="20"/>
                <w:color w:val="auto"/>
              </w:rPr>
            </w:pPr>
            <w:r>
              <w:rPr>
                <w:rFonts w:ascii="Arial" w:cs="Arial" w:eastAsia="Arial" w:hAnsi="Arial"/>
                <w:sz w:val="12"/>
                <w:szCs w:val="12"/>
                <w:color w:val="auto"/>
              </w:rPr>
              <w:t>(Deputy Chair)</w:t>
            </w:r>
          </w:p>
        </w:tc>
        <w:tc>
          <w:tcPr>
            <w:tcW w:w="3960" w:type="dxa"/>
            <w:vAlign w:val="bottom"/>
          </w:tcPr>
          <w:p>
            <w:pPr>
              <w:spacing w:after="0"/>
              <w:rPr>
                <w:sz w:val="13"/>
                <w:szCs w:val="13"/>
                <w:color w:val="auto"/>
              </w:rPr>
            </w:pPr>
          </w:p>
        </w:tc>
      </w:tr>
      <w:tr>
        <w:trPr>
          <w:trHeight w:val="462"/>
        </w:trPr>
        <w:tc>
          <w:tcPr>
            <w:tcW w:w="2180" w:type="dxa"/>
            <w:vAlign w:val="bottom"/>
          </w:tcPr>
          <w:p>
            <w:pPr>
              <w:spacing w:after="0"/>
              <w:rPr>
                <w:sz w:val="20"/>
                <w:szCs w:val="20"/>
                <w:color w:val="auto"/>
              </w:rPr>
            </w:pPr>
            <w:r>
              <w:rPr>
                <w:rFonts w:ascii="Arial" w:cs="Arial" w:eastAsia="Arial" w:hAnsi="Arial"/>
                <w:sz w:val="12"/>
                <w:szCs w:val="12"/>
                <w:color w:val="auto"/>
              </w:rPr>
              <w:t>Rolf Hoffmann</w:t>
            </w:r>
          </w:p>
        </w:tc>
        <w:tc>
          <w:tcPr>
            <w:tcW w:w="2820" w:type="dxa"/>
            <w:vAlign w:val="bottom"/>
            <w:gridSpan w:val="3"/>
          </w:tcPr>
          <w:p>
            <w:pPr>
              <w:ind w:left="800"/>
              <w:spacing w:after="0"/>
              <w:rPr>
                <w:sz w:val="20"/>
                <w:szCs w:val="20"/>
                <w:color w:val="auto"/>
              </w:rPr>
            </w:pPr>
            <w:r>
              <w:rPr>
                <w:rFonts w:ascii="Arial" w:cs="Arial" w:eastAsia="Arial" w:hAnsi="Arial"/>
                <w:sz w:val="12"/>
                <w:szCs w:val="12"/>
                <w:color w:val="auto"/>
              </w:rPr>
              <w:t>Paolo Paoletti</w:t>
            </w:r>
          </w:p>
        </w:tc>
        <w:tc>
          <w:tcPr>
            <w:tcW w:w="3960" w:type="dxa"/>
            <w:vAlign w:val="bottom"/>
          </w:tcPr>
          <w:p>
            <w:pPr>
              <w:ind w:left="980"/>
              <w:spacing w:after="0"/>
              <w:rPr>
                <w:sz w:val="20"/>
                <w:szCs w:val="20"/>
                <w:color w:val="auto"/>
              </w:rPr>
            </w:pPr>
            <w:r>
              <w:rPr>
                <w:rFonts w:ascii="Arial" w:cs="Arial" w:eastAsia="Arial" w:hAnsi="Arial"/>
                <w:sz w:val="12"/>
                <w:szCs w:val="12"/>
                <w:color w:val="auto"/>
              </w:rPr>
              <w:t>Elizabeth O’Farrell</w:t>
            </w:r>
          </w:p>
        </w:tc>
      </w:tr>
      <w:tr>
        <w:trPr>
          <w:trHeight w:val="439"/>
        </w:trPr>
        <w:tc>
          <w:tcPr>
            <w:tcW w:w="2180" w:type="dxa"/>
            <w:vAlign w:val="bottom"/>
          </w:tcPr>
          <w:p>
            <w:pPr>
              <w:spacing w:after="0"/>
              <w:rPr>
                <w:sz w:val="20"/>
                <w:szCs w:val="20"/>
                <w:color w:val="auto"/>
              </w:rPr>
            </w:pPr>
            <w:r>
              <w:rPr>
                <w:rFonts w:ascii="Arial" w:cs="Arial" w:eastAsia="Arial" w:hAnsi="Arial"/>
                <w:sz w:val="12"/>
                <w:szCs w:val="12"/>
                <w:color w:val="auto"/>
              </w:rPr>
              <w:t>Mijke Zachariasse</w:t>
            </w:r>
          </w:p>
        </w:tc>
        <w:tc>
          <w:tcPr>
            <w:tcW w:w="2820" w:type="dxa"/>
            <w:vAlign w:val="bottom"/>
            <w:gridSpan w:val="3"/>
          </w:tcPr>
          <w:p>
            <w:pPr>
              <w:ind w:left="800"/>
              <w:spacing w:after="0"/>
              <w:rPr>
                <w:sz w:val="20"/>
                <w:szCs w:val="20"/>
                <w:color w:val="auto"/>
              </w:rPr>
            </w:pPr>
            <w:r>
              <w:rPr>
                <w:rFonts w:ascii="Arial" w:cs="Arial" w:eastAsia="Arial" w:hAnsi="Arial"/>
                <w:sz w:val="12"/>
                <w:szCs w:val="12"/>
                <w:color w:val="auto"/>
              </w:rPr>
              <w:t>Takahiro Hamatani</w:t>
            </w:r>
          </w:p>
        </w:tc>
        <w:tc>
          <w:tcPr>
            <w:tcW w:w="3960" w:type="dxa"/>
            <w:vAlign w:val="bottom"/>
          </w:tcPr>
          <w:p>
            <w:pPr>
              <w:ind w:left="980"/>
              <w:spacing w:after="0"/>
              <w:rPr>
                <w:sz w:val="20"/>
                <w:szCs w:val="20"/>
                <w:color w:val="auto"/>
              </w:rPr>
            </w:pPr>
            <w:r>
              <w:rPr>
                <w:rFonts w:ascii="Arial" w:cs="Arial" w:eastAsia="Arial" w:hAnsi="Arial"/>
                <w:sz w:val="12"/>
                <w:szCs w:val="12"/>
                <w:color w:val="auto"/>
              </w:rPr>
              <w:t>Martin Schultz</w:t>
            </w:r>
          </w:p>
        </w:tc>
      </w:tr>
      <w:tr>
        <w:trPr>
          <w:trHeight w:val="159"/>
        </w:trPr>
        <w:tc>
          <w:tcPr>
            <w:tcW w:w="2180" w:type="dxa"/>
            <w:vAlign w:val="bottom"/>
          </w:tcPr>
          <w:p>
            <w:pPr>
              <w:spacing w:after="0"/>
              <w:rPr>
                <w:sz w:val="20"/>
                <w:szCs w:val="20"/>
                <w:color w:val="auto"/>
              </w:rPr>
            </w:pPr>
            <w:r>
              <w:rPr>
                <w:rFonts w:ascii="Arial" w:cs="Arial" w:eastAsia="Arial" w:hAnsi="Arial"/>
                <w:sz w:val="12"/>
                <w:szCs w:val="12"/>
                <w:color w:val="auto"/>
              </w:rPr>
              <w:t>(Employee elected)</w:t>
            </w:r>
          </w:p>
        </w:tc>
        <w:tc>
          <w:tcPr>
            <w:tcW w:w="2820" w:type="dxa"/>
            <w:vAlign w:val="bottom"/>
            <w:gridSpan w:val="3"/>
          </w:tcPr>
          <w:p>
            <w:pPr>
              <w:ind w:left="800"/>
              <w:spacing w:after="0"/>
              <w:rPr>
                <w:sz w:val="20"/>
                <w:szCs w:val="20"/>
                <w:color w:val="auto"/>
              </w:rPr>
            </w:pPr>
            <w:r>
              <w:rPr>
                <w:rFonts w:ascii="Arial" w:cs="Arial" w:eastAsia="Arial" w:hAnsi="Arial"/>
                <w:sz w:val="12"/>
                <w:szCs w:val="12"/>
                <w:color w:val="auto"/>
              </w:rPr>
              <w:t>(Employee elected)</w:t>
            </w:r>
          </w:p>
        </w:tc>
        <w:tc>
          <w:tcPr>
            <w:tcW w:w="3960" w:type="dxa"/>
            <w:vAlign w:val="bottom"/>
          </w:tcPr>
          <w:p>
            <w:pPr>
              <w:ind w:left="980"/>
              <w:spacing w:after="0"/>
              <w:rPr>
                <w:sz w:val="20"/>
                <w:szCs w:val="20"/>
                <w:color w:val="auto"/>
              </w:rPr>
            </w:pPr>
            <w:r>
              <w:rPr>
                <w:rFonts w:ascii="Arial" w:cs="Arial" w:eastAsia="Arial" w:hAnsi="Arial"/>
                <w:sz w:val="12"/>
                <w:szCs w:val="12"/>
                <w:color w:val="auto"/>
              </w:rPr>
              <w:t>(Employee elected)</w:t>
            </w:r>
          </w:p>
        </w:tc>
      </w:tr>
      <w:tr>
        <w:trPr>
          <w:trHeight w:val="628"/>
        </w:trPr>
        <w:tc>
          <w:tcPr>
            <w:tcW w:w="2180" w:type="dxa"/>
            <w:vAlign w:val="bottom"/>
          </w:tcPr>
          <w:p>
            <w:pPr>
              <w:spacing w:after="0"/>
              <w:rPr>
                <w:sz w:val="20"/>
                <w:szCs w:val="20"/>
                <w:color w:val="auto"/>
              </w:rPr>
            </w:pPr>
            <w:r>
              <w:rPr>
                <w:rFonts w:ascii="Arial" w:cs="Arial" w:eastAsia="Arial" w:hAnsi="Arial"/>
                <w:sz w:val="10"/>
                <w:szCs w:val="10"/>
                <w:color w:val="auto"/>
              </w:rPr>
              <w:t>Genmab A/S</w:t>
            </w:r>
          </w:p>
        </w:tc>
        <w:tc>
          <w:tcPr>
            <w:tcW w:w="2820" w:type="dxa"/>
            <w:vAlign w:val="bottom"/>
            <w:gridSpan w:val="3"/>
          </w:tcPr>
          <w:p>
            <w:pPr>
              <w:ind w:left="960"/>
              <w:spacing w:after="0"/>
              <w:rPr>
                <w:sz w:val="20"/>
                <w:szCs w:val="20"/>
                <w:color w:val="auto"/>
              </w:rPr>
            </w:pPr>
            <w:r>
              <w:rPr>
                <w:rFonts w:ascii="Arial" w:cs="Arial" w:eastAsia="Arial" w:hAnsi="Arial"/>
                <w:sz w:val="10"/>
                <w:szCs w:val="10"/>
                <w:color w:val="auto"/>
              </w:rPr>
              <w:t>Tel: +45 7020 2728</w:t>
            </w:r>
          </w:p>
        </w:tc>
        <w:tc>
          <w:tcPr>
            <w:tcW w:w="39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1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960" w:type="dxa"/>
            <w:vAlign w:val="bottom"/>
          </w:tcPr>
          <w:p>
            <w:pPr>
              <w:jc w:val="right"/>
              <w:spacing w:after="0" w:line="109" w:lineRule="exact"/>
              <w:rPr>
                <w:sz w:val="20"/>
                <w:szCs w:val="20"/>
                <w:color w:val="auto"/>
              </w:rPr>
            </w:pPr>
            <w:r>
              <w:rPr>
                <w:rFonts w:ascii="Arial" w:cs="Arial" w:eastAsia="Arial" w:hAnsi="Arial"/>
                <w:sz w:val="10"/>
                <w:szCs w:val="10"/>
                <w:color w:val="auto"/>
              </w:rPr>
              <w:t>Page 150/158</w:t>
            </w:r>
          </w:p>
        </w:tc>
      </w:tr>
      <w:tr>
        <w:trPr>
          <w:trHeight w:val="105"/>
        </w:trPr>
        <w:tc>
          <w:tcPr>
            <w:tcW w:w="218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820" w:type="dxa"/>
            <w:vAlign w:val="bottom"/>
            <w:gridSpan w:val="3"/>
          </w:tcPr>
          <w:p>
            <w:pPr>
              <w:ind w:left="960"/>
              <w:spacing w:after="0" w:line="105" w:lineRule="exact"/>
              <w:rPr>
                <w:sz w:val="20"/>
                <w:szCs w:val="20"/>
                <w:color w:val="auto"/>
              </w:rPr>
            </w:pPr>
            <w:r>
              <w:rPr>
                <w:rFonts w:ascii="Arial" w:cs="Arial" w:eastAsia="Arial" w:hAnsi="Arial"/>
                <w:sz w:val="10"/>
                <w:szCs w:val="10"/>
                <w:color w:val="0000FF"/>
              </w:rPr>
              <w:t>www.genmab.com</w:t>
            </w:r>
          </w:p>
        </w:tc>
        <w:tc>
          <w:tcPr>
            <w:tcW w:w="39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-1864360</wp:posOffset>
            </wp:positionV>
            <wp:extent cx="426085" cy="2184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6085" cy="2184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-1466850</wp:posOffset>
            </wp:positionV>
            <wp:extent cx="679450" cy="195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450" cy="19558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-1162050</wp:posOffset>
            </wp:positionV>
            <wp:extent cx="541020" cy="1727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1020" cy="17272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-1847215</wp:posOffset>
            </wp:positionV>
            <wp:extent cx="621665" cy="178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166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-1841500</wp:posOffset>
            </wp:positionV>
            <wp:extent cx="845820" cy="172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45820" cy="17272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-1472565</wp:posOffset>
            </wp:positionV>
            <wp:extent cx="501015" cy="2070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1015" cy="20701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-1162050</wp:posOffset>
            </wp:positionV>
            <wp:extent cx="897890" cy="1727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97890" cy="1727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-1179195</wp:posOffset>
            </wp:positionV>
            <wp:extent cx="402590" cy="2012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2590" cy="2012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Independent Auditor’s Reports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the shareholders of Genmab A/S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Report on the audit of the Financial Statements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opinion</w:t>
      </w:r>
    </w:p>
    <w:p>
      <w:pPr>
        <w:spacing w:after="0" w:line="12" w:lineRule="exact"/>
        <w:rPr>
          <w:sz w:val="20"/>
          <w:szCs w:val="20"/>
          <w:color w:val="auto"/>
        </w:rPr>
      </w:pPr>
    </w:p>
    <w:p>
      <w:pPr>
        <w:ind w:left="20" w:right="179"/>
        <w:spacing w:after="0" w:line="244" w:lineRule="auto"/>
        <w:rPr>
          <w:sz w:val="20"/>
          <w:szCs w:val="20"/>
          <w:color w:val="auto"/>
        </w:rPr>
      </w:pPr>
      <w:r>
        <w:rPr>
          <w:rFonts w:ascii="Arial" w:cs="Arial" w:eastAsia="Arial" w:hAnsi="Arial"/>
          <w:sz w:val="11"/>
          <w:szCs w:val="11"/>
          <w:color w:val="auto"/>
        </w:rPr>
        <w:t>In our opinion, the Consolidated Financial Statements and the Parent Company Financial Statements give a true and fair view of the Group’s and the Parent Company’s financial position at December 31, 2022 and of the results of the Group’s and the Parent Company’s operations and cash flows for the financial year January 1 to December 31, 2022 in accordance with International Financial Reporting Standards as issued by the International Accounting Standards Board and International Financial Reporting Standards as adopted by the EU and further requirements in the Danish Financial Statements Act.</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Our opinion is consistent with our Auditor’s Long-form Report to the Audit and Finance Committee and the Board of Directors.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What we have audited</w:t>
      </w:r>
    </w:p>
    <w:p>
      <w:pPr>
        <w:spacing w:after="0" w:line="10" w:lineRule="exact"/>
        <w:rPr>
          <w:sz w:val="20"/>
          <w:szCs w:val="20"/>
          <w:color w:val="auto"/>
        </w:rPr>
      </w:pPr>
    </w:p>
    <w:p>
      <w:pPr>
        <w:ind w:left="20" w:right="179"/>
        <w:spacing w:after="0" w:line="246" w:lineRule="auto"/>
        <w:rPr>
          <w:sz w:val="20"/>
          <w:szCs w:val="20"/>
          <w:color w:val="auto"/>
        </w:rPr>
      </w:pPr>
      <w:r>
        <w:rPr>
          <w:rFonts w:ascii="Arial" w:cs="Arial" w:eastAsia="Arial" w:hAnsi="Arial"/>
          <w:sz w:val="11"/>
          <w:szCs w:val="11"/>
          <w:color w:val="auto"/>
        </w:rPr>
        <w:t>The Consolidated Financial Statements and Parent Company Financial Statements of Genmab A/S for the financial year January 1 to December 31, 2022 comprise statement of comprehensive income, balance sheet, statement of cash flows, statement of changes in equity and notes, including summary of significant accounting policies for the Group as well as for the Parent Company. Collectively referred to as the “Financial Statements”.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for opinion</w:t>
      </w:r>
    </w:p>
    <w:p>
      <w:pPr>
        <w:spacing w:after="0" w:line="12" w:lineRule="exact"/>
        <w:rPr>
          <w:sz w:val="20"/>
          <w:szCs w:val="20"/>
          <w:color w:val="auto"/>
        </w:rPr>
      </w:pPr>
    </w:p>
    <w:p>
      <w:pPr>
        <w:ind w:left="20" w:right="599"/>
        <w:spacing w:after="0" w:line="252" w:lineRule="auto"/>
        <w:rPr>
          <w:sz w:val="20"/>
          <w:szCs w:val="20"/>
          <w:color w:val="auto"/>
        </w:rPr>
      </w:pPr>
      <w:r>
        <w:rPr>
          <w:rFonts w:ascii="Arial" w:cs="Arial" w:eastAsia="Arial" w:hAnsi="Arial"/>
          <w:sz w:val="11"/>
          <w:szCs w:val="11"/>
          <w:color w:val="auto"/>
        </w:rPr>
        <w:t xml:space="preserve">We conducted our audit in accordance with International Standards on Auditing (ISAs) and the additional requirements applicable in Denmark. Our responsibilities under those standards and requirements are further described in the </w:t>
      </w:r>
      <w:r>
        <w:rPr>
          <w:rFonts w:ascii="Arial" w:cs="Arial" w:eastAsia="Arial" w:hAnsi="Arial"/>
          <w:sz w:val="11"/>
          <w:szCs w:val="11"/>
          <w:i w:val="1"/>
          <w:iCs w:val="1"/>
          <w:color w:val="auto"/>
        </w:rPr>
        <w:t>Auditor’s responsibilities for the audit of the Financial Statements</w:t>
      </w:r>
      <w:r>
        <w:rPr>
          <w:rFonts w:ascii="Arial" w:cs="Arial" w:eastAsia="Arial" w:hAnsi="Arial"/>
          <w:sz w:val="11"/>
          <w:szCs w:val="11"/>
          <w:color w:val="auto"/>
        </w:rPr>
        <w:t xml:space="preserve"> section of our report.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We believe that the audit evidence we have obtained is sufficient and appropriate to provide a basis for our opinion.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Independence</w:t>
      </w:r>
    </w:p>
    <w:p>
      <w:pPr>
        <w:spacing w:after="0" w:line="10" w:lineRule="exact"/>
        <w:rPr>
          <w:sz w:val="20"/>
          <w:szCs w:val="20"/>
          <w:color w:val="auto"/>
        </w:rPr>
      </w:pPr>
    </w:p>
    <w:p>
      <w:pPr>
        <w:ind w:left="20" w:right="159"/>
        <w:spacing w:after="0" w:line="301" w:lineRule="auto"/>
        <w:rPr>
          <w:sz w:val="20"/>
          <w:szCs w:val="20"/>
          <w:color w:val="auto"/>
        </w:rPr>
      </w:pPr>
      <w:r>
        <w:rPr>
          <w:rFonts w:ascii="Arial" w:cs="Arial" w:eastAsia="Arial" w:hAnsi="Arial"/>
          <w:sz w:val="10"/>
          <w:szCs w:val="10"/>
          <w:color w:val="auto"/>
        </w:rPr>
        <w:t>We are independent of the Group in accordance with the International Ethics Standards Board for Accountants’ International Code of Ethics for Professional Accountants (IESBA Code) and the additional ethical requirements applicable in Denmark. We have also fulfilled our other ethical responsibilities in accordance with these requirements and the IESBA Code.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 the best of our knowledge and belief, prohibited non-audit services referred to in Article 5(1) of Regulation (EU) No 537/2014 were not provided.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Appointment</w:t>
      </w:r>
    </w:p>
    <w:p>
      <w:pPr>
        <w:spacing w:after="0" w:line="10" w:lineRule="exact"/>
        <w:rPr>
          <w:sz w:val="20"/>
          <w:szCs w:val="20"/>
          <w:color w:val="auto"/>
        </w:rPr>
      </w:pPr>
    </w:p>
    <w:p>
      <w:pPr>
        <w:ind w:left="20" w:right="319"/>
        <w:spacing w:after="0" w:line="252" w:lineRule="auto"/>
        <w:rPr>
          <w:sz w:val="20"/>
          <w:szCs w:val="20"/>
          <w:color w:val="auto"/>
        </w:rPr>
      </w:pPr>
      <w:r>
        <w:rPr>
          <w:rFonts w:ascii="Arial" w:cs="Arial" w:eastAsia="Arial" w:hAnsi="Arial"/>
          <w:sz w:val="11"/>
          <w:szCs w:val="11"/>
          <w:color w:val="auto"/>
        </w:rPr>
        <w:t>Following the listing of the shares of Genmab A/S on Nasdaq Copenhagen, we were first appointed auditors of Genmab A/S on March 22, 2001 for the financial year 2001. We have been reappointed annually by shareholder resolution for a total period of uninterrupted engagement of 22 years including the financial year 2022.</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Key audit matters</w:t>
      </w:r>
    </w:p>
    <w:p>
      <w:pPr>
        <w:spacing w:after="0" w:line="12" w:lineRule="exact"/>
        <w:rPr>
          <w:sz w:val="20"/>
          <w:szCs w:val="20"/>
          <w:color w:val="auto"/>
        </w:rPr>
      </w:pPr>
    </w:p>
    <w:p>
      <w:pPr>
        <w:ind w:left="20" w:right="279"/>
        <w:spacing w:after="0" w:line="252" w:lineRule="auto"/>
        <w:rPr>
          <w:sz w:val="20"/>
          <w:szCs w:val="20"/>
          <w:color w:val="auto"/>
        </w:rPr>
      </w:pPr>
      <w:r>
        <w:rPr>
          <w:rFonts w:ascii="Arial" w:cs="Arial" w:eastAsia="Arial" w:hAnsi="Arial"/>
          <w:sz w:val="11"/>
          <w:szCs w:val="11"/>
          <w:color w:val="auto"/>
        </w:rPr>
        <w:t>Key audit matters are those matters that, in our professional judgement, were of most significance in our audit of the Financial Statements for 2022. These matters were addressed in the context of our audit of the Financial Statements as a whole, and in forming our opinion thereon, and we do not provide a separate opinion on these matters.</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1"/>
                <w:szCs w:val="11"/>
                <w:b w:val="1"/>
                <w:bCs w:val="1"/>
                <w:color w:val="auto"/>
              </w:rPr>
              <w:t>Key audit matter</w:t>
            </w: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4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How our audit addressed the key audit matter</w:t>
            </w:r>
          </w:p>
        </w:tc>
        <w:tc>
          <w:tcPr>
            <w:tcW w:w="640" w:type="dxa"/>
            <w:vAlign w:val="bottom"/>
          </w:tcPr>
          <w:p>
            <w:pPr>
              <w:spacing w:after="0"/>
              <w:rPr>
                <w:sz w:val="17"/>
                <w:szCs w:val="17"/>
                <w:color w:val="auto"/>
              </w:rPr>
            </w:pPr>
          </w:p>
        </w:tc>
      </w:tr>
      <w:tr>
        <w:trPr>
          <w:trHeight w:val="42"/>
        </w:trPr>
        <w:tc>
          <w:tcPr>
            <w:tcW w:w="2700" w:type="dxa"/>
            <w:vAlign w:val="bottom"/>
            <w:tcBorders>
              <w:left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640" w:type="dxa"/>
            <w:vAlign w:val="bottom"/>
          </w:tcPr>
          <w:p>
            <w:pPr>
              <w:spacing w:after="0"/>
              <w:rPr>
                <w:sz w:val="3"/>
                <w:szCs w:val="3"/>
                <w:color w:val="auto"/>
              </w:rPr>
            </w:pPr>
          </w:p>
        </w:tc>
      </w:tr>
      <w:tr>
        <w:trPr>
          <w:trHeight w:val="177"/>
        </w:trPr>
        <w:tc>
          <w:tcPr>
            <w:tcW w:w="2700" w:type="dxa"/>
            <w:vAlign w:val="bottom"/>
            <w:tcBorders>
              <w:left w:val="single" w:sz="8" w:color="auto"/>
            </w:tcBorders>
          </w:tcPr>
          <w:p>
            <w:pPr>
              <w:ind w:left="60"/>
              <w:spacing w:after="0"/>
              <w:rPr>
                <w:sz w:val="20"/>
                <w:szCs w:val="20"/>
                <w:color w:val="auto"/>
              </w:rPr>
            </w:pPr>
            <w:r>
              <w:rPr>
                <w:rFonts w:ascii="Arial" w:cs="Arial" w:eastAsia="Arial" w:hAnsi="Arial"/>
                <w:sz w:val="11"/>
                <w:szCs w:val="11"/>
                <w:i w:val="1"/>
                <w:iCs w:val="1"/>
                <w:color w:val="auto"/>
              </w:rPr>
              <w:t>Revenue recognition of DARZALEX FASPRO</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1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r>
      <w:tr>
        <w:trPr>
          <w:trHeight w:val="254"/>
        </w:trPr>
        <w:tc>
          <w:tcPr>
            <w:tcW w:w="27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In June 2022, the Group commenced binding</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We tested certain internal controls over the process</w:t>
            </w:r>
          </w:p>
        </w:tc>
        <w:tc>
          <w:tcPr>
            <w:tcW w:w="640" w:type="dxa"/>
            <w:vAlign w:val="bottom"/>
          </w:tcPr>
          <w:p>
            <w:pPr>
              <w:spacing w:after="0"/>
              <w:rPr>
                <w:sz w:val="22"/>
                <w:szCs w:val="22"/>
                <w:color w:val="auto"/>
              </w:rPr>
            </w:pPr>
          </w:p>
        </w:tc>
      </w:tr>
      <w:tr>
        <w:trPr>
          <w:trHeight w:val="48"/>
        </w:trPr>
        <w:tc>
          <w:tcPr>
            <w:tcW w:w="2700" w:type="dxa"/>
            <w:vAlign w:val="bottom"/>
            <w:tcBorders>
              <w:left w:val="single" w:sz="8" w:color="auto"/>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gridSpan w:val="3"/>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29"/>
        </w:trPr>
        <w:tc>
          <w:tcPr>
            <w:tcW w:w="2700" w:type="dxa"/>
            <w:vAlign w:val="bottom"/>
          </w:tcPr>
          <w:p>
            <w:pPr>
              <w:spacing w:after="0"/>
              <w:rPr>
                <w:sz w:val="20"/>
                <w:szCs w:val="20"/>
                <w:color w:val="auto"/>
              </w:rPr>
            </w:pPr>
            <w:r>
              <w:rPr>
                <w:rFonts w:ascii="Arial" w:cs="Arial" w:eastAsia="Arial" w:hAnsi="Arial"/>
                <w:sz w:val="10"/>
                <w:szCs w:val="10"/>
                <w:color w:val="auto"/>
              </w:rPr>
              <w:t>Genmab A/S</w:t>
            </w:r>
          </w:p>
        </w:tc>
        <w:tc>
          <w:tcPr>
            <w:tcW w:w="1480" w:type="dxa"/>
            <w:vAlign w:val="bottom"/>
            <w:gridSpan w:val="3"/>
          </w:tcPr>
          <w:p>
            <w:pPr>
              <w:ind w:left="440"/>
              <w:spacing w:after="0"/>
              <w:rPr>
                <w:sz w:val="20"/>
                <w:szCs w:val="20"/>
                <w:color w:val="auto"/>
              </w:rPr>
            </w:pPr>
            <w:r>
              <w:rPr>
                <w:rFonts w:ascii="Arial" w:cs="Arial" w:eastAsia="Arial" w:hAnsi="Arial"/>
                <w:sz w:val="10"/>
                <w:szCs w:val="10"/>
                <w:color w:val="auto"/>
              </w:rPr>
              <w:t>Tel: +45 7020 2728</w:t>
            </w:r>
          </w:p>
        </w:tc>
        <w:tc>
          <w:tcPr>
            <w:tcW w:w="4780" w:type="dxa"/>
            <w:vAlign w:val="bottom"/>
            <w:gridSpan w:val="2"/>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7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w w:val="99"/>
              </w:rPr>
              <w:t>Page 151/158</w:t>
            </w:r>
          </w:p>
        </w:tc>
      </w:tr>
      <w:tr>
        <w:trPr>
          <w:trHeight w:val="105"/>
        </w:trPr>
        <w:tc>
          <w:tcPr>
            <w:tcW w:w="27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480" w:type="dxa"/>
            <w:vAlign w:val="bottom"/>
            <w:gridSpan w:val="3"/>
          </w:tcPr>
          <w:p>
            <w:pPr>
              <w:ind w:left="440"/>
              <w:spacing w:after="0" w:line="105" w:lineRule="exact"/>
              <w:rPr>
                <w:sz w:val="20"/>
                <w:szCs w:val="20"/>
                <w:color w:val="auto"/>
              </w:rPr>
            </w:pPr>
            <w:r>
              <w:rPr>
                <w:rFonts w:ascii="Arial" w:cs="Arial" w:eastAsia="Arial" w:hAnsi="Arial"/>
                <w:sz w:val="10"/>
                <w:szCs w:val="10"/>
                <w:color w:val="0000FF"/>
              </w:rPr>
              <w:t>www.genmab.com</w:t>
            </w:r>
          </w:p>
        </w:tc>
        <w:tc>
          <w:tcPr>
            <w:tcW w:w="47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4" w:name="page155"/>
    <w:bookmarkEnd w:id="154"/>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41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arbitration of matters arising under its license agreement with Janssen Biotech, Inc.</w:t>
            </w:r>
          </w:p>
        </w:tc>
        <w:tc>
          <w:tcPr>
            <w:tcW w:w="4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 record revenue, including controls related to the estimate of the variable</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xml:space="preserve">(Janssen) relating to DARZALEX </w:t>
            </w:r>
            <w:r>
              <w:rPr>
                <w:rFonts w:ascii="Arial" w:cs="Arial" w:eastAsia="Arial" w:hAnsi="Arial"/>
                <w:sz w:val="11"/>
                <w:szCs w:val="11"/>
                <w:i w:val="1"/>
                <w:iCs w:val="1"/>
                <w:color w:val="auto"/>
              </w:rPr>
              <w:t>FASPRO</w:t>
            </w:r>
            <w:r>
              <w:rPr>
                <w:rFonts w:ascii="Arial" w:cs="Arial" w:eastAsia="Arial" w:hAnsi="Arial"/>
                <w:sz w:val="11"/>
                <w:szCs w:val="11"/>
                <w:color w:val="auto"/>
              </w:rPr>
              <w:t>. The arbitration is to settle whether</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consideration.</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xml:space="preserve">Janssen is to pay milestone payments for the DARZALEX </w:t>
            </w:r>
            <w:r>
              <w:rPr>
                <w:rFonts w:ascii="Arial" w:cs="Arial" w:eastAsia="Arial" w:hAnsi="Arial"/>
                <w:sz w:val="11"/>
                <w:szCs w:val="11"/>
                <w:i w:val="1"/>
                <w:iCs w:val="1"/>
                <w:color w:val="auto"/>
              </w:rPr>
              <w:t>FASPRO</w:t>
            </w:r>
            <w:r>
              <w:rPr>
                <w:rFonts w:ascii="Arial" w:cs="Arial" w:eastAsia="Arial" w:hAnsi="Arial"/>
                <w:sz w:val="11"/>
                <w:szCs w:val="11"/>
                <w:color w:val="auto"/>
              </w:rPr>
              <w:t xml:space="preserve"> as a separate</w:t>
            </w:r>
          </w:p>
        </w:tc>
        <w:tc>
          <w:tcPr>
            <w:tcW w:w="4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product, and whether the Group is entitled to a new 13-year royalty term from the</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We evaluated and tested Management’s process for determining the variable</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xml:space="preserve">date of DARZALEX </w:t>
            </w:r>
            <w:r>
              <w:rPr>
                <w:rFonts w:ascii="Arial" w:cs="Arial" w:eastAsia="Arial" w:hAnsi="Arial"/>
                <w:sz w:val="11"/>
                <w:szCs w:val="11"/>
                <w:i w:val="1"/>
                <w:iCs w:val="1"/>
                <w:color w:val="auto"/>
              </w:rPr>
              <w:t>FASPRO</w:t>
            </w:r>
            <w:r>
              <w:rPr>
                <w:rFonts w:ascii="Arial" w:cs="Arial" w:eastAsia="Arial" w:hAnsi="Arial"/>
                <w:sz w:val="11"/>
                <w:szCs w:val="11"/>
                <w:color w:val="auto"/>
              </w:rPr>
              <w:t>’s first commercial sale. Based on discussions with in-</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consideration and assessing the reasonableness of the estimate. This included (i)</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house legal counsel, the Group has considered revenue subject to this arbitration</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gaining an understanding of the Company’s process around the accounting and</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as a variable consideration where it is not highly probable that the Group will not</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reporting for the arbitration; (ii) discussing the status of the arbitration with the</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reverse this revenue in the future. Therefore, the Group has not recognized</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Company’s in-house legal counsel as well as obtaining legal letter from the external</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revenue in relation to the milestone payments, subject to the arbitration. The</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legal counsel; (iii) evaluating the reasonableness of Management’s estimate</w:t>
            </w: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milestone payments constitute approximately DKK 2.8 billion (USD 405 million).</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regarding recognition of the variable consideration; and (iv) evaluating the</w:t>
            </w:r>
          </w:p>
        </w:tc>
        <w:tc>
          <w:tcPr>
            <w:tcW w:w="0" w:type="dxa"/>
            <w:vAlign w:val="bottom"/>
          </w:tcPr>
          <w:p>
            <w:pPr>
              <w:spacing w:after="0"/>
              <w:rPr>
                <w:sz w:val="1"/>
                <w:szCs w:val="1"/>
                <w:color w:val="auto"/>
              </w:rPr>
            </w:pPr>
          </w:p>
        </w:tc>
      </w:tr>
      <w:tr>
        <w:trPr>
          <w:trHeight w:val="142"/>
        </w:trPr>
        <w:tc>
          <w:tcPr>
            <w:tcW w:w="41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color w:val="auto"/>
              </w:rPr>
              <w:t xml:space="preserve">In relation to the revenue recognition of DARZALEX </w:t>
            </w:r>
            <w:r>
              <w:rPr>
                <w:rFonts w:ascii="Arial" w:cs="Arial" w:eastAsia="Arial" w:hAnsi="Arial"/>
                <w:sz w:val="11"/>
                <w:szCs w:val="11"/>
                <w:i w:val="1"/>
                <w:iCs w:val="1"/>
                <w:color w:val="auto"/>
              </w:rPr>
              <w:t>FASPRO</w:t>
            </w:r>
            <w:r>
              <w:rPr>
                <w:rFonts w:ascii="Arial" w:cs="Arial" w:eastAsia="Arial" w:hAnsi="Arial"/>
                <w:sz w:val="11"/>
                <w:szCs w:val="11"/>
                <w:color w:val="auto"/>
              </w:rPr>
              <w:t xml:space="preserve"> it requires that</w:t>
            </w:r>
          </w:p>
        </w:tc>
        <w:tc>
          <w:tcPr>
            <w:tcW w:w="41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presentation and disclosure within the Financial Statements.</w:t>
            </w:r>
          </w:p>
        </w:tc>
        <w:tc>
          <w:tcPr>
            <w:tcW w:w="0" w:type="dxa"/>
            <w:vAlign w:val="bottom"/>
          </w:tcPr>
          <w:p>
            <w:pPr>
              <w:spacing w:after="0"/>
              <w:rPr>
                <w:sz w:val="1"/>
                <w:szCs w:val="1"/>
                <w:color w:val="auto"/>
              </w:rPr>
            </w:pPr>
          </w:p>
        </w:tc>
      </w:tr>
      <w:tr>
        <w:trPr>
          <w:trHeight w:val="111"/>
        </w:trPr>
        <w:tc>
          <w:tcPr>
            <w:tcW w:w="4180" w:type="dxa"/>
            <w:vAlign w:val="bottom"/>
            <w:tcBorders>
              <w:left w:val="single" w:sz="8" w:color="auto"/>
              <w:right w:val="single" w:sz="8" w:color="auto"/>
            </w:tcBorders>
            <w:vMerge w:val="continue"/>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Management make a significant judgement when determining the estimate of the</w:t>
            </w:r>
          </w:p>
        </w:tc>
        <w:tc>
          <w:tcPr>
            <w:tcW w:w="4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variable consideration. We focused on the revenue recognition of DARZALEX</w:t>
            </w:r>
          </w:p>
        </w:tc>
        <w:tc>
          <w:tcPr>
            <w:tcW w:w="4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i w:val="1"/>
                <w:iCs w:val="1"/>
                <w:color w:val="auto"/>
              </w:rPr>
              <w:t xml:space="preserve">FASPRO </w:t>
            </w:r>
            <w:r>
              <w:rPr>
                <w:rFonts w:ascii="Arial" w:cs="Arial" w:eastAsia="Arial" w:hAnsi="Arial"/>
                <w:sz w:val="11"/>
                <w:szCs w:val="11"/>
                <w:color w:val="auto"/>
              </w:rPr>
              <w:t>because estimating the variable consideration requires significant</w:t>
            </w:r>
          </w:p>
        </w:tc>
        <w:tc>
          <w:tcPr>
            <w:tcW w:w="4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judgement by Management.</w:t>
            </w: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4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 xml:space="preserve">Reference is made to </w:t>
            </w:r>
            <w:r>
              <w:rPr>
                <w:rFonts w:ascii="Arial" w:cs="Arial" w:eastAsia="Arial" w:hAnsi="Arial"/>
                <w:sz w:val="11"/>
                <w:szCs w:val="11"/>
                <w:color w:val="029C93"/>
              </w:rPr>
              <w:t>Note 5.6</w:t>
            </w:r>
            <w:r>
              <w:rPr>
                <w:rFonts w:ascii="Arial" w:cs="Arial" w:eastAsia="Arial" w:hAnsi="Arial"/>
                <w:sz w:val="11"/>
                <w:szCs w:val="11"/>
                <w:color w:val="auto"/>
              </w:rPr>
              <w:t xml:space="preserve"> in the Consolidated Financial Statements.</w:t>
            </w:r>
          </w:p>
        </w:tc>
        <w:tc>
          <w:tcPr>
            <w:tcW w:w="4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Statement on Management’s Review</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Management is responsible for Management’s Review.</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Our opinion on the Financial Statements does not cover Management’s Review, and we do not express any form of assurance conclusion thereon.</w:t>
      </w:r>
    </w:p>
    <w:p>
      <w:pPr>
        <w:spacing w:after="0" w:line="127" w:lineRule="exact"/>
        <w:rPr>
          <w:sz w:val="20"/>
          <w:szCs w:val="20"/>
          <w:color w:val="auto"/>
        </w:rPr>
      </w:pPr>
    </w:p>
    <w:p>
      <w:pPr>
        <w:ind w:left="20" w:right="419"/>
        <w:spacing w:after="0" w:line="271" w:lineRule="auto"/>
        <w:rPr>
          <w:sz w:val="20"/>
          <w:szCs w:val="20"/>
          <w:color w:val="auto"/>
        </w:rPr>
      </w:pPr>
      <w:r>
        <w:rPr>
          <w:rFonts w:ascii="Arial" w:cs="Arial" w:eastAsia="Arial" w:hAnsi="Arial"/>
          <w:sz w:val="11"/>
          <w:szCs w:val="11"/>
          <w:color w:val="auto"/>
        </w:rPr>
        <w:t>In connection with our audit of the Financial Statements, our responsibility is to read Management’s Review and, in doing so, consider whether Management’s Review is materially inconsistent with the Financial Statements, or our knowledge obtained in the audit, or otherwise appears to be materially misstated.</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1"/>
          <w:szCs w:val="11"/>
          <w:color w:val="auto"/>
        </w:rPr>
        <w:t>Moreover, we considered whether Management’s Review includes the disclosures required by the Danish Financial Statements Act.</w:t>
      </w:r>
    </w:p>
    <w:p>
      <w:pPr>
        <w:spacing w:after="0" w:line="127" w:lineRule="exact"/>
        <w:rPr>
          <w:sz w:val="20"/>
          <w:szCs w:val="20"/>
          <w:color w:val="auto"/>
        </w:rPr>
      </w:pPr>
    </w:p>
    <w:p>
      <w:pPr>
        <w:ind w:left="20" w:right="179"/>
        <w:spacing w:after="0" w:line="322" w:lineRule="auto"/>
        <w:rPr>
          <w:sz w:val="20"/>
          <w:szCs w:val="20"/>
          <w:color w:val="auto"/>
        </w:rPr>
      </w:pPr>
      <w:r>
        <w:rPr>
          <w:rFonts w:ascii="Arial" w:cs="Arial" w:eastAsia="Arial" w:hAnsi="Arial"/>
          <w:sz w:val="10"/>
          <w:szCs w:val="10"/>
          <w:color w:val="auto"/>
        </w:rPr>
        <w:t>Based on the work we have performed, in our view, Management’s Review is in accordance with the Consolidated Financial Statements and the Parent Company Financial Statements and has been prepared in accordance with the requirements of the Danish Financial Statements Act. We did not identify any material misstatement in Management’s Review.</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Management’s responsibilities for the Financial Statements</w:t>
      </w:r>
    </w:p>
    <w:p>
      <w:pPr>
        <w:spacing w:after="0" w:line="12" w:lineRule="exact"/>
        <w:rPr>
          <w:sz w:val="20"/>
          <w:szCs w:val="20"/>
          <w:color w:val="auto"/>
        </w:rPr>
      </w:pPr>
    </w:p>
    <w:p>
      <w:pPr>
        <w:ind w:left="20" w:right="499"/>
        <w:spacing w:after="0" w:line="246" w:lineRule="auto"/>
        <w:rPr>
          <w:sz w:val="20"/>
          <w:szCs w:val="20"/>
          <w:color w:val="auto"/>
        </w:rPr>
      </w:pPr>
      <w:r>
        <w:rPr>
          <w:rFonts w:ascii="Arial" w:cs="Arial" w:eastAsia="Arial" w:hAnsi="Arial"/>
          <w:sz w:val="11"/>
          <w:szCs w:val="11"/>
          <w:color w:val="auto"/>
        </w:rPr>
        <w:t>Management is responsible for the preparation of consolidated financial statements and parent company financial statements that give a true and fair view in accordance with International Financial Reporting Standards as adopted by the EU and further requirements in the Danish Financial Statements Act, and for such internal control as Management determines is necessary to enable the preparation of financial statements that are free from material misstatement, whether due to fraud or error.</w:t>
      </w:r>
    </w:p>
    <w:p>
      <w:pPr>
        <w:spacing w:after="0" w:line="109" w:lineRule="exact"/>
        <w:rPr>
          <w:sz w:val="20"/>
          <w:szCs w:val="20"/>
          <w:color w:val="auto"/>
        </w:rPr>
      </w:pPr>
    </w:p>
    <w:p>
      <w:pPr>
        <w:ind w:left="20" w:right="679"/>
        <w:spacing w:after="0" w:line="271" w:lineRule="auto"/>
        <w:rPr>
          <w:sz w:val="20"/>
          <w:szCs w:val="20"/>
          <w:color w:val="auto"/>
        </w:rPr>
      </w:pPr>
      <w:r>
        <w:rPr>
          <w:rFonts w:ascii="Arial" w:cs="Arial" w:eastAsia="Arial" w:hAnsi="Arial"/>
          <w:sz w:val="11"/>
          <w:szCs w:val="11"/>
          <w:color w:val="auto"/>
        </w:rPr>
        <w:t>In preparing the Financial Statements, Management is responsible for assessing the Group’s and the Parent Company’s ability to continue as a going concern, disclosing, as applicable, matters related to going concern and using the going concern basis of accounting unless Management either intends to liquidate the Group or the Parent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152/158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5" w:name="page156"/>
    <w:bookmarkEnd w:id="155"/>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Company or to cease operations, or has no realistic alternative but to do so.</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Auditor’s responsibilities for the audit of the Financial Statements</w:t>
      </w:r>
    </w:p>
    <w:p>
      <w:pPr>
        <w:spacing w:after="0" w:line="12" w:lineRule="exact"/>
        <w:rPr>
          <w:sz w:val="20"/>
          <w:szCs w:val="20"/>
          <w:color w:val="auto"/>
        </w:rPr>
      </w:pPr>
    </w:p>
    <w:p>
      <w:pPr>
        <w:ind w:left="20" w:right="239"/>
        <w:spacing w:after="0" w:line="244" w:lineRule="auto"/>
        <w:rPr>
          <w:sz w:val="20"/>
          <w:szCs w:val="20"/>
          <w:color w:val="auto"/>
        </w:rPr>
      </w:pPr>
      <w:r>
        <w:rPr>
          <w:rFonts w:ascii="Arial" w:cs="Arial" w:eastAsia="Arial" w:hAnsi="Arial"/>
          <w:sz w:val="11"/>
          <w:szCs w:val="11"/>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and the additional requirements applicable in Denmark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10" w:lineRule="exact"/>
        <w:rPr>
          <w:sz w:val="20"/>
          <w:szCs w:val="20"/>
          <w:color w:val="auto"/>
        </w:rPr>
      </w:pPr>
    </w:p>
    <w:p>
      <w:pPr>
        <w:ind w:left="20" w:right="659"/>
        <w:spacing w:after="0" w:line="271" w:lineRule="auto"/>
        <w:rPr>
          <w:sz w:val="20"/>
          <w:szCs w:val="20"/>
          <w:color w:val="auto"/>
        </w:rPr>
      </w:pPr>
      <w:r>
        <w:rPr>
          <w:rFonts w:ascii="Arial" w:cs="Arial" w:eastAsia="Arial" w:hAnsi="Arial"/>
          <w:sz w:val="11"/>
          <w:szCs w:val="11"/>
          <w:color w:val="auto"/>
        </w:rPr>
        <w:t>As part of an audit in accordance with ISAs and the additional requirements applicable in Denmark, we exercise professional judgement and maintain professional skepticism throughout the audit. We also:</w:t>
      </w:r>
    </w:p>
    <w:p>
      <w:pPr>
        <w:spacing w:after="0" w:line="95" w:lineRule="exact"/>
        <w:rPr>
          <w:sz w:val="20"/>
          <w:szCs w:val="20"/>
          <w:color w:val="auto"/>
        </w:rPr>
      </w:pPr>
    </w:p>
    <w:p>
      <w:pPr>
        <w:ind w:left="240" w:right="139" w:hanging="218"/>
        <w:spacing w:after="0" w:line="255" w:lineRule="auto"/>
        <w:tabs>
          <w:tab w:leader="none" w:pos="240" w:val="left"/>
        </w:tabs>
        <w:numPr>
          <w:ilvl w:val="0"/>
          <w:numId w:val="95"/>
        </w:numPr>
        <w:rPr>
          <w:rFonts w:ascii="Times New Roman" w:cs="Times New Roman" w:eastAsia="Times New Roman" w:hAnsi="Times New Roman"/>
          <w:sz w:val="11"/>
          <w:szCs w:val="11"/>
          <w:color w:val="auto"/>
        </w:rPr>
      </w:pPr>
      <w:r>
        <w:rPr>
          <w:rFonts w:ascii="Arial" w:cs="Arial" w:eastAsia="Arial" w:hAnsi="Arial"/>
          <w:sz w:val="11"/>
          <w:szCs w:val="11"/>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49" w:lineRule="exact"/>
        <w:rPr>
          <w:rFonts w:ascii="Times New Roman" w:cs="Times New Roman" w:eastAsia="Times New Roman" w:hAnsi="Times New Roman"/>
          <w:sz w:val="11"/>
          <w:szCs w:val="11"/>
          <w:color w:val="auto"/>
        </w:rPr>
      </w:pPr>
    </w:p>
    <w:p>
      <w:pPr>
        <w:ind w:left="240" w:right="199" w:hanging="218"/>
        <w:spacing w:after="0" w:line="270" w:lineRule="auto"/>
        <w:tabs>
          <w:tab w:leader="none" w:pos="240" w:val="left"/>
        </w:tabs>
        <w:numPr>
          <w:ilvl w:val="0"/>
          <w:numId w:val="95"/>
        </w:numPr>
        <w:rPr>
          <w:rFonts w:ascii="Times New Roman" w:cs="Times New Roman" w:eastAsia="Times New Roman" w:hAnsi="Times New Roman"/>
          <w:sz w:val="11"/>
          <w:szCs w:val="11"/>
          <w:color w:val="auto"/>
        </w:rPr>
      </w:pPr>
      <w:r>
        <w:rPr>
          <w:rFonts w:ascii="Arial" w:cs="Arial" w:eastAsia="Arial" w:hAnsi="Arial"/>
          <w:sz w:val="11"/>
          <w:szCs w:val="11"/>
          <w:color w:val="auto"/>
        </w:rPr>
        <w:t>Obtain an understanding of internal control relevant to the audit in order to design audit procedures that are appropriate in the circumstances, but not for the purpose of expressing an opinion on the effectiveness of the Group’s and the Parent Company’s internal control.</w:t>
      </w:r>
    </w:p>
    <w:p>
      <w:pPr>
        <w:spacing w:after="0" w:line="4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5"/>
        </w:numPr>
        <w:rPr>
          <w:rFonts w:ascii="Times New Roman" w:cs="Times New Roman" w:eastAsia="Times New Roman" w:hAnsi="Times New Roman"/>
          <w:sz w:val="11"/>
          <w:szCs w:val="11"/>
          <w:color w:val="auto"/>
        </w:rPr>
      </w:pPr>
      <w:r>
        <w:rPr>
          <w:rFonts w:ascii="Arial" w:cs="Arial" w:eastAsia="Arial" w:hAnsi="Arial"/>
          <w:sz w:val="11"/>
          <w:szCs w:val="11"/>
          <w:color w:val="auto"/>
        </w:rPr>
        <w:t>Evaluate the appropriateness of accounting policies used and the reasonableness of accounting estimates and related disclosures made by Management.</w:t>
      </w:r>
    </w:p>
    <w:p>
      <w:pPr>
        <w:spacing w:after="0" w:line="81" w:lineRule="exact"/>
        <w:rPr>
          <w:rFonts w:ascii="Times New Roman" w:cs="Times New Roman" w:eastAsia="Times New Roman" w:hAnsi="Times New Roman"/>
          <w:sz w:val="11"/>
          <w:szCs w:val="11"/>
          <w:color w:val="auto"/>
        </w:rPr>
      </w:pPr>
    </w:p>
    <w:p>
      <w:pPr>
        <w:ind w:left="240" w:right="139" w:hanging="218"/>
        <w:spacing w:after="0" w:line="248" w:lineRule="auto"/>
        <w:tabs>
          <w:tab w:leader="none" w:pos="240" w:val="left"/>
        </w:tabs>
        <w:numPr>
          <w:ilvl w:val="0"/>
          <w:numId w:val="95"/>
        </w:numPr>
        <w:rPr>
          <w:rFonts w:ascii="Times New Roman" w:cs="Times New Roman" w:eastAsia="Times New Roman" w:hAnsi="Times New Roman"/>
          <w:sz w:val="11"/>
          <w:szCs w:val="11"/>
          <w:color w:val="auto"/>
        </w:rPr>
      </w:pPr>
      <w:r>
        <w:rPr>
          <w:rFonts w:ascii="Arial" w:cs="Arial" w:eastAsia="Arial" w:hAnsi="Arial"/>
          <w:sz w:val="11"/>
          <w:szCs w:val="11"/>
          <w:color w:val="auto"/>
        </w:rPr>
        <w:t>Conclude on the appropriateness of Management’s use of the going concern basis of accounting and based on the audit evidence obtained, whether a material uncertainty exists related to events or conditions that may cast significant doubt on the Group’s and the Parent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Group or the Parent Company to cease to continue as a going concern.</w:t>
      </w:r>
    </w:p>
    <w:p>
      <w:pPr>
        <w:spacing w:after="0" w:line="53" w:lineRule="exact"/>
        <w:rPr>
          <w:rFonts w:ascii="Times New Roman" w:cs="Times New Roman" w:eastAsia="Times New Roman" w:hAnsi="Times New Roman"/>
          <w:sz w:val="11"/>
          <w:szCs w:val="11"/>
          <w:color w:val="auto"/>
        </w:rPr>
      </w:pPr>
    </w:p>
    <w:p>
      <w:pPr>
        <w:ind w:left="240" w:right="439" w:hanging="218"/>
        <w:spacing w:after="0" w:line="270" w:lineRule="auto"/>
        <w:tabs>
          <w:tab w:leader="none" w:pos="240" w:val="left"/>
        </w:tabs>
        <w:numPr>
          <w:ilvl w:val="0"/>
          <w:numId w:val="95"/>
        </w:numPr>
        <w:rPr>
          <w:rFonts w:ascii="Times New Roman" w:cs="Times New Roman" w:eastAsia="Times New Roman" w:hAnsi="Times New Roman"/>
          <w:sz w:val="11"/>
          <w:szCs w:val="11"/>
          <w:color w:val="auto"/>
        </w:rPr>
      </w:pPr>
      <w:r>
        <w:rPr>
          <w:rFonts w:ascii="Arial" w:cs="Arial" w:eastAsia="Arial" w:hAnsi="Arial"/>
          <w:sz w:val="11"/>
          <w:szCs w:val="11"/>
          <w:color w:val="auto"/>
        </w:rPr>
        <w:t>Evaluate the overall presentation, structure and content of the Financial Statements, including the disclosures, and whether the Financial Statements represent the underlying transactions and events in a manner that gives a true and fair view.</w:t>
      </w:r>
    </w:p>
    <w:p>
      <w:pPr>
        <w:spacing w:after="0" w:line="41" w:lineRule="exact"/>
        <w:rPr>
          <w:rFonts w:ascii="Times New Roman" w:cs="Times New Roman" w:eastAsia="Times New Roman" w:hAnsi="Times New Roman"/>
          <w:sz w:val="11"/>
          <w:szCs w:val="11"/>
          <w:color w:val="auto"/>
        </w:rPr>
      </w:pPr>
    </w:p>
    <w:p>
      <w:pPr>
        <w:ind w:left="240" w:right="419" w:hanging="218"/>
        <w:spacing w:after="0" w:line="321" w:lineRule="auto"/>
        <w:tabs>
          <w:tab w:leader="none" w:pos="240" w:val="left"/>
        </w:tabs>
        <w:numPr>
          <w:ilvl w:val="0"/>
          <w:numId w:val="95"/>
        </w:numPr>
        <w:rPr>
          <w:rFonts w:ascii="Times New Roman" w:cs="Times New Roman" w:eastAsia="Times New Roman" w:hAnsi="Times New Roman"/>
          <w:sz w:val="10"/>
          <w:szCs w:val="10"/>
          <w:color w:val="auto"/>
        </w:rPr>
      </w:pPr>
      <w:r>
        <w:rPr>
          <w:rFonts w:ascii="Arial" w:cs="Arial" w:eastAsia="Arial" w:hAnsi="Arial"/>
          <w:sz w:val="10"/>
          <w:szCs w:val="10"/>
          <w:color w:val="auto"/>
        </w:rPr>
        <w:t>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72" w:lineRule="exact"/>
        <w:rPr>
          <w:sz w:val="20"/>
          <w:szCs w:val="20"/>
          <w:color w:val="auto"/>
        </w:rPr>
      </w:pPr>
    </w:p>
    <w:p>
      <w:pPr>
        <w:ind w:left="20" w:right="179"/>
        <w:spacing w:after="0" w:line="271" w:lineRule="auto"/>
        <w:rPr>
          <w:sz w:val="20"/>
          <w:szCs w:val="20"/>
          <w:color w:val="auto"/>
        </w:rPr>
      </w:pPr>
      <w:r>
        <w:rPr>
          <w:rFonts w:ascii="Arial" w:cs="Arial" w:eastAsia="Arial" w:hAnsi="Arial"/>
          <w:sz w:val="11"/>
          <w:szCs w:val="11"/>
          <w:color w:val="auto"/>
        </w:rPr>
        <w:t>We communicate with those charged with governance regarding, among other matters, the planned scope and timing of the audit and significant audit findings, including any significant deficiencies in internal control that we identify during our audit.</w:t>
      </w:r>
    </w:p>
    <w:p>
      <w:pPr>
        <w:spacing w:after="0" w:line="95" w:lineRule="exact"/>
        <w:rPr>
          <w:sz w:val="20"/>
          <w:szCs w:val="20"/>
          <w:color w:val="auto"/>
        </w:rPr>
      </w:pPr>
    </w:p>
    <w:p>
      <w:pPr>
        <w:ind w:left="20" w:right="219"/>
        <w:spacing w:after="0" w:line="271" w:lineRule="auto"/>
        <w:rPr>
          <w:sz w:val="20"/>
          <w:szCs w:val="20"/>
          <w:color w:val="auto"/>
        </w:rPr>
      </w:pPr>
      <w:r>
        <w:rPr>
          <w:rFonts w:ascii="Arial" w:cs="Arial" w:eastAsia="Arial" w:hAnsi="Arial"/>
          <w:sz w:val="11"/>
          <w:szCs w:val="11"/>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w:t>
      </w:r>
    </w:p>
    <w:p>
      <w:pPr>
        <w:spacing w:after="0" w:line="95" w:lineRule="exact"/>
        <w:rPr>
          <w:sz w:val="20"/>
          <w:szCs w:val="20"/>
          <w:color w:val="auto"/>
        </w:rPr>
      </w:pPr>
    </w:p>
    <w:p>
      <w:pPr>
        <w:ind w:left="20" w:right="219"/>
        <w:spacing w:after="0" w:line="271" w:lineRule="auto"/>
        <w:rPr>
          <w:sz w:val="20"/>
          <w:szCs w:val="20"/>
          <w:color w:val="auto"/>
        </w:rPr>
      </w:pPr>
      <w:r>
        <w:rPr>
          <w:rFonts w:ascii="Arial" w:cs="Arial" w:eastAsia="Arial" w:hAnsi="Arial"/>
          <w:sz w:val="11"/>
          <w:szCs w:val="11"/>
          <w:color w:val="auto"/>
        </w:rPr>
        <w:t>From the matters communicated with those charged with governance,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Report on compliance with the ESEF Regulation</w:t>
      </w:r>
    </w:p>
    <w:p>
      <w:pPr>
        <w:spacing w:after="0" w:line="128" w:lineRule="exact"/>
        <w:rPr>
          <w:sz w:val="20"/>
          <w:szCs w:val="20"/>
          <w:color w:val="auto"/>
        </w:rPr>
      </w:pPr>
    </w:p>
    <w:p>
      <w:pPr>
        <w:ind w:left="20" w:right="559"/>
        <w:spacing w:after="0" w:line="271" w:lineRule="auto"/>
        <w:rPr>
          <w:sz w:val="20"/>
          <w:szCs w:val="20"/>
          <w:color w:val="auto"/>
        </w:rPr>
      </w:pPr>
      <w:r>
        <w:rPr>
          <w:rFonts w:ascii="Arial" w:cs="Arial" w:eastAsia="Arial" w:hAnsi="Arial"/>
          <w:sz w:val="11"/>
          <w:szCs w:val="11"/>
          <w:color w:val="auto"/>
        </w:rPr>
        <w:t>As part of our audit of the Financial Statements we performed procedures to express an opinion on whether the annual report of Genmab A/S for the financial year January 1 to December 31, 2022 with the file name</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153/158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6" w:name="page157"/>
    <w:bookmarkEnd w:id="156"/>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right="279"/>
        <w:spacing w:after="0" w:line="255" w:lineRule="auto"/>
        <w:rPr>
          <w:sz w:val="20"/>
          <w:szCs w:val="20"/>
          <w:color w:val="auto"/>
        </w:rPr>
      </w:pPr>
      <w:r>
        <w:rPr>
          <w:rFonts w:ascii="Arial" w:cs="Arial" w:eastAsia="Arial" w:hAnsi="Arial"/>
          <w:sz w:val="11"/>
          <w:szCs w:val="11"/>
          <w:color w:val="auto"/>
        </w:rPr>
        <w:t>529900MTJPDPE4MHJ122-2022-12-31-en.zip is prepared, in all material respects, in compliance with the Commission Delegated Regulation (EU) 2019/815 on the European Single Electronic Format (ESEF Regulation) which includes requirements related to the preparation of the annual report in XHTML format and iXBRL tagging of the Consolidated Financial Statements including notes.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Management is responsible for preparing an annual report that complies with the ESEF Regulation. This responsibility includes:</w:t>
      </w:r>
    </w:p>
    <w:p>
      <w:pPr>
        <w:spacing w:after="0" w:line="127" w:lineRule="exact"/>
        <w:rPr>
          <w:sz w:val="20"/>
          <w:szCs w:val="20"/>
          <w:color w:val="auto"/>
        </w:rPr>
      </w:pPr>
    </w:p>
    <w:p>
      <w:pPr>
        <w:ind w:left="240" w:hanging="218"/>
        <w:spacing w:after="0"/>
        <w:tabs>
          <w:tab w:leader="none" w:pos="240" w:val="left"/>
        </w:tabs>
        <w:numPr>
          <w:ilvl w:val="0"/>
          <w:numId w:val="96"/>
        </w:numPr>
        <w:rPr>
          <w:rFonts w:ascii="Times New Roman" w:cs="Times New Roman" w:eastAsia="Times New Roman" w:hAnsi="Times New Roman"/>
          <w:sz w:val="11"/>
          <w:szCs w:val="11"/>
          <w:color w:val="auto"/>
        </w:rPr>
      </w:pPr>
      <w:r>
        <w:rPr>
          <w:rFonts w:ascii="Arial" w:cs="Arial" w:eastAsia="Arial" w:hAnsi="Arial"/>
          <w:sz w:val="11"/>
          <w:szCs w:val="11"/>
          <w:color w:val="auto"/>
        </w:rPr>
        <w:t>The preparing of the annual report in XHTML format;</w:t>
      </w:r>
    </w:p>
    <w:p>
      <w:pPr>
        <w:spacing w:after="0" w:line="81" w:lineRule="exact"/>
        <w:rPr>
          <w:rFonts w:ascii="Times New Roman" w:cs="Times New Roman" w:eastAsia="Times New Roman" w:hAnsi="Times New Roman"/>
          <w:sz w:val="11"/>
          <w:szCs w:val="11"/>
          <w:color w:val="auto"/>
        </w:rPr>
      </w:pPr>
    </w:p>
    <w:p>
      <w:pPr>
        <w:ind w:left="240" w:right="519" w:hanging="218"/>
        <w:spacing w:after="0" w:line="270" w:lineRule="auto"/>
        <w:tabs>
          <w:tab w:leader="none" w:pos="240" w:val="left"/>
        </w:tabs>
        <w:numPr>
          <w:ilvl w:val="0"/>
          <w:numId w:val="96"/>
        </w:numPr>
        <w:rPr>
          <w:rFonts w:ascii="Times New Roman" w:cs="Times New Roman" w:eastAsia="Times New Roman" w:hAnsi="Times New Roman"/>
          <w:sz w:val="11"/>
          <w:szCs w:val="11"/>
          <w:color w:val="auto"/>
        </w:rPr>
      </w:pPr>
      <w:r>
        <w:rPr>
          <w:rFonts w:ascii="Arial" w:cs="Arial" w:eastAsia="Arial" w:hAnsi="Arial"/>
          <w:sz w:val="11"/>
          <w:szCs w:val="11"/>
          <w:color w:val="auto"/>
        </w:rPr>
        <w:t>The selection and application of appropriate iXBRL tags, including extensions to the ESEF taxonomy and the anchoring thereof to elements in the taxonomy, for all financial information required to be tagged using judgement where necessary;</w:t>
      </w:r>
    </w:p>
    <w:p>
      <w:pPr>
        <w:spacing w:after="0" w:line="4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6"/>
        </w:numPr>
        <w:rPr>
          <w:rFonts w:ascii="Times New Roman" w:cs="Times New Roman" w:eastAsia="Times New Roman" w:hAnsi="Times New Roman"/>
          <w:sz w:val="11"/>
          <w:szCs w:val="11"/>
          <w:color w:val="auto"/>
        </w:rPr>
      </w:pPr>
      <w:r>
        <w:rPr>
          <w:rFonts w:ascii="Arial" w:cs="Arial" w:eastAsia="Arial" w:hAnsi="Arial"/>
          <w:sz w:val="11"/>
          <w:szCs w:val="11"/>
          <w:color w:val="auto"/>
        </w:rPr>
        <w:t>Ensuring consistency between iXBRL tagged data and the Consolidated Financial Statements presented in human-readable format; and</w:t>
      </w:r>
    </w:p>
    <w:p>
      <w:pPr>
        <w:spacing w:after="0" w:line="8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6"/>
        </w:numPr>
        <w:rPr>
          <w:rFonts w:ascii="Times New Roman" w:cs="Times New Roman" w:eastAsia="Times New Roman" w:hAnsi="Times New Roman"/>
          <w:sz w:val="11"/>
          <w:szCs w:val="11"/>
          <w:color w:val="auto"/>
        </w:rPr>
      </w:pPr>
      <w:r>
        <w:rPr>
          <w:rFonts w:ascii="Arial" w:cs="Arial" w:eastAsia="Arial" w:hAnsi="Arial"/>
          <w:sz w:val="11"/>
          <w:szCs w:val="11"/>
          <w:color w:val="auto"/>
        </w:rPr>
        <w:t>For such internal control as Management determines necessary to enable the preparation of an annual report that is compliant with the ESEF Regulation.</w:t>
      </w:r>
    </w:p>
    <w:p>
      <w:pPr>
        <w:spacing w:after="0" w:line="136" w:lineRule="exact"/>
        <w:rPr>
          <w:sz w:val="20"/>
          <w:szCs w:val="20"/>
          <w:color w:val="auto"/>
        </w:rPr>
      </w:pPr>
    </w:p>
    <w:p>
      <w:pPr>
        <w:ind w:left="20" w:right="159"/>
        <w:spacing w:after="0" w:line="255" w:lineRule="auto"/>
        <w:rPr>
          <w:sz w:val="20"/>
          <w:szCs w:val="20"/>
          <w:color w:val="auto"/>
        </w:rPr>
      </w:pPr>
      <w:r>
        <w:rPr>
          <w:rFonts w:ascii="Arial" w:cs="Arial" w:eastAsia="Arial" w:hAnsi="Arial"/>
          <w:sz w:val="11"/>
          <w:szCs w:val="11"/>
          <w:color w:val="auto"/>
        </w:rPr>
        <w:t>Our responsibility is to obtain reasonable assurance on whether the annual report is prepared, in all material respects, in compliance with the ESEF Regulation based on the evidence we have obtained, and to issue a report that includes our opinion. The nature, timing and extent of procedures selected depend on the auditor’s judgement, including the assessment of the risks of material departures from the requirements set out in the ESEF Regulation, whether due to fraud or error. The procedures include:</w:t>
      </w:r>
    </w:p>
    <w:p>
      <w:pPr>
        <w:spacing w:after="0" w:line="104" w:lineRule="exact"/>
        <w:rPr>
          <w:sz w:val="20"/>
          <w:szCs w:val="20"/>
          <w:color w:val="auto"/>
        </w:rPr>
      </w:pPr>
    </w:p>
    <w:p>
      <w:pPr>
        <w:ind w:left="240" w:hanging="218"/>
        <w:spacing w:after="0"/>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Testing whether the annual report is prepared in XHTML format;</w:t>
      </w:r>
    </w:p>
    <w:p>
      <w:pPr>
        <w:spacing w:after="0" w:line="8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Obtaining an understanding of the company’s iXBRL tagging process and of internal control over the tagging process;</w:t>
      </w:r>
    </w:p>
    <w:p>
      <w:pPr>
        <w:spacing w:after="0" w:line="8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Evaluating the completeness of the iXBRL tagging of the Consolidated Financial Statements including notes;</w:t>
      </w:r>
    </w:p>
    <w:p>
      <w:pPr>
        <w:spacing w:after="0" w:line="81" w:lineRule="exact"/>
        <w:rPr>
          <w:rFonts w:ascii="Times New Roman" w:cs="Times New Roman" w:eastAsia="Times New Roman" w:hAnsi="Times New Roman"/>
          <w:sz w:val="11"/>
          <w:szCs w:val="11"/>
          <w:color w:val="auto"/>
        </w:rPr>
      </w:pPr>
    </w:p>
    <w:p>
      <w:pPr>
        <w:ind w:left="240" w:right="299" w:hanging="218"/>
        <w:spacing w:after="0" w:line="270" w:lineRule="auto"/>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Evaluating the appropriateness of the company’s use of iXBRL elements selected from the ESEF taxonomy and the creation of extension elements where no suitable element in the ESEF taxonomy has been identified;</w:t>
      </w:r>
    </w:p>
    <w:p>
      <w:pPr>
        <w:spacing w:after="0" w:line="4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Evaluating the use of anchoring of extension elements to elements in the ESEF taxonomy; and</w:t>
      </w:r>
    </w:p>
    <w:p>
      <w:pPr>
        <w:spacing w:after="0" w:line="81" w:lineRule="exact"/>
        <w:rPr>
          <w:rFonts w:ascii="Times New Roman" w:cs="Times New Roman" w:eastAsia="Times New Roman" w:hAnsi="Times New Roman"/>
          <w:sz w:val="11"/>
          <w:szCs w:val="11"/>
          <w:color w:val="auto"/>
        </w:rPr>
      </w:pPr>
    </w:p>
    <w:p>
      <w:pPr>
        <w:ind w:left="240" w:hanging="218"/>
        <w:spacing w:after="0"/>
        <w:tabs>
          <w:tab w:leader="none" w:pos="240" w:val="left"/>
        </w:tabs>
        <w:numPr>
          <w:ilvl w:val="0"/>
          <w:numId w:val="97"/>
        </w:numPr>
        <w:rPr>
          <w:rFonts w:ascii="Times New Roman" w:cs="Times New Roman" w:eastAsia="Times New Roman" w:hAnsi="Times New Roman"/>
          <w:sz w:val="11"/>
          <w:szCs w:val="11"/>
          <w:color w:val="auto"/>
        </w:rPr>
      </w:pPr>
      <w:r>
        <w:rPr>
          <w:rFonts w:ascii="Arial" w:cs="Arial" w:eastAsia="Arial" w:hAnsi="Arial"/>
          <w:sz w:val="11"/>
          <w:szCs w:val="11"/>
          <w:color w:val="auto"/>
        </w:rPr>
        <w:t>Reconciling the iXBRL tagged data with the audited Consolidated Financial Statements.</w:t>
      </w:r>
    </w:p>
    <w:p>
      <w:pPr>
        <w:spacing w:after="0" w:line="136" w:lineRule="exact"/>
        <w:rPr>
          <w:sz w:val="20"/>
          <w:szCs w:val="20"/>
          <w:color w:val="auto"/>
        </w:rPr>
      </w:pPr>
    </w:p>
    <w:p>
      <w:pPr>
        <w:ind w:left="20" w:right="179"/>
        <w:spacing w:after="0" w:line="271" w:lineRule="auto"/>
        <w:rPr>
          <w:sz w:val="20"/>
          <w:szCs w:val="20"/>
          <w:color w:val="auto"/>
        </w:rPr>
      </w:pPr>
      <w:r>
        <w:rPr>
          <w:rFonts w:ascii="Arial" w:cs="Arial" w:eastAsia="Arial" w:hAnsi="Arial"/>
          <w:sz w:val="11"/>
          <w:szCs w:val="11"/>
          <w:color w:val="auto"/>
        </w:rPr>
        <w:t>In our opinion, the annual report of Genmab A/S for the financial year January 1 to December 31, 2022 with the file name 529900MTJPDPE4MHJ122-2022-12-31-en.zip is prepared, in all material respects, in compliance with the ESEF Regulation.</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Hellerup, February 22, 2023</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PricewaterhouseCoopers</w:t>
      </w:r>
    </w:p>
    <w:p>
      <w:pPr>
        <w:ind w:left="20"/>
        <w:spacing w:after="0"/>
        <w:rPr>
          <w:sz w:val="20"/>
          <w:szCs w:val="20"/>
          <w:color w:val="auto"/>
        </w:rPr>
      </w:pPr>
      <w:r>
        <w:rPr>
          <w:rFonts w:ascii="Arial" w:cs="Arial" w:eastAsia="Arial" w:hAnsi="Arial"/>
          <w:sz w:val="11"/>
          <w:szCs w:val="11"/>
          <w:color w:val="auto"/>
        </w:rPr>
        <w:t>Statsautoriseret Revisionspartnerselskab</w:t>
      </w:r>
    </w:p>
    <w:p>
      <w:pPr>
        <w:ind w:left="20"/>
        <w:spacing w:after="0"/>
        <w:rPr>
          <w:sz w:val="20"/>
          <w:szCs w:val="20"/>
          <w:color w:val="auto"/>
        </w:rPr>
      </w:pPr>
      <w:r>
        <w:rPr>
          <w:rFonts w:ascii="Arial" w:cs="Arial" w:eastAsia="Arial" w:hAnsi="Arial"/>
          <w:sz w:val="11"/>
          <w:szCs w:val="11"/>
          <w:color w:val="auto"/>
        </w:rPr>
        <w:t>CVR no 3377 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85725</wp:posOffset>
            </wp:positionV>
            <wp:extent cx="615950" cy="339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950" cy="33972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120015</wp:posOffset>
            </wp:positionV>
            <wp:extent cx="1007110" cy="270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07110"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460" w:type="dxa"/>
            <w:vAlign w:val="bottom"/>
          </w:tcPr>
          <w:p>
            <w:pPr>
              <w:ind w:left="60"/>
              <w:spacing w:after="0"/>
              <w:rPr>
                <w:sz w:val="20"/>
                <w:szCs w:val="20"/>
                <w:color w:val="auto"/>
              </w:rPr>
            </w:pPr>
            <w:r>
              <w:rPr>
                <w:rFonts w:ascii="Arial" w:cs="Arial" w:eastAsia="Arial" w:hAnsi="Arial"/>
                <w:sz w:val="11"/>
                <w:szCs w:val="11"/>
                <w:color w:val="auto"/>
              </w:rPr>
              <w:t>Torben Jensen</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00" w:type="dxa"/>
            <w:vAlign w:val="bottom"/>
          </w:tcPr>
          <w:p>
            <w:pPr>
              <w:ind w:left="280"/>
              <w:spacing w:after="0"/>
              <w:rPr>
                <w:sz w:val="20"/>
                <w:szCs w:val="20"/>
                <w:color w:val="auto"/>
              </w:rPr>
            </w:pPr>
            <w:r>
              <w:rPr>
                <w:rFonts w:ascii="Arial" w:cs="Arial" w:eastAsia="Arial" w:hAnsi="Arial"/>
                <w:sz w:val="11"/>
                <w:szCs w:val="11"/>
                <w:color w:val="auto"/>
              </w:rPr>
              <w:t>Henrik Trangeled Kristensen</w:t>
            </w:r>
          </w:p>
        </w:tc>
      </w:tr>
      <w:tr>
        <w:trPr>
          <w:trHeight w:val="127"/>
        </w:trPr>
        <w:tc>
          <w:tcPr>
            <w:tcW w:w="2460" w:type="dxa"/>
            <w:vAlign w:val="bottom"/>
          </w:tcPr>
          <w:p>
            <w:pPr>
              <w:ind w:left="60"/>
              <w:spacing w:after="0"/>
              <w:rPr>
                <w:sz w:val="20"/>
                <w:szCs w:val="20"/>
                <w:color w:val="auto"/>
              </w:rPr>
            </w:pPr>
            <w:r>
              <w:rPr>
                <w:rFonts w:ascii="Arial" w:cs="Arial" w:eastAsia="Arial" w:hAnsi="Arial"/>
                <w:sz w:val="11"/>
                <w:szCs w:val="11"/>
                <w:color w:val="auto"/>
              </w:rPr>
              <w:t>State Authorised Public Accountant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00" w:type="dxa"/>
            <w:vAlign w:val="bottom"/>
          </w:tcPr>
          <w:p>
            <w:pPr>
              <w:ind w:left="280"/>
              <w:spacing w:after="0"/>
              <w:rPr>
                <w:sz w:val="20"/>
                <w:szCs w:val="20"/>
                <w:color w:val="auto"/>
              </w:rPr>
            </w:pPr>
            <w:r>
              <w:rPr>
                <w:rFonts w:ascii="Arial" w:cs="Arial" w:eastAsia="Arial" w:hAnsi="Arial"/>
                <w:sz w:val="11"/>
                <w:szCs w:val="11"/>
                <w:color w:val="auto"/>
              </w:rPr>
              <w:t>State Authorised Public Accountant</w:t>
            </w:r>
          </w:p>
        </w:tc>
      </w:tr>
      <w:tr>
        <w:trPr>
          <w:trHeight w:val="142"/>
        </w:trPr>
        <w:tc>
          <w:tcPr>
            <w:tcW w:w="2460" w:type="dxa"/>
            <w:vAlign w:val="bottom"/>
          </w:tcPr>
          <w:p>
            <w:pPr>
              <w:ind w:left="60"/>
              <w:spacing w:after="0"/>
              <w:rPr>
                <w:sz w:val="20"/>
                <w:szCs w:val="20"/>
                <w:color w:val="auto"/>
              </w:rPr>
            </w:pPr>
            <w:r>
              <w:rPr>
                <w:rFonts w:ascii="Arial" w:cs="Arial" w:eastAsia="Arial" w:hAnsi="Arial"/>
                <w:sz w:val="11"/>
                <w:szCs w:val="11"/>
                <w:color w:val="auto"/>
              </w:rPr>
              <w:t>mne18651</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00" w:type="dxa"/>
            <w:vAlign w:val="bottom"/>
          </w:tcPr>
          <w:p>
            <w:pPr>
              <w:ind w:left="280"/>
              <w:spacing w:after="0"/>
              <w:rPr>
                <w:sz w:val="20"/>
                <w:szCs w:val="20"/>
                <w:color w:val="auto"/>
              </w:rPr>
            </w:pPr>
            <w:r>
              <w:rPr>
                <w:rFonts w:ascii="Arial" w:cs="Arial" w:eastAsia="Arial" w:hAnsi="Arial"/>
                <w:sz w:val="11"/>
                <w:szCs w:val="11"/>
                <w:color w:val="auto"/>
              </w:rPr>
              <w:t>mne23333</w:t>
            </w:r>
          </w:p>
        </w:tc>
      </w:tr>
      <w:tr>
        <w:trPr>
          <w:trHeight w:val="587"/>
        </w:trPr>
        <w:tc>
          <w:tcPr>
            <w:tcW w:w="2460" w:type="dxa"/>
            <w:vAlign w:val="bottom"/>
          </w:tcPr>
          <w:p>
            <w:pPr>
              <w:spacing w:after="0"/>
              <w:rPr>
                <w:sz w:val="20"/>
                <w:szCs w:val="20"/>
                <w:color w:val="auto"/>
              </w:rPr>
            </w:pPr>
            <w:r>
              <w:rPr>
                <w:rFonts w:ascii="Arial" w:cs="Arial" w:eastAsia="Arial" w:hAnsi="Arial"/>
                <w:sz w:val="10"/>
                <w:szCs w:val="10"/>
                <w:color w:val="auto"/>
              </w:rPr>
              <w:t>Genmab A/S</w:t>
            </w:r>
          </w:p>
        </w:tc>
        <w:tc>
          <w:tcPr>
            <w:tcW w:w="1800" w:type="dxa"/>
            <w:vAlign w:val="bottom"/>
            <w:gridSpan w:val="3"/>
          </w:tcPr>
          <w:p>
            <w:pPr>
              <w:ind w:left="680"/>
              <w:spacing w:after="0"/>
              <w:rPr>
                <w:sz w:val="20"/>
                <w:szCs w:val="20"/>
                <w:color w:val="auto"/>
              </w:rPr>
            </w:pPr>
            <w:r>
              <w:rPr>
                <w:rFonts w:ascii="Arial" w:cs="Arial" w:eastAsia="Arial" w:hAnsi="Arial"/>
                <w:sz w:val="10"/>
                <w:szCs w:val="10"/>
                <w:color w:val="auto"/>
              </w:rPr>
              <w:t>Tel: +45 7020 2728</w:t>
            </w:r>
          </w:p>
        </w:tc>
        <w:tc>
          <w:tcPr>
            <w:tcW w:w="47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46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700" w:type="dxa"/>
            <w:vAlign w:val="bottom"/>
          </w:tcPr>
          <w:p>
            <w:pPr>
              <w:jc w:val="right"/>
              <w:spacing w:after="0" w:line="109" w:lineRule="exact"/>
              <w:rPr>
                <w:sz w:val="20"/>
                <w:szCs w:val="20"/>
                <w:color w:val="auto"/>
              </w:rPr>
            </w:pPr>
            <w:r>
              <w:rPr>
                <w:rFonts w:ascii="Arial" w:cs="Arial" w:eastAsia="Arial" w:hAnsi="Arial"/>
                <w:sz w:val="10"/>
                <w:szCs w:val="10"/>
                <w:color w:val="auto"/>
              </w:rPr>
              <w:t>Page 154/158</w:t>
            </w:r>
          </w:p>
        </w:tc>
      </w:tr>
      <w:tr>
        <w:trPr>
          <w:trHeight w:val="105"/>
        </w:trPr>
        <w:tc>
          <w:tcPr>
            <w:tcW w:w="246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800" w:type="dxa"/>
            <w:vAlign w:val="bottom"/>
            <w:gridSpan w:val="3"/>
          </w:tcPr>
          <w:p>
            <w:pPr>
              <w:ind w:left="680"/>
              <w:spacing w:after="0" w:line="105" w:lineRule="exact"/>
              <w:rPr>
                <w:sz w:val="20"/>
                <w:szCs w:val="20"/>
                <w:color w:val="auto"/>
              </w:rPr>
            </w:pPr>
            <w:r>
              <w:rPr>
                <w:rFonts w:ascii="Arial" w:cs="Arial" w:eastAsia="Arial" w:hAnsi="Arial"/>
                <w:sz w:val="10"/>
                <w:szCs w:val="10"/>
                <w:color w:val="0000FF"/>
              </w:rPr>
              <w:t>www.genmab.com</w:t>
            </w:r>
          </w:p>
        </w:tc>
        <w:tc>
          <w:tcPr>
            <w:tcW w:w="47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7" w:name="page158"/>
    <w:bookmarkEnd w:id="157"/>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Other Information</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5715</wp:posOffset>
            </wp:positionV>
            <wp:extent cx="57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5"/>
        </w:trPr>
        <w:tc>
          <w:tcPr>
            <w:tcW w:w="3000" w:type="dxa"/>
            <w:vAlign w:val="bottom"/>
            <w:tcBorders>
              <w:top w:val="single" w:sz="8" w:color="666666"/>
            </w:tcBorders>
          </w:tcPr>
          <w:p>
            <w:pPr>
              <w:ind w:left="160"/>
              <w:spacing w:after="0"/>
              <w:rPr>
                <w:sz w:val="20"/>
                <w:szCs w:val="20"/>
                <w:color w:val="auto"/>
              </w:rPr>
            </w:pPr>
            <w:r>
              <w:rPr>
                <w:rFonts w:ascii="Arial" w:cs="Arial" w:eastAsia="Arial" w:hAnsi="Arial"/>
                <w:sz w:val="13"/>
                <w:szCs w:val="13"/>
                <w:b w:val="1"/>
                <w:bCs w:val="1"/>
                <w:color w:val="auto"/>
              </w:rPr>
              <w:t>American Depository Shares (ADSs)</w:t>
            </w:r>
          </w:p>
        </w:tc>
        <w:tc>
          <w:tcPr>
            <w:tcW w:w="140" w:type="dxa"/>
            <w:vAlign w:val="bottom"/>
            <w:tcBorders>
              <w:top w:val="single" w:sz="8" w:color="666666"/>
            </w:tcBorders>
          </w:tcPr>
          <w:p>
            <w:pPr>
              <w:spacing w:after="0"/>
              <w:rPr>
                <w:sz w:val="14"/>
                <w:szCs w:val="14"/>
                <w:color w:val="auto"/>
              </w:rPr>
            </w:pPr>
          </w:p>
        </w:tc>
        <w:tc>
          <w:tcPr>
            <w:tcW w:w="780" w:type="dxa"/>
            <w:vAlign w:val="bottom"/>
            <w:tcBorders>
              <w:top w:val="single" w:sz="8" w:color="666666"/>
            </w:tcBorders>
          </w:tcPr>
          <w:p>
            <w:pPr>
              <w:spacing w:after="0"/>
              <w:rPr>
                <w:sz w:val="14"/>
                <w:szCs w:val="14"/>
                <w:color w:val="auto"/>
              </w:rPr>
            </w:pPr>
          </w:p>
        </w:tc>
        <w:tc>
          <w:tcPr>
            <w:tcW w:w="580" w:type="dxa"/>
            <w:vAlign w:val="bottom"/>
            <w:tcBorders>
              <w:top w:val="single" w:sz="8" w:color="666666"/>
              <w:right w:val="single" w:sz="8" w:color="666666"/>
            </w:tcBorders>
          </w:tcPr>
          <w:p>
            <w:pPr>
              <w:spacing w:after="0"/>
              <w:rPr>
                <w:sz w:val="14"/>
                <w:szCs w:val="14"/>
                <w:color w:val="auto"/>
              </w:rPr>
            </w:pPr>
          </w:p>
        </w:tc>
        <w:tc>
          <w:tcPr>
            <w:tcW w:w="4460" w:type="dxa"/>
            <w:vAlign w:val="bottom"/>
            <w:tcBorders>
              <w:top w:val="single" w:sz="8" w:color="666666"/>
            </w:tcBorders>
          </w:tcPr>
          <w:p>
            <w:pPr>
              <w:ind w:left="140"/>
              <w:spacing w:after="0"/>
              <w:rPr>
                <w:sz w:val="20"/>
                <w:szCs w:val="20"/>
                <w:color w:val="auto"/>
              </w:rPr>
            </w:pPr>
            <w:r>
              <w:rPr>
                <w:rFonts w:ascii="Arial" w:cs="Arial" w:eastAsia="Arial" w:hAnsi="Arial"/>
                <w:sz w:val="13"/>
                <w:szCs w:val="13"/>
                <w:color w:val="auto"/>
              </w:rPr>
              <w:t>A U.S. dollar-denominated equity share of a foreign-based company</w:t>
            </w:r>
          </w:p>
        </w:tc>
      </w:tr>
      <w:tr>
        <w:trPr>
          <w:trHeight w:val="176"/>
        </w:trPr>
        <w:tc>
          <w:tcPr>
            <w:tcW w:w="300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available for purchase on an American stock exchange.</w:t>
            </w:r>
          </w:p>
        </w:tc>
      </w:tr>
      <w:tr>
        <w:trPr>
          <w:trHeight w:val="181"/>
        </w:trPr>
        <w:tc>
          <w:tcPr>
            <w:tcW w:w="3000" w:type="dxa"/>
            <w:vAlign w:val="bottom"/>
            <w:tcBorders>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Antibody-drug conjugate (ADC)</w:t>
            </w: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Antibody with potent cytotoxic agents (toxins) coupled to it.</w:t>
            </w:r>
          </w:p>
        </w:tc>
      </w:tr>
      <w:tr>
        <w:trPr>
          <w:trHeight w:val="179"/>
        </w:trPr>
        <w:tc>
          <w:tcPr>
            <w:tcW w:w="3000" w:type="dxa"/>
            <w:vAlign w:val="bottom"/>
            <w:tcBorders>
              <w:bottom w:val="single" w:sz="8" w:color="666666"/>
            </w:tcBorders>
          </w:tcPr>
          <w:p>
            <w:pPr>
              <w:ind w:left="160"/>
              <w:spacing w:after="0"/>
              <w:rPr>
                <w:sz w:val="20"/>
                <w:szCs w:val="20"/>
                <w:color w:val="auto"/>
              </w:rPr>
            </w:pPr>
            <w:r>
              <w:rPr>
                <w:rFonts w:ascii="Arial" w:cs="Arial" w:eastAsia="Arial" w:hAnsi="Arial"/>
                <w:sz w:val="13"/>
                <w:szCs w:val="13"/>
                <w:b w:val="1"/>
                <w:bCs w:val="1"/>
                <w:color w:val="auto"/>
              </w:rPr>
              <w:t>Antigen</w:t>
            </w: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Immunogen. A target molecule that is specifically bound by an antibody.</w:t>
            </w:r>
          </w:p>
        </w:tc>
      </w:tr>
      <w:tr>
        <w:trPr>
          <w:trHeight w:val="179"/>
        </w:trPr>
        <w:tc>
          <w:tcPr>
            <w:tcW w:w="3000" w:type="dxa"/>
            <w:vAlign w:val="bottom"/>
            <w:tcBorders>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Apoptosis</w:t>
            </w: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A form of programmed cell death.</w:t>
            </w:r>
          </w:p>
        </w:tc>
      </w:tr>
      <w:tr>
        <w:trPr>
          <w:trHeight w:val="147"/>
        </w:trPr>
        <w:tc>
          <w:tcPr>
            <w:tcW w:w="300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Biologics License Application (BLA)</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A submission to apply for marketing approval from the U.S. FDA, which</w:t>
            </w:r>
          </w:p>
        </w:tc>
      </w:tr>
      <w:tr>
        <w:trPr>
          <w:trHeight w:val="145"/>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contains specific information on the manufacturing processes,</w:t>
            </w:r>
          </w:p>
        </w:tc>
      </w:tr>
      <w:tr>
        <w:trPr>
          <w:trHeight w:val="145"/>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chemistry, pharmacology, clinical pharmacology and the medical effects</w:t>
            </w:r>
          </w:p>
        </w:tc>
      </w:tr>
      <w:tr>
        <w:trPr>
          <w:trHeight w:val="176"/>
        </w:trPr>
        <w:tc>
          <w:tcPr>
            <w:tcW w:w="300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of a biologic product.</w:t>
            </w:r>
          </w:p>
        </w:tc>
      </w:tr>
      <w:tr>
        <w:trPr>
          <w:trHeight w:val="149"/>
        </w:trPr>
        <w:tc>
          <w:tcPr>
            <w:tcW w:w="3000" w:type="dxa"/>
            <w:vAlign w:val="bottom"/>
            <w:shd w:val="clear" w:color="auto" w:fill="CCCCCC"/>
          </w:tcPr>
          <w:p>
            <w:pPr>
              <w:ind w:left="160"/>
              <w:spacing w:after="0"/>
              <w:rPr>
                <w:sz w:val="20"/>
                <w:szCs w:val="20"/>
                <w:color w:val="auto"/>
              </w:rPr>
            </w:pPr>
            <w:r>
              <w:rPr>
                <w:rFonts w:ascii="Arial" w:cs="Arial" w:eastAsia="Arial" w:hAnsi="Arial"/>
                <w:sz w:val="13"/>
                <w:szCs w:val="13"/>
                <w:b w:val="1"/>
                <w:bCs w:val="1"/>
                <w:color w:val="auto"/>
              </w:rPr>
              <w:t>Bispecific antibody</w:t>
            </w:r>
          </w:p>
        </w:tc>
        <w:tc>
          <w:tcPr>
            <w:tcW w:w="1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rPr>
                <w:sz w:val="20"/>
                <w:szCs w:val="20"/>
                <w:color w:val="auto"/>
              </w:rPr>
            </w:pPr>
            <w:r>
              <w:rPr>
                <w:rFonts w:ascii="Arial" w:cs="Arial" w:eastAsia="Arial" w:hAnsi="Arial"/>
                <w:sz w:val="13"/>
                <w:szCs w:val="13"/>
                <w:color w:val="auto"/>
              </w:rPr>
              <w:t>An antibody in which the two binding regions are not identical, with each</w:t>
            </w:r>
          </w:p>
        </w:tc>
      </w:tr>
      <w:tr>
        <w:trPr>
          <w:trHeight w:val="145"/>
        </w:trPr>
        <w:tc>
          <w:tcPr>
            <w:tcW w:w="30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5" w:lineRule="exact"/>
              <w:rPr>
                <w:sz w:val="20"/>
                <w:szCs w:val="20"/>
                <w:color w:val="auto"/>
              </w:rPr>
            </w:pPr>
            <w:r>
              <w:rPr>
                <w:rFonts w:ascii="Arial" w:cs="Arial" w:eastAsia="Arial" w:hAnsi="Arial"/>
                <w:sz w:val="13"/>
                <w:szCs w:val="13"/>
                <w:color w:val="auto"/>
              </w:rPr>
              <w:t>region directed against two different antigens or against two different</w:t>
            </w:r>
          </w:p>
        </w:tc>
      </w:tr>
      <w:tr>
        <w:trPr>
          <w:trHeight w:val="176"/>
        </w:trPr>
        <w:tc>
          <w:tcPr>
            <w:tcW w:w="3000" w:type="dxa"/>
            <w:vAlign w:val="bottom"/>
            <w:tcBorders>
              <w:bottom w:val="single" w:sz="8" w:color="666666"/>
            </w:tcBorders>
            <w:shd w:val="clear" w:color="auto" w:fill="CCCCCC"/>
          </w:tcPr>
          <w:p>
            <w:pPr>
              <w:spacing w:after="0"/>
              <w:rPr>
                <w:sz w:val="15"/>
                <w:szCs w:val="15"/>
                <w:color w:val="auto"/>
              </w:rPr>
            </w:pP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sites on the same antigen.</w:t>
            </w:r>
          </w:p>
        </w:tc>
      </w:tr>
      <w:tr>
        <w:trPr>
          <w:trHeight w:val="149"/>
        </w:trPr>
        <w:tc>
          <w:tcPr>
            <w:tcW w:w="4500" w:type="dxa"/>
            <w:vAlign w:val="bottom"/>
            <w:tcBorders>
              <w:right w:val="single" w:sz="8" w:color="666666"/>
            </w:tcBorders>
            <w:gridSpan w:val="4"/>
          </w:tcPr>
          <w:p>
            <w:pPr>
              <w:ind w:left="160"/>
              <w:spacing w:after="0"/>
              <w:rPr>
                <w:sz w:val="20"/>
                <w:szCs w:val="20"/>
                <w:color w:val="auto"/>
              </w:rPr>
            </w:pPr>
            <w:r>
              <w:rPr>
                <w:rFonts w:ascii="Arial" w:cs="Arial" w:eastAsia="Arial" w:hAnsi="Arial"/>
                <w:sz w:val="13"/>
                <w:szCs w:val="13"/>
                <w:b w:val="1"/>
                <w:bCs w:val="1"/>
                <w:color w:val="auto"/>
              </w:rPr>
              <w:t>Building Research Establishment Environmental Assessment</w:t>
            </w:r>
          </w:p>
        </w:tc>
        <w:tc>
          <w:tcPr>
            <w:tcW w:w="4460" w:type="dxa"/>
            <w:vAlign w:val="bottom"/>
          </w:tcPr>
          <w:p>
            <w:pPr>
              <w:ind w:left="140"/>
              <w:spacing w:after="0"/>
              <w:rPr>
                <w:sz w:val="20"/>
                <w:szCs w:val="20"/>
                <w:color w:val="auto"/>
              </w:rPr>
            </w:pPr>
            <w:r>
              <w:rPr>
                <w:rFonts w:ascii="Arial" w:cs="Arial" w:eastAsia="Arial" w:hAnsi="Arial"/>
                <w:sz w:val="13"/>
                <w:szCs w:val="13"/>
                <w:color w:val="auto"/>
              </w:rPr>
              <w:t>A sustainability assessment method for infrastructure and buildings.</w:t>
            </w:r>
          </w:p>
        </w:tc>
      </w:tr>
      <w:tr>
        <w:trPr>
          <w:trHeight w:val="178"/>
        </w:trPr>
        <w:tc>
          <w:tcPr>
            <w:tcW w:w="3000" w:type="dxa"/>
            <w:vAlign w:val="bottom"/>
            <w:tcBorders>
              <w:bottom w:val="single" w:sz="8" w:color="666666"/>
            </w:tcBorders>
          </w:tcPr>
          <w:p>
            <w:pPr>
              <w:ind w:left="160"/>
              <w:spacing w:after="0"/>
              <w:rPr>
                <w:sz w:val="20"/>
                <w:szCs w:val="20"/>
                <w:color w:val="auto"/>
              </w:rPr>
            </w:pPr>
            <w:r>
              <w:rPr>
                <w:rFonts w:ascii="Arial" w:cs="Arial" w:eastAsia="Arial" w:hAnsi="Arial"/>
                <w:sz w:val="13"/>
                <w:szCs w:val="13"/>
                <w:b w:val="1"/>
                <w:bCs w:val="1"/>
                <w:color w:val="auto"/>
              </w:rPr>
              <w:t>Method (BREEAM)</w:t>
            </w: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spacing w:after="0"/>
              <w:rPr>
                <w:sz w:val="15"/>
                <w:szCs w:val="15"/>
                <w:color w:val="auto"/>
              </w:rPr>
            </w:pPr>
          </w:p>
        </w:tc>
      </w:tr>
      <w:tr>
        <w:trPr>
          <w:trHeight w:val="147"/>
        </w:trPr>
        <w:tc>
          <w:tcPr>
            <w:tcW w:w="3000" w:type="dxa"/>
            <w:vAlign w:val="bottom"/>
            <w:shd w:val="clear" w:color="auto" w:fill="CCCCCC"/>
          </w:tcPr>
          <w:p>
            <w:pPr>
              <w:ind w:left="160"/>
              <w:spacing w:after="0" w:line="147" w:lineRule="exact"/>
              <w:rPr>
                <w:sz w:val="20"/>
                <w:szCs w:val="20"/>
                <w:color w:val="auto"/>
              </w:rPr>
            </w:pPr>
            <w:r>
              <w:rPr>
                <w:rFonts w:ascii="Arial" w:cs="Arial" w:eastAsia="Arial" w:hAnsi="Arial"/>
                <w:sz w:val="13"/>
                <w:szCs w:val="13"/>
                <w:b w:val="1"/>
                <w:bCs w:val="1"/>
                <w:color w:val="auto"/>
              </w:rPr>
              <w:t>Clinical</w:t>
            </w:r>
          </w:p>
        </w:tc>
        <w:tc>
          <w:tcPr>
            <w:tcW w:w="1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7" w:lineRule="exact"/>
              <w:rPr>
                <w:sz w:val="20"/>
                <w:szCs w:val="20"/>
                <w:color w:val="auto"/>
              </w:rPr>
            </w:pPr>
            <w:r>
              <w:rPr>
                <w:rFonts w:ascii="Arial" w:cs="Arial" w:eastAsia="Arial" w:hAnsi="Arial"/>
                <w:sz w:val="13"/>
                <w:szCs w:val="13"/>
                <w:color w:val="auto"/>
              </w:rPr>
              <w:t>Term used to refer to drugs that are at the stage of being investigated in</w:t>
            </w:r>
          </w:p>
        </w:tc>
      </w:tr>
      <w:tr>
        <w:trPr>
          <w:trHeight w:val="145"/>
        </w:trPr>
        <w:tc>
          <w:tcPr>
            <w:tcW w:w="30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5" w:lineRule="exact"/>
              <w:rPr>
                <w:sz w:val="20"/>
                <w:szCs w:val="20"/>
                <w:color w:val="auto"/>
              </w:rPr>
            </w:pPr>
            <w:r>
              <w:rPr>
                <w:rFonts w:ascii="Arial" w:cs="Arial" w:eastAsia="Arial" w:hAnsi="Arial"/>
                <w:sz w:val="13"/>
                <w:szCs w:val="13"/>
                <w:color w:val="auto"/>
              </w:rPr>
              <w:t>humans to determine the safety and efficacy of the drug before it can be</w:t>
            </w:r>
          </w:p>
        </w:tc>
      </w:tr>
      <w:tr>
        <w:trPr>
          <w:trHeight w:val="176"/>
        </w:trPr>
        <w:tc>
          <w:tcPr>
            <w:tcW w:w="3000" w:type="dxa"/>
            <w:vAlign w:val="bottom"/>
            <w:tcBorders>
              <w:bottom w:val="single" w:sz="8" w:color="666666"/>
            </w:tcBorders>
            <w:shd w:val="clear" w:color="auto" w:fill="CCCCCC"/>
          </w:tcPr>
          <w:p>
            <w:pPr>
              <w:spacing w:after="0"/>
              <w:rPr>
                <w:sz w:val="15"/>
                <w:szCs w:val="15"/>
                <w:color w:val="auto"/>
              </w:rPr>
            </w:pP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submitted for approval by regulatory authorities.</w:t>
            </w:r>
          </w:p>
        </w:tc>
      </w:tr>
      <w:tr>
        <w:trPr>
          <w:trHeight w:val="181"/>
        </w:trPr>
        <w:tc>
          <w:tcPr>
            <w:tcW w:w="3000" w:type="dxa"/>
            <w:vAlign w:val="bottom"/>
            <w:tcBorders>
              <w:bottom w:val="single" w:sz="8" w:color="666666"/>
            </w:tcBorders>
          </w:tcPr>
          <w:p>
            <w:pPr>
              <w:ind w:left="160"/>
              <w:spacing w:after="0"/>
              <w:rPr>
                <w:sz w:val="20"/>
                <w:szCs w:val="20"/>
                <w:color w:val="auto"/>
              </w:rPr>
            </w:pPr>
            <w:r>
              <w:rPr>
                <w:rFonts w:ascii="Arial" w:cs="Arial" w:eastAsia="Arial" w:hAnsi="Arial"/>
                <w:sz w:val="13"/>
                <w:szCs w:val="13"/>
                <w:b w:val="1"/>
                <w:bCs w:val="1"/>
                <w:color w:val="auto"/>
              </w:rPr>
              <w:t>Complement dependent cytotoxicity (CDC)</w:t>
            </w: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An antibody effector function that eliminates target cells.</w:t>
            </w:r>
          </w:p>
        </w:tc>
      </w:tr>
      <w:tr>
        <w:trPr>
          <w:trHeight w:val="147"/>
        </w:trPr>
        <w:tc>
          <w:tcPr>
            <w:tcW w:w="3000" w:type="dxa"/>
            <w:vAlign w:val="bottom"/>
            <w:shd w:val="clear" w:color="auto" w:fill="CCCCCC"/>
          </w:tcPr>
          <w:p>
            <w:pPr>
              <w:ind w:left="160"/>
              <w:spacing w:after="0" w:line="147" w:lineRule="exact"/>
              <w:rPr>
                <w:sz w:val="20"/>
                <w:szCs w:val="20"/>
                <w:color w:val="auto"/>
              </w:rPr>
            </w:pPr>
            <w:r>
              <w:rPr>
                <w:rFonts w:ascii="Arial" w:cs="Arial" w:eastAsia="Arial" w:hAnsi="Arial"/>
                <w:sz w:val="13"/>
                <w:szCs w:val="13"/>
                <w:b w:val="1"/>
                <w:bCs w:val="1"/>
                <w:color w:val="auto"/>
              </w:rPr>
              <w:t>Corporate Social Responsibility (CSR)</w:t>
            </w:r>
          </w:p>
        </w:tc>
        <w:tc>
          <w:tcPr>
            <w:tcW w:w="1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7" w:lineRule="exact"/>
              <w:rPr>
                <w:sz w:val="20"/>
                <w:szCs w:val="20"/>
                <w:color w:val="auto"/>
              </w:rPr>
            </w:pPr>
            <w:r>
              <w:rPr>
                <w:rFonts w:ascii="Arial" w:cs="Arial" w:eastAsia="Arial" w:hAnsi="Arial"/>
                <w:sz w:val="13"/>
                <w:szCs w:val="13"/>
                <w:color w:val="auto"/>
              </w:rPr>
              <w:t>Business model that enables a corporation to be socially accountable to</w:t>
            </w:r>
          </w:p>
        </w:tc>
      </w:tr>
      <w:tr>
        <w:trPr>
          <w:trHeight w:val="176"/>
        </w:trPr>
        <w:tc>
          <w:tcPr>
            <w:tcW w:w="3000" w:type="dxa"/>
            <w:vAlign w:val="bottom"/>
            <w:tcBorders>
              <w:bottom w:val="single" w:sz="8" w:color="666666"/>
            </w:tcBorders>
            <w:shd w:val="clear" w:color="auto" w:fill="CCCCCC"/>
          </w:tcPr>
          <w:p>
            <w:pPr>
              <w:spacing w:after="0"/>
              <w:rPr>
                <w:sz w:val="15"/>
                <w:szCs w:val="15"/>
                <w:color w:val="auto"/>
              </w:rPr>
            </w:pP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itself, its stakeholders and its community.</w:t>
            </w:r>
          </w:p>
        </w:tc>
      </w:tr>
      <w:tr>
        <w:trPr>
          <w:trHeight w:val="181"/>
        </w:trPr>
        <w:tc>
          <w:tcPr>
            <w:tcW w:w="3000" w:type="dxa"/>
            <w:vAlign w:val="bottom"/>
            <w:tcBorders>
              <w:bottom w:val="single" w:sz="8" w:color="666666"/>
            </w:tcBorders>
          </w:tcPr>
          <w:p>
            <w:pPr>
              <w:ind w:left="160"/>
              <w:spacing w:after="0"/>
              <w:rPr>
                <w:sz w:val="20"/>
                <w:szCs w:val="20"/>
                <w:color w:val="auto"/>
              </w:rPr>
            </w:pPr>
            <w:r>
              <w:rPr>
                <w:rFonts w:ascii="Arial" w:cs="Arial" w:eastAsia="Arial" w:hAnsi="Arial"/>
                <w:sz w:val="13"/>
                <w:szCs w:val="13"/>
                <w:b w:val="1"/>
                <w:bCs w:val="1"/>
                <w:color w:val="auto"/>
              </w:rPr>
              <w:t>Cytotoxic</w:t>
            </w: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Toxic to living cells.</w:t>
            </w:r>
          </w:p>
        </w:tc>
      </w:tr>
      <w:tr>
        <w:trPr>
          <w:trHeight w:val="179"/>
        </w:trPr>
        <w:tc>
          <w:tcPr>
            <w:tcW w:w="3000" w:type="dxa"/>
            <w:vAlign w:val="bottom"/>
            <w:tcBorders>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Dual-listed company</w:t>
            </w:r>
          </w:p>
        </w:tc>
        <w:tc>
          <w:tcPr>
            <w:tcW w:w="14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A company whose shares are traded on two stock markets.</w:t>
            </w:r>
          </w:p>
        </w:tc>
      </w:tr>
      <w:tr>
        <w:trPr>
          <w:trHeight w:val="147"/>
        </w:trPr>
        <w:tc>
          <w:tcPr>
            <w:tcW w:w="300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Epitope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The specific surface portion of an antigen to which an antibody binds.</w:t>
            </w:r>
          </w:p>
        </w:tc>
      </w:tr>
      <w:tr>
        <w:trPr>
          <w:trHeight w:val="145"/>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Upon binding of the antibody to the epitope an immune response is</w:t>
            </w:r>
          </w:p>
        </w:tc>
      </w:tr>
      <w:tr>
        <w:trPr>
          <w:trHeight w:val="176"/>
        </w:trPr>
        <w:tc>
          <w:tcPr>
            <w:tcW w:w="300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elicited.</w:t>
            </w:r>
          </w:p>
        </w:tc>
      </w:tr>
      <w:tr>
        <w:trPr>
          <w:trHeight w:val="231"/>
        </w:trPr>
        <w:tc>
          <w:tcPr>
            <w:tcW w:w="3000" w:type="dxa"/>
            <w:vAlign w:val="bottom"/>
          </w:tcPr>
          <w:p>
            <w:pPr>
              <w:spacing w:after="0"/>
              <w:rPr>
                <w:sz w:val="20"/>
                <w:szCs w:val="20"/>
                <w:color w:val="auto"/>
              </w:rPr>
            </w:pPr>
            <w:r>
              <w:rPr>
                <w:rFonts w:ascii="Arial" w:cs="Arial" w:eastAsia="Arial" w:hAnsi="Arial"/>
                <w:sz w:val="10"/>
                <w:szCs w:val="10"/>
                <w:color w:val="auto"/>
              </w:rPr>
              <w:t>Genmab A/S</w:t>
            </w:r>
          </w:p>
        </w:tc>
        <w:tc>
          <w:tcPr>
            <w:tcW w:w="1500" w:type="dxa"/>
            <w:vAlign w:val="bottom"/>
            <w:gridSpan w:val="3"/>
          </w:tcPr>
          <w:p>
            <w:pPr>
              <w:ind w:left="140"/>
              <w:spacing w:after="0"/>
              <w:rPr>
                <w:sz w:val="20"/>
                <w:szCs w:val="20"/>
                <w:color w:val="auto"/>
              </w:rPr>
            </w:pPr>
            <w:r>
              <w:rPr>
                <w:rFonts w:ascii="Arial" w:cs="Arial" w:eastAsia="Arial" w:hAnsi="Arial"/>
                <w:sz w:val="10"/>
                <w:szCs w:val="10"/>
                <w:color w:val="auto"/>
              </w:rPr>
              <w:t>Tel: +45 7020 2728</w:t>
            </w:r>
          </w:p>
        </w:tc>
        <w:tc>
          <w:tcPr>
            <w:tcW w:w="44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300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60" w:type="dxa"/>
            <w:vAlign w:val="bottom"/>
          </w:tcPr>
          <w:p>
            <w:pPr>
              <w:jc w:val="right"/>
              <w:spacing w:after="0" w:line="109" w:lineRule="exact"/>
              <w:rPr>
                <w:sz w:val="20"/>
                <w:szCs w:val="20"/>
                <w:color w:val="auto"/>
              </w:rPr>
            </w:pPr>
            <w:r>
              <w:rPr>
                <w:rFonts w:ascii="Arial" w:cs="Arial" w:eastAsia="Arial" w:hAnsi="Arial"/>
                <w:sz w:val="10"/>
                <w:szCs w:val="10"/>
                <w:color w:val="auto"/>
              </w:rPr>
              <w:t>Page 155/158</w:t>
            </w:r>
          </w:p>
        </w:tc>
      </w:tr>
      <w:tr>
        <w:trPr>
          <w:trHeight w:val="105"/>
        </w:trPr>
        <w:tc>
          <w:tcPr>
            <w:tcW w:w="300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500" w:type="dxa"/>
            <w:vAlign w:val="bottom"/>
            <w:gridSpan w:val="3"/>
          </w:tcPr>
          <w:p>
            <w:pPr>
              <w:ind w:left="140"/>
              <w:spacing w:after="0" w:line="105" w:lineRule="exact"/>
              <w:rPr>
                <w:sz w:val="20"/>
                <w:szCs w:val="20"/>
                <w:color w:val="auto"/>
              </w:rPr>
            </w:pPr>
            <w:r>
              <w:rPr>
                <w:rFonts w:ascii="Arial" w:cs="Arial" w:eastAsia="Arial" w:hAnsi="Arial"/>
                <w:sz w:val="10"/>
                <w:szCs w:val="10"/>
                <w:color w:val="0000FF"/>
              </w:rPr>
              <w:t>www.genmab.com</w:t>
            </w:r>
          </w:p>
        </w:tc>
        <w:tc>
          <w:tcPr>
            <w:tcW w:w="44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3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8" w:name="page159"/>
    <w:bookmarkEnd w:id="158"/>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080" w:type="dxa"/>
            <w:vAlign w:val="bottom"/>
            <w:tcBorders>
              <w:top w:val="single" w:sz="8" w:color="666666"/>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Environmental, Social and Governance (ESG)</w:t>
            </w:r>
          </w:p>
        </w:tc>
        <w:tc>
          <w:tcPr>
            <w:tcW w:w="60" w:type="dxa"/>
            <w:vAlign w:val="bottom"/>
            <w:tcBorders>
              <w:top w:val="single" w:sz="8" w:color="666666"/>
              <w:bottom w:val="single" w:sz="8" w:color="666666"/>
            </w:tcBorders>
            <w:shd w:val="clear" w:color="auto" w:fill="CCCCCC"/>
          </w:tcPr>
          <w:p>
            <w:pPr>
              <w:spacing w:after="0"/>
              <w:rPr>
                <w:sz w:val="17"/>
                <w:szCs w:val="17"/>
                <w:color w:val="auto"/>
              </w:rPr>
            </w:pPr>
          </w:p>
        </w:tc>
        <w:tc>
          <w:tcPr>
            <w:tcW w:w="780" w:type="dxa"/>
            <w:vAlign w:val="bottom"/>
            <w:tcBorders>
              <w:top w:val="single" w:sz="8" w:color="666666"/>
              <w:bottom w:val="single" w:sz="8" w:color="666666"/>
            </w:tcBorders>
            <w:shd w:val="clear" w:color="auto" w:fill="CCCCCC"/>
          </w:tcPr>
          <w:p>
            <w:pPr>
              <w:spacing w:after="0"/>
              <w:rPr>
                <w:sz w:val="17"/>
                <w:szCs w:val="17"/>
                <w:color w:val="auto"/>
              </w:rPr>
            </w:pPr>
          </w:p>
        </w:tc>
        <w:tc>
          <w:tcPr>
            <w:tcW w:w="580" w:type="dxa"/>
            <w:vAlign w:val="bottom"/>
            <w:tcBorders>
              <w:top w:val="single" w:sz="8" w:color="666666"/>
              <w:bottom w:val="single" w:sz="8" w:color="666666"/>
              <w:right w:val="single" w:sz="8" w:color="666666"/>
            </w:tcBorders>
            <w:shd w:val="clear" w:color="auto" w:fill="CCCCCC"/>
          </w:tcPr>
          <w:p>
            <w:pPr>
              <w:spacing w:after="0"/>
              <w:rPr>
                <w:sz w:val="17"/>
                <w:szCs w:val="17"/>
                <w:color w:val="auto"/>
              </w:rPr>
            </w:pPr>
          </w:p>
        </w:tc>
        <w:tc>
          <w:tcPr>
            <w:tcW w:w="4460" w:type="dxa"/>
            <w:vAlign w:val="bottom"/>
            <w:tcBorders>
              <w:top w:val="single" w:sz="8" w:color="666666"/>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Set of standards for a company’s operations.</w:t>
            </w:r>
          </w:p>
        </w:tc>
      </w:tr>
      <w:tr>
        <w:trPr>
          <w:trHeight w:val="147"/>
        </w:trPr>
        <w:tc>
          <w:tcPr>
            <w:tcW w:w="308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European Medicines Agency (EMA)</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European regulatory agency that facilitates development and access to</w:t>
            </w:r>
          </w:p>
        </w:tc>
      </w:tr>
      <w:tr>
        <w:trPr>
          <w:trHeight w:val="145"/>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medicines, evaluates applications for marketing authorization and</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monitors the safety of medicines.</w:t>
            </w:r>
          </w:p>
        </w:tc>
      </w:tr>
      <w:tr>
        <w:trPr>
          <w:trHeight w:val="181"/>
        </w:trPr>
        <w:tc>
          <w:tcPr>
            <w:tcW w:w="3080" w:type="dxa"/>
            <w:vAlign w:val="bottom"/>
            <w:tcBorders>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Hexamerization</w:t>
            </w:r>
          </w:p>
        </w:tc>
        <w:tc>
          <w:tcPr>
            <w:tcW w:w="6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The ordered clustering of six antibodies.</w:t>
            </w:r>
          </w:p>
        </w:tc>
      </w:tr>
      <w:tr>
        <w:trPr>
          <w:trHeight w:val="147"/>
        </w:trPr>
        <w:tc>
          <w:tcPr>
            <w:tcW w:w="308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Immunomodulatory agent</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A type of drug used to treat certain types of cancers, such as multiple</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myeloma. Examples include lenalidomide and pomalidomide.</w:t>
            </w:r>
          </w:p>
        </w:tc>
      </w:tr>
      <w:tr>
        <w:trPr>
          <w:trHeight w:val="181"/>
        </w:trPr>
        <w:tc>
          <w:tcPr>
            <w:tcW w:w="4500" w:type="dxa"/>
            <w:vAlign w:val="bottom"/>
            <w:tcBorders>
              <w:bottom w:val="single" w:sz="8" w:color="666666"/>
              <w:right w:val="single" w:sz="8" w:color="666666"/>
            </w:tcBorders>
            <w:gridSpan w:val="4"/>
            <w:shd w:val="clear" w:color="auto" w:fill="CCCCCC"/>
          </w:tcPr>
          <w:p>
            <w:pPr>
              <w:ind w:left="160"/>
              <w:spacing w:after="0"/>
              <w:rPr>
                <w:sz w:val="20"/>
                <w:szCs w:val="20"/>
                <w:color w:val="auto"/>
              </w:rPr>
            </w:pPr>
            <w:r>
              <w:rPr>
                <w:rFonts w:ascii="Arial" w:cs="Arial" w:eastAsia="Arial" w:hAnsi="Arial"/>
                <w:sz w:val="13"/>
                <w:szCs w:val="13"/>
                <w:b w:val="1"/>
                <w:bCs w:val="1"/>
                <w:color w:val="auto"/>
              </w:rPr>
              <w:t>Leadership in Energy and Environmental Design (LEED)</w:t>
            </w: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Globally recognized green building rating system.</w:t>
            </w:r>
          </w:p>
        </w:tc>
      </w:tr>
      <w:tr>
        <w:trPr>
          <w:trHeight w:val="147"/>
        </w:trPr>
        <w:tc>
          <w:tcPr>
            <w:tcW w:w="308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Monoclonal</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Derived from a single cell. Monoclonal antibodies derived from such</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single cell will be identical.</w:t>
            </w:r>
          </w:p>
        </w:tc>
      </w:tr>
      <w:tr>
        <w:trPr>
          <w:trHeight w:val="181"/>
        </w:trPr>
        <w:tc>
          <w:tcPr>
            <w:tcW w:w="3080" w:type="dxa"/>
            <w:vAlign w:val="bottom"/>
            <w:tcBorders>
              <w:bottom w:val="single" w:sz="8" w:color="666666"/>
            </w:tcBorders>
            <w:shd w:val="clear" w:color="auto" w:fill="CCCCCC"/>
          </w:tcPr>
          <w:p>
            <w:pPr>
              <w:ind w:left="160"/>
              <w:spacing w:after="0"/>
              <w:rPr>
                <w:sz w:val="20"/>
                <w:szCs w:val="20"/>
                <w:color w:val="auto"/>
              </w:rPr>
            </w:pPr>
            <w:r>
              <w:rPr>
                <w:rFonts w:ascii="Arial" w:cs="Arial" w:eastAsia="Arial" w:hAnsi="Arial"/>
                <w:sz w:val="13"/>
                <w:szCs w:val="13"/>
                <w:b w:val="1"/>
                <w:bCs w:val="1"/>
                <w:color w:val="auto"/>
              </w:rPr>
              <w:t>Monotherapy</w:t>
            </w:r>
          </w:p>
        </w:tc>
        <w:tc>
          <w:tcPr>
            <w:tcW w:w="6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Treatment of a medical condition by use of a single drug.</w:t>
            </w:r>
          </w:p>
        </w:tc>
      </w:tr>
      <w:tr>
        <w:trPr>
          <w:trHeight w:val="147"/>
        </w:trPr>
        <w:tc>
          <w:tcPr>
            <w:tcW w:w="3080" w:type="dxa"/>
            <w:vAlign w:val="bottom"/>
          </w:tcPr>
          <w:p>
            <w:pPr>
              <w:ind w:left="160"/>
              <w:spacing w:after="0" w:line="147" w:lineRule="exact"/>
              <w:rPr>
                <w:sz w:val="20"/>
                <w:szCs w:val="20"/>
                <w:color w:val="auto"/>
              </w:rPr>
            </w:pPr>
            <w:r>
              <w:rPr>
                <w:rFonts w:ascii="Arial" w:cs="Arial" w:eastAsia="Arial" w:hAnsi="Arial"/>
                <w:sz w:val="13"/>
                <w:szCs w:val="13"/>
                <w:b w:val="1"/>
                <w:bCs w:val="1"/>
                <w:color w:val="auto"/>
              </w:rPr>
              <w:t>Pre-clinical</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7" w:lineRule="exact"/>
              <w:rPr>
                <w:sz w:val="20"/>
                <w:szCs w:val="20"/>
                <w:color w:val="auto"/>
              </w:rPr>
            </w:pPr>
            <w:r>
              <w:rPr>
                <w:rFonts w:ascii="Arial" w:cs="Arial" w:eastAsia="Arial" w:hAnsi="Arial"/>
                <w:sz w:val="13"/>
                <w:szCs w:val="13"/>
                <w:color w:val="auto"/>
              </w:rPr>
              <w:t>Term used to refer to products that are at the stage of being investigated</w:t>
            </w:r>
          </w:p>
        </w:tc>
      </w:tr>
      <w:tr>
        <w:trPr>
          <w:trHeight w:val="145"/>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in the laboratory or in animals to determine the safety and efficacy of the</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product before it is evaluated in humans.</w:t>
            </w:r>
          </w:p>
        </w:tc>
      </w:tr>
      <w:tr>
        <w:trPr>
          <w:trHeight w:val="149"/>
        </w:trPr>
        <w:tc>
          <w:tcPr>
            <w:tcW w:w="3080" w:type="dxa"/>
            <w:vAlign w:val="bottom"/>
            <w:shd w:val="clear" w:color="auto" w:fill="CCCCCC"/>
          </w:tcPr>
          <w:p>
            <w:pPr>
              <w:ind w:left="160"/>
              <w:spacing w:after="0"/>
              <w:rPr>
                <w:sz w:val="20"/>
                <w:szCs w:val="20"/>
                <w:color w:val="auto"/>
              </w:rPr>
            </w:pPr>
            <w:r>
              <w:rPr>
                <w:rFonts w:ascii="Arial" w:cs="Arial" w:eastAsia="Arial" w:hAnsi="Arial"/>
                <w:sz w:val="13"/>
                <w:szCs w:val="13"/>
                <w:b w:val="1"/>
                <w:bCs w:val="1"/>
                <w:color w:val="auto"/>
              </w:rPr>
              <w:t>Priority Review</w:t>
            </w:r>
          </w:p>
        </w:tc>
        <w:tc>
          <w:tcPr>
            <w:tcW w:w="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rPr>
                <w:sz w:val="20"/>
                <w:szCs w:val="20"/>
                <w:color w:val="auto"/>
              </w:rPr>
            </w:pPr>
            <w:r>
              <w:rPr>
                <w:rFonts w:ascii="Arial" w:cs="Arial" w:eastAsia="Arial" w:hAnsi="Arial"/>
                <w:sz w:val="13"/>
                <w:szCs w:val="13"/>
                <w:color w:val="auto"/>
              </w:rPr>
              <w:t>U.S. FDA designation used for drugs that, if approved, would be</w:t>
            </w:r>
          </w:p>
        </w:tc>
      </w:tr>
      <w:tr>
        <w:trPr>
          <w:trHeight w:val="145"/>
        </w:trPr>
        <w:tc>
          <w:tcPr>
            <w:tcW w:w="30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5" w:lineRule="exact"/>
              <w:rPr>
                <w:sz w:val="20"/>
                <w:szCs w:val="20"/>
                <w:color w:val="auto"/>
              </w:rPr>
            </w:pPr>
            <w:r>
              <w:rPr>
                <w:rFonts w:ascii="Arial" w:cs="Arial" w:eastAsia="Arial" w:hAnsi="Arial"/>
                <w:sz w:val="13"/>
                <w:szCs w:val="13"/>
                <w:color w:val="auto"/>
              </w:rPr>
              <w:t>significant improvements in the safety or effectiveness of the treatment,</w:t>
            </w:r>
          </w:p>
        </w:tc>
      </w:tr>
      <w:tr>
        <w:trPr>
          <w:trHeight w:val="145"/>
        </w:trPr>
        <w:tc>
          <w:tcPr>
            <w:tcW w:w="30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5" w:lineRule="exact"/>
              <w:rPr>
                <w:sz w:val="20"/>
                <w:szCs w:val="20"/>
                <w:color w:val="auto"/>
              </w:rPr>
            </w:pPr>
            <w:r>
              <w:rPr>
                <w:rFonts w:ascii="Arial" w:cs="Arial" w:eastAsia="Arial" w:hAnsi="Arial"/>
                <w:sz w:val="13"/>
                <w:szCs w:val="13"/>
                <w:color w:val="auto"/>
              </w:rPr>
              <w:t>diagnosis, or prevention of serious conditions when compared to</w:t>
            </w:r>
          </w:p>
        </w:tc>
      </w:tr>
      <w:tr>
        <w:trPr>
          <w:trHeight w:val="176"/>
        </w:trPr>
        <w:tc>
          <w:tcPr>
            <w:tcW w:w="3080" w:type="dxa"/>
            <w:vAlign w:val="bottom"/>
            <w:tcBorders>
              <w:bottom w:val="single" w:sz="8" w:color="666666"/>
            </w:tcBorders>
            <w:shd w:val="clear" w:color="auto" w:fill="CCCCCC"/>
          </w:tcPr>
          <w:p>
            <w:pPr>
              <w:spacing w:after="0"/>
              <w:rPr>
                <w:sz w:val="15"/>
                <w:szCs w:val="15"/>
                <w:color w:val="auto"/>
              </w:rPr>
            </w:pPr>
          </w:p>
        </w:tc>
        <w:tc>
          <w:tcPr>
            <w:tcW w:w="6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standard applications.</w:t>
            </w:r>
          </w:p>
        </w:tc>
      </w:tr>
      <w:tr>
        <w:trPr>
          <w:trHeight w:val="149"/>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Progression free survival (PFS)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Progression free survival. The length of time a patient lives without</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his/her disease worsening.</w:t>
            </w:r>
          </w:p>
        </w:tc>
      </w:tr>
      <w:tr>
        <w:trPr>
          <w:trHeight w:val="149"/>
        </w:trPr>
        <w:tc>
          <w:tcPr>
            <w:tcW w:w="3080" w:type="dxa"/>
            <w:vAlign w:val="bottom"/>
            <w:shd w:val="clear" w:color="auto" w:fill="CCCCCC"/>
          </w:tcPr>
          <w:p>
            <w:pPr>
              <w:ind w:left="160"/>
              <w:spacing w:after="0"/>
              <w:rPr>
                <w:sz w:val="20"/>
                <w:szCs w:val="20"/>
                <w:color w:val="auto"/>
              </w:rPr>
            </w:pPr>
            <w:r>
              <w:rPr>
                <w:rFonts w:ascii="Arial" w:cs="Arial" w:eastAsia="Arial" w:hAnsi="Arial"/>
                <w:sz w:val="13"/>
                <w:szCs w:val="13"/>
                <w:b w:val="1"/>
                <w:bCs w:val="1"/>
                <w:color w:val="auto"/>
              </w:rPr>
              <w:t>Proteasome inhibitor (PI)</w:t>
            </w:r>
          </w:p>
        </w:tc>
        <w:tc>
          <w:tcPr>
            <w:tcW w:w="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rPr>
                <w:sz w:val="20"/>
                <w:szCs w:val="20"/>
                <w:color w:val="auto"/>
              </w:rPr>
            </w:pPr>
            <w:r>
              <w:rPr>
                <w:rFonts w:ascii="Arial" w:cs="Arial" w:eastAsia="Arial" w:hAnsi="Arial"/>
                <w:sz w:val="13"/>
                <w:szCs w:val="13"/>
                <w:color w:val="auto"/>
              </w:rPr>
              <w:t>A type of drug used to treat certain types of cancer, such as multiple</w:t>
            </w:r>
          </w:p>
        </w:tc>
      </w:tr>
      <w:tr>
        <w:trPr>
          <w:trHeight w:val="176"/>
        </w:trPr>
        <w:tc>
          <w:tcPr>
            <w:tcW w:w="3080" w:type="dxa"/>
            <w:vAlign w:val="bottom"/>
            <w:tcBorders>
              <w:bottom w:val="single" w:sz="8" w:color="666666"/>
            </w:tcBorders>
            <w:shd w:val="clear" w:color="auto" w:fill="CCCCCC"/>
          </w:tcPr>
          <w:p>
            <w:pPr>
              <w:spacing w:after="0"/>
              <w:rPr>
                <w:sz w:val="15"/>
                <w:szCs w:val="15"/>
                <w:color w:val="auto"/>
              </w:rPr>
            </w:pPr>
          </w:p>
        </w:tc>
        <w:tc>
          <w:tcPr>
            <w:tcW w:w="6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myeloma. Examples include bortezomib and carfilzomib.</w:t>
            </w:r>
          </w:p>
        </w:tc>
      </w:tr>
      <w:tr>
        <w:trPr>
          <w:trHeight w:val="181"/>
        </w:trPr>
        <w:tc>
          <w:tcPr>
            <w:tcW w:w="3080" w:type="dxa"/>
            <w:vAlign w:val="bottom"/>
            <w:tcBorders>
              <w:bottom w:val="single" w:sz="8" w:color="666666"/>
            </w:tcBorders>
          </w:tcPr>
          <w:p>
            <w:pPr>
              <w:ind w:left="160"/>
              <w:spacing w:after="0"/>
              <w:rPr>
                <w:sz w:val="20"/>
                <w:szCs w:val="20"/>
                <w:color w:val="auto"/>
              </w:rPr>
            </w:pPr>
            <w:r>
              <w:rPr>
                <w:rFonts w:ascii="Arial" w:cs="Arial" w:eastAsia="Arial" w:hAnsi="Arial"/>
                <w:sz w:val="13"/>
                <w:szCs w:val="13"/>
                <w:b w:val="1"/>
                <w:bCs w:val="1"/>
                <w:color w:val="auto"/>
              </w:rPr>
              <w:t>Subcutaneous (SC)</w:t>
            </w: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Applied under the skin.</w:t>
            </w:r>
          </w:p>
        </w:tc>
      </w:tr>
      <w:tr>
        <w:trPr>
          <w:trHeight w:val="147"/>
        </w:trPr>
        <w:tc>
          <w:tcPr>
            <w:tcW w:w="3080" w:type="dxa"/>
            <w:vAlign w:val="bottom"/>
            <w:shd w:val="clear" w:color="auto" w:fill="CCCCCC"/>
          </w:tcPr>
          <w:p>
            <w:pPr>
              <w:ind w:left="160"/>
              <w:spacing w:after="0" w:line="147" w:lineRule="exact"/>
              <w:rPr>
                <w:sz w:val="20"/>
                <w:szCs w:val="20"/>
                <w:color w:val="auto"/>
              </w:rPr>
            </w:pPr>
            <w:r>
              <w:rPr>
                <w:rFonts w:ascii="Arial" w:cs="Arial" w:eastAsia="Arial" w:hAnsi="Arial"/>
                <w:sz w:val="13"/>
                <w:szCs w:val="13"/>
                <w:b w:val="1"/>
                <w:bCs w:val="1"/>
                <w:color w:val="auto"/>
              </w:rPr>
              <w:t>Target</w:t>
            </w:r>
          </w:p>
        </w:tc>
        <w:tc>
          <w:tcPr>
            <w:tcW w:w="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8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7" w:lineRule="exact"/>
              <w:rPr>
                <w:sz w:val="20"/>
                <w:szCs w:val="20"/>
                <w:color w:val="auto"/>
              </w:rPr>
            </w:pPr>
            <w:r>
              <w:rPr>
                <w:rFonts w:ascii="Arial" w:cs="Arial" w:eastAsia="Arial" w:hAnsi="Arial"/>
                <w:sz w:val="13"/>
                <w:szCs w:val="13"/>
                <w:color w:val="auto"/>
              </w:rPr>
              <w:t>A molecule of potential interest against which an antibody is</w:t>
            </w:r>
          </w:p>
        </w:tc>
      </w:tr>
      <w:tr>
        <w:trPr>
          <w:trHeight w:val="176"/>
        </w:trPr>
        <w:tc>
          <w:tcPr>
            <w:tcW w:w="3080" w:type="dxa"/>
            <w:vAlign w:val="bottom"/>
            <w:tcBorders>
              <w:bottom w:val="single" w:sz="8" w:color="666666"/>
            </w:tcBorders>
            <w:shd w:val="clear" w:color="auto" w:fill="CCCCCC"/>
          </w:tcPr>
          <w:p>
            <w:pPr>
              <w:spacing w:after="0"/>
              <w:rPr>
                <w:sz w:val="15"/>
                <w:szCs w:val="15"/>
                <w:color w:val="auto"/>
              </w:rPr>
            </w:pPr>
          </w:p>
        </w:tc>
        <w:tc>
          <w:tcPr>
            <w:tcW w:w="60" w:type="dxa"/>
            <w:vAlign w:val="bottom"/>
            <w:tcBorders>
              <w:bottom w:val="single" w:sz="8" w:color="666666"/>
            </w:tcBorders>
            <w:shd w:val="clear" w:color="auto" w:fill="CCCCCC"/>
          </w:tcPr>
          <w:p>
            <w:pPr>
              <w:spacing w:after="0"/>
              <w:rPr>
                <w:sz w:val="15"/>
                <w:szCs w:val="15"/>
                <w:color w:val="auto"/>
              </w:rPr>
            </w:pPr>
          </w:p>
        </w:tc>
        <w:tc>
          <w:tcPr>
            <w:tcW w:w="780" w:type="dxa"/>
            <w:vAlign w:val="bottom"/>
            <w:tcBorders>
              <w:bottom w:val="single" w:sz="8" w:color="666666"/>
            </w:tcBorders>
            <w:shd w:val="clear" w:color="auto" w:fill="CCCCCC"/>
          </w:tcPr>
          <w:p>
            <w:pPr>
              <w:spacing w:after="0"/>
              <w:rPr>
                <w:sz w:val="15"/>
                <w:szCs w:val="15"/>
                <w:color w:val="auto"/>
              </w:rPr>
            </w:pPr>
          </w:p>
        </w:tc>
        <w:tc>
          <w:tcPr>
            <w:tcW w:w="58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raised/created.</w:t>
            </w:r>
          </w:p>
        </w:tc>
      </w:tr>
      <w:tr>
        <w:trPr>
          <w:trHeight w:val="149"/>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Transgenic mouse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A mouse carrying a transgene from a foreign species, typically a human,</w:t>
            </w:r>
          </w:p>
        </w:tc>
      </w:tr>
      <w:tr>
        <w:trPr>
          <w:trHeight w:val="145"/>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Borders>
              <w:right w:val="single" w:sz="8" w:color="666666"/>
            </w:tcBorders>
          </w:tcPr>
          <w:p>
            <w:pPr>
              <w:spacing w:after="0"/>
              <w:rPr>
                <w:sz w:val="12"/>
                <w:szCs w:val="12"/>
                <w:color w:val="auto"/>
              </w:rPr>
            </w:pPr>
          </w:p>
        </w:tc>
        <w:tc>
          <w:tcPr>
            <w:tcW w:w="4460" w:type="dxa"/>
            <w:vAlign w:val="bottom"/>
          </w:tcPr>
          <w:p>
            <w:pPr>
              <w:ind w:left="140"/>
              <w:spacing w:after="0" w:line="145" w:lineRule="exact"/>
              <w:rPr>
                <w:sz w:val="20"/>
                <w:szCs w:val="20"/>
                <w:color w:val="auto"/>
              </w:rPr>
            </w:pPr>
            <w:r>
              <w:rPr>
                <w:rFonts w:ascii="Arial" w:cs="Arial" w:eastAsia="Arial" w:hAnsi="Arial"/>
                <w:sz w:val="13"/>
                <w:szCs w:val="13"/>
                <w:color w:val="auto"/>
              </w:rPr>
              <w:t>which transgene has been introduced into the replicating cells of the</w:t>
            </w:r>
          </w:p>
        </w:tc>
      </w:tr>
      <w:tr>
        <w:trPr>
          <w:trHeight w:val="176"/>
        </w:trPr>
        <w:tc>
          <w:tcPr>
            <w:tcW w:w="308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780" w:type="dxa"/>
            <w:vAlign w:val="bottom"/>
            <w:tcBorders>
              <w:bottom w:val="single" w:sz="8" w:color="666666"/>
            </w:tcBorders>
          </w:tcPr>
          <w:p>
            <w:pPr>
              <w:spacing w:after="0"/>
              <w:rPr>
                <w:sz w:val="15"/>
                <w:szCs w:val="15"/>
                <w:color w:val="auto"/>
              </w:rPr>
            </w:pPr>
          </w:p>
        </w:tc>
        <w:tc>
          <w:tcPr>
            <w:tcW w:w="580" w:type="dxa"/>
            <w:vAlign w:val="bottom"/>
            <w:tcBorders>
              <w:bottom w:val="single" w:sz="8" w:color="666666"/>
              <w:right w:val="single" w:sz="8" w:color="666666"/>
            </w:tcBorders>
          </w:tcPr>
          <w:p>
            <w:pPr>
              <w:spacing w:after="0"/>
              <w:rPr>
                <w:sz w:val="15"/>
                <w:szCs w:val="15"/>
                <w:color w:val="auto"/>
              </w:rPr>
            </w:pPr>
          </w:p>
        </w:tc>
        <w:tc>
          <w:tcPr>
            <w:tcW w:w="4460" w:type="dxa"/>
            <w:vAlign w:val="bottom"/>
            <w:tcBorders>
              <w:bottom w:val="single" w:sz="8" w:color="666666"/>
            </w:tcBorders>
          </w:tcPr>
          <w:p>
            <w:pPr>
              <w:ind w:left="140"/>
              <w:spacing w:after="0"/>
              <w:rPr>
                <w:sz w:val="20"/>
                <w:szCs w:val="20"/>
                <w:color w:val="auto"/>
              </w:rPr>
            </w:pPr>
            <w:r>
              <w:rPr>
                <w:rFonts w:ascii="Arial" w:cs="Arial" w:eastAsia="Arial" w:hAnsi="Arial"/>
                <w:sz w:val="13"/>
                <w:szCs w:val="13"/>
                <w:color w:val="auto"/>
              </w:rPr>
              <w:t>mouse, so the transgene is passed on</w:t>
            </w:r>
          </w:p>
        </w:tc>
      </w:tr>
      <w:tr>
        <w:trPr>
          <w:trHeight w:val="231"/>
        </w:trPr>
        <w:tc>
          <w:tcPr>
            <w:tcW w:w="3080" w:type="dxa"/>
            <w:vAlign w:val="bottom"/>
          </w:tcPr>
          <w:p>
            <w:pPr>
              <w:spacing w:after="0"/>
              <w:rPr>
                <w:sz w:val="20"/>
                <w:szCs w:val="20"/>
                <w:color w:val="auto"/>
              </w:rPr>
            </w:pPr>
            <w:r>
              <w:rPr>
                <w:rFonts w:ascii="Arial" w:cs="Arial" w:eastAsia="Arial" w:hAnsi="Arial"/>
                <w:sz w:val="10"/>
                <w:szCs w:val="10"/>
                <w:color w:val="auto"/>
              </w:rPr>
              <w:t>Genmab A/S</w:t>
            </w:r>
          </w:p>
        </w:tc>
        <w:tc>
          <w:tcPr>
            <w:tcW w:w="1420" w:type="dxa"/>
            <w:vAlign w:val="bottom"/>
            <w:gridSpan w:val="3"/>
          </w:tcPr>
          <w:p>
            <w:pPr>
              <w:ind w:left="60"/>
              <w:spacing w:after="0"/>
              <w:rPr>
                <w:sz w:val="20"/>
                <w:szCs w:val="20"/>
                <w:color w:val="auto"/>
              </w:rPr>
            </w:pPr>
            <w:r>
              <w:rPr>
                <w:rFonts w:ascii="Arial" w:cs="Arial" w:eastAsia="Arial" w:hAnsi="Arial"/>
                <w:sz w:val="10"/>
                <w:szCs w:val="10"/>
                <w:color w:val="auto"/>
              </w:rPr>
              <w:t>Tel: +45 7020 2728</w:t>
            </w:r>
          </w:p>
        </w:tc>
        <w:tc>
          <w:tcPr>
            <w:tcW w:w="446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308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60" w:type="dxa"/>
            <w:vAlign w:val="bottom"/>
          </w:tcPr>
          <w:p>
            <w:pPr>
              <w:jc w:val="right"/>
              <w:spacing w:after="0" w:line="109" w:lineRule="exact"/>
              <w:rPr>
                <w:sz w:val="20"/>
                <w:szCs w:val="20"/>
                <w:color w:val="auto"/>
              </w:rPr>
            </w:pPr>
            <w:r>
              <w:rPr>
                <w:rFonts w:ascii="Arial" w:cs="Arial" w:eastAsia="Arial" w:hAnsi="Arial"/>
                <w:sz w:val="10"/>
                <w:szCs w:val="10"/>
                <w:color w:val="auto"/>
              </w:rPr>
              <w:t>Page 156/158</w:t>
            </w:r>
          </w:p>
        </w:tc>
      </w:tr>
      <w:tr>
        <w:trPr>
          <w:trHeight w:val="105"/>
        </w:trPr>
        <w:tc>
          <w:tcPr>
            <w:tcW w:w="308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1420" w:type="dxa"/>
            <w:vAlign w:val="bottom"/>
            <w:gridSpan w:val="3"/>
          </w:tcPr>
          <w:p>
            <w:pPr>
              <w:ind w:left="60"/>
              <w:spacing w:after="0" w:line="105" w:lineRule="exact"/>
              <w:rPr>
                <w:sz w:val="20"/>
                <w:szCs w:val="20"/>
                <w:color w:val="auto"/>
              </w:rPr>
            </w:pPr>
            <w:r>
              <w:rPr>
                <w:rFonts w:ascii="Arial" w:cs="Arial" w:eastAsia="Arial" w:hAnsi="Arial"/>
                <w:sz w:val="10"/>
                <w:szCs w:val="10"/>
                <w:color w:val="0000FF"/>
              </w:rPr>
              <w:t>www.genmab.com</w:t>
            </w:r>
          </w:p>
        </w:tc>
        <w:tc>
          <w:tcPr>
            <w:tcW w:w="446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59" w:name="page160"/>
    <w:bookmarkEnd w:id="159"/>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500" w:type="dxa"/>
            <w:vAlign w:val="bottom"/>
            <w:tcBorders>
              <w:top w:val="single" w:sz="8" w:color="666666"/>
              <w:bottom w:val="single" w:sz="8" w:color="666666"/>
              <w:right w:val="single" w:sz="8" w:color="666666"/>
            </w:tcBorders>
          </w:tcPr>
          <w:p>
            <w:pPr>
              <w:spacing w:after="0"/>
              <w:rPr>
                <w:sz w:val="15"/>
                <w:szCs w:val="15"/>
                <w:color w:val="auto"/>
              </w:rPr>
            </w:pPr>
          </w:p>
        </w:tc>
        <w:tc>
          <w:tcPr>
            <w:tcW w:w="4460" w:type="dxa"/>
            <w:vAlign w:val="bottom"/>
            <w:tcBorders>
              <w:top w:val="single" w:sz="8" w:color="666666"/>
              <w:bottom w:val="single" w:sz="8" w:color="666666"/>
            </w:tcBorders>
          </w:tcPr>
          <w:p>
            <w:pPr>
              <w:ind w:left="140"/>
              <w:spacing w:after="0"/>
              <w:rPr>
                <w:sz w:val="20"/>
                <w:szCs w:val="20"/>
                <w:color w:val="auto"/>
              </w:rPr>
            </w:pPr>
            <w:r>
              <w:rPr>
                <w:rFonts w:ascii="Arial" w:cs="Arial" w:eastAsia="Arial" w:hAnsi="Arial"/>
                <w:sz w:val="13"/>
                <w:szCs w:val="13"/>
                <w:color w:val="auto"/>
              </w:rPr>
              <w:t>to future generations/offspring of the transgenic mouse.</w:t>
            </w:r>
          </w:p>
        </w:tc>
      </w:tr>
      <w:tr>
        <w:trPr>
          <w:trHeight w:val="147"/>
        </w:trPr>
        <w:tc>
          <w:tcPr>
            <w:tcW w:w="4500" w:type="dxa"/>
            <w:vAlign w:val="bottom"/>
            <w:tcBorders>
              <w:right w:val="single" w:sz="8" w:color="666666"/>
            </w:tcBorders>
            <w:shd w:val="clear" w:color="auto" w:fill="CCCCCC"/>
          </w:tcPr>
          <w:p>
            <w:pPr>
              <w:ind w:left="160"/>
              <w:spacing w:after="0" w:line="147" w:lineRule="exact"/>
              <w:rPr>
                <w:sz w:val="20"/>
                <w:szCs w:val="20"/>
                <w:color w:val="auto"/>
              </w:rPr>
            </w:pPr>
            <w:r>
              <w:rPr>
                <w:rFonts w:ascii="Arial" w:cs="Arial" w:eastAsia="Arial" w:hAnsi="Arial"/>
                <w:sz w:val="13"/>
                <w:szCs w:val="13"/>
                <w:b w:val="1"/>
                <w:bCs w:val="1"/>
                <w:color w:val="auto"/>
              </w:rPr>
              <w:t>U.S. Food and Drug Administration (U.S. FDA)</w:t>
            </w:r>
          </w:p>
        </w:tc>
        <w:tc>
          <w:tcPr>
            <w:tcW w:w="4460" w:type="dxa"/>
            <w:vAlign w:val="bottom"/>
            <w:shd w:val="clear" w:color="auto" w:fill="CCCCCC"/>
          </w:tcPr>
          <w:p>
            <w:pPr>
              <w:ind w:left="140"/>
              <w:spacing w:after="0" w:line="147" w:lineRule="exact"/>
              <w:rPr>
                <w:sz w:val="20"/>
                <w:szCs w:val="20"/>
                <w:color w:val="auto"/>
              </w:rPr>
            </w:pPr>
            <w:r>
              <w:rPr>
                <w:rFonts w:ascii="Arial" w:cs="Arial" w:eastAsia="Arial" w:hAnsi="Arial"/>
                <w:sz w:val="13"/>
                <w:szCs w:val="13"/>
                <w:color w:val="auto"/>
              </w:rPr>
              <w:t>U.S. regulatory agency responsible for ensuring the safety, efficacy and</w:t>
            </w:r>
          </w:p>
        </w:tc>
      </w:tr>
      <w:tr>
        <w:trPr>
          <w:trHeight w:val="145"/>
        </w:trPr>
        <w:tc>
          <w:tcPr>
            <w:tcW w:w="4500" w:type="dxa"/>
            <w:vAlign w:val="bottom"/>
            <w:tcBorders>
              <w:right w:val="single" w:sz="8" w:color="666666"/>
            </w:tcBorders>
            <w:shd w:val="clear" w:color="auto" w:fill="CCCCCC"/>
          </w:tcPr>
          <w:p>
            <w:pPr>
              <w:spacing w:after="0"/>
              <w:rPr>
                <w:sz w:val="12"/>
                <w:szCs w:val="12"/>
                <w:color w:val="auto"/>
              </w:rPr>
            </w:pPr>
          </w:p>
        </w:tc>
        <w:tc>
          <w:tcPr>
            <w:tcW w:w="4460" w:type="dxa"/>
            <w:vAlign w:val="bottom"/>
            <w:shd w:val="clear" w:color="auto" w:fill="CCCCCC"/>
          </w:tcPr>
          <w:p>
            <w:pPr>
              <w:ind w:left="140"/>
              <w:spacing w:after="0" w:line="145" w:lineRule="exact"/>
              <w:rPr>
                <w:sz w:val="20"/>
                <w:szCs w:val="20"/>
                <w:color w:val="auto"/>
              </w:rPr>
            </w:pPr>
            <w:r>
              <w:rPr>
                <w:rFonts w:ascii="Arial" w:cs="Arial" w:eastAsia="Arial" w:hAnsi="Arial"/>
                <w:sz w:val="13"/>
                <w:szCs w:val="13"/>
                <w:color w:val="auto"/>
              </w:rPr>
              <w:t>security of human and veterinary drugs, biological products and medical</w:t>
            </w:r>
          </w:p>
        </w:tc>
      </w:tr>
      <w:tr>
        <w:trPr>
          <w:trHeight w:val="176"/>
        </w:trPr>
        <w:tc>
          <w:tcPr>
            <w:tcW w:w="4500" w:type="dxa"/>
            <w:vAlign w:val="bottom"/>
            <w:tcBorders>
              <w:bottom w:val="single" w:sz="8" w:color="666666"/>
              <w:right w:val="single" w:sz="8" w:color="666666"/>
            </w:tcBorders>
            <w:shd w:val="clear" w:color="auto" w:fill="CCCCCC"/>
          </w:tcPr>
          <w:p>
            <w:pPr>
              <w:spacing w:after="0"/>
              <w:rPr>
                <w:sz w:val="15"/>
                <w:szCs w:val="15"/>
                <w:color w:val="auto"/>
              </w:rPr>
            </w:pPr>
          </w:p>
        </w:tc>
        <w:tc>
          <w:tcPr>
            <w:tcW w:w="4460" w:type="dxa"/>
            <w:vAlign w:val="bottom"/>
            <w:tcBorders>
              <w:bottom w:val="single" w:sz="8" w:color="666666"/>
            </w:tcBorders>
            <w:shd w:val="clear" w:color="auto" w:fill="CCCCCC"/>
          </w:tcPr>
          <w:p>
            <w:pPr>
              <w:ind w:left="140"/>
              <w:spacing w:after="0"/>
              <w:rPr>
                <w:sz w:val="20"/>
                <w:szCs w:val="20"/>
                <w:color w:val="auto"/>
              </w:rPr>
            </w:pPr>
            <w:r>
              <w:rPr>
                <w:rFonts w:ascii="Arial" w:cs="Arial" w:eastAsia="Arial" w:hAnsi="Arial"/>
                <w:sz w:val="13"/>
                <w:szCs w:val="13"/>
                <w:color w:val="auto"/>
              </w:rPr>
              <w:t>devices.</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Forward-looking Statement</w:t>
      </w:r>
    </w:p>
    <w:p>
      <w:pPr>
        <w:spacing w:after="0" w:line="8" w:lineRule="exact"/>
        <w:rPr>
          <w:sz w:val="20"/>
          <w:szCs w:val="20"/>
          <w:color w:val="auto"/>
        </w:rPr>
      </w:pPr>
    </w:p>
    <w:p>
      <w:pPr>
        <w:ind w:left="20" w:right="59"/>
        <w:spacing w:after="0" w:line="237" w:lineRule="auto"/>
        <w:rPr>
          <w:sz w:val="20"/>
          <w:szCs w:val="20"/>
          <w:color w:val="auto"/>
        </w:rPr>
      </w:pPr>
      <w:r>
        <w:rPr>
          <w:rFonts w:ascii="Arial" w:cs="Arial" w:eastAsia="Arial" w:hAnsi="Arial"/>
          <w:sz w:val="12"/>
          <w:szCs w:val="12"/>
          <w:color w:val="auto"/>
        </w:rPr>
        <w:t>This Annual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product discovery and development, uncertainties related to the outcome and conduct of clinical trials including unforeseen safety issues, uncertainties related to product manufacturing,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obsolete, and other factors. Additional factors that could cause our actual results or performance to differ materially could also include and are not limited to the risk and uncertainties related to regulatory action, reimbursement, market adoption by physicians or lack of market acceptance of our products, the risk that the company or our collaborators may be delayed or unsuccessful in planned clinical trial initiations, enrollment and planned regulatory submissions and approvals in the U.S. and other countries. For a further discussion of these risks, please refer to the section “Risk Management” in this Annual Report and the risk factors included in Genmab’s 2022 Annual Report on Form 20-F and other filings with the U.S. Securities and Exchange Commission (SEC). Genmab does not undertake any obligation to update or revise forward looking statements in this Annual Report nor to confirm such statements to reflect subsequent events or circumstances after the date made or in relation to actual results, unless required by law.</w:t>
      </w:r>
    </w:p>
    <w:p>
      <w:pPr>
        <w:spacing w:after="0" w:line="124" w:lineRule="exact"/>
        <w:rPr>
          <w:sz w:val="20"/>
          <w:szCs w:val="20"/>
          <w:color w:val="auto"/>
        </w:rPr>
      </w:pPr>
    </w:p>
    <w:p>
      <w:pPr>
        <w:ind w:left="20" w:right="119"/>
        <w:spacing w:after="0" w:line="182" w:lineRule="auto"/>
        <w:rPr>
          <w:sz w:val="20"/>
          <w:szCs w:val="20"/>
          <w:color w:val="auto"/>
        </w:rPr>
      </w:pPr>
      <w:r>
        <w:rPr>
          <w:rFonts w:ascii="Arial" w:cs="Arial" w:eastAsia="Arial" w:hAnsi="Arial"/>
          <w:sz w:val="12"/>
          <w:szCs w:val="12"/>
          <w:color w:val="auto"/>
        </w:rPr>
        <w:t>Genmab A/S and/or its subsidiaries own the following trademarks: Genmab</w:t>
      </w:r>
      <w:r>
        <w:rPr>
          <w:rFonts w:ascii="Arial" w:cs="Arial" w:eastAsia="Arial" w:hAnsi="Arial"/>
          <w:sz w:val="18"/>
          <w:szCs w:val="18"/>
          <w:color w:val="auto"/>
          <w:vertAlign w:val="superscript"/>
        </w:rPr>
        <w:t>®</w:t>
      </w:r>
      <w:r>
        <w:rPr>
          <w:rFonts w:ascii="Arial" w:cs="Arial" w:eastAsia="Arial" w:hAnsi="Arial"/>
          <w:sz w:val="12"/>
          <w:szCs w:val="12"/>
          <w:color w:val="auto"/>
        </w:rPr>
        <w:t>; the Y-shaped Genmab logo</w:t>
      </w:r>
      <w:r>
        <w:rPr>
          <w:rFonts w:ascii="Arial" w:cs="Arial" w:eastAsia="Arial" w:hAnsi="Arial"/>
          <w:sz w:val="18"/>
          <w:szCs w:val="18"/>
          <w:color w:val="auto"/>
          <w:vertAlign w:val="superscript"/>
        </w:rPr>
        <w:t>®</w:t>
      </w:r>
      <w:r>
        <w:rPr>
          <w:rFonts w:ascii="Arial" w:cs="Arial" w:eastAsia="Arial" w:hAnsi="Arial"/>
          <w:sz w:val="12"/>
          <w:szCs w:val="12"/>
          <w:color w:val="auto"/>
        </w:rPr>
        <w:t>; Genmab in combination with the Y-shaped Genmab logo</w:t>
      </w:r>
      <w:r>
        <w:rPr>
          <w:rFonts w:ascii="Arial" w:cs="Arial" w:eastAsia="Arial" w:hAnsi="Arial"/>
          <w:sz w:val="18"/>
          <w:szCs w:val="18"/>
          <w:color w:val="auto"/>
          <w:vertAlign w:val="superscript"/>
        </w:rPr>
        <w:t>®</w:t>
      </w:r>
      <w:r>
        <w:rPr>
          <w:rFonts w:ascii="Arial" w:cs="Arial" w:eastAsia="Arial" w:hAnsi="Arial"/>
          <w:sz w:val="12"/>
          <w:szCs w:val="12"/>
          <w:color w:val="auto"/>
        </w:rPr>
        <w:t>; HuMax</w:t>
      </w:r>
      <w:r>
        <w:rPr>
          <w:rFonts w:ascii="Arial" w:cs="Arial" w:eastAsia="Arial" w:hAnsi="Arial"/>
          <w:sz w:val="18"/>
          <w:szCs w:val="18"/>
          <w:color w:val="auto"/>
          <w:vertAlign w:val="superscript"/>
        </w:rPr>
        <w:t>®</w:t>
      </w:r>
      <w:r>
        <w:rPr>
          <w:rFonts w:ascii="Arial" w:cs="Arial" w:eastAsia="Arial" w:hAnsi="Arial"/>
          <w:sz w:val="12"/>
          <w:szCs w:val="12"/>
          <w:color w:val="auto"/>
        </w:rPr>
        <w:t>; DuoBody</w:t>
      </w:r>
      <w:r>
        <w:rPr>
          <w:rFonts w:ascii="Arial" w:cs="Arial" w:eastAsia="Arial" w:hAnsi="Arial"/>
          <w:sz w:val="18"/>
          <w:szCs w:val="18"/>
          <w:color w:val="auto"/>
          <w:vertAlign w:val="superscript"/>
        </w:rPr>
        <w:t>®</w:t>
      </w:r>
      <w:r>
        <w:rPr>
          <w:rFonts w:ascii="Arial" w:cs="Arial" w:eastAsia="Arial" w:hAnsi="Arial"/>
          <w:sz w:val="12"/>
          <w:szCs w:val="12"/>
          <w:color w:val="auto"/>
        </w:rPr>
        <w:t>; DuoBody in combination with the DuoBody logo</w:t>
      </w:r>
      <w:r>
        <w:rPr>
          <w:rFonts w:ascii="Arial" w:cs="Arial" w:eastAsia="Arial" w:hAnsi="Arial"/>
          <w:sz w:val="18"/>
          <w:szCs w:val="18"/>
          <w:color w:val="auto"/>
          <w:vertAlign w:val="superscript"/>
        </w:rPr>
        <w:t>®</w:t>
      </w:r>
      <w:r>
        <w:rPr>
          <w:rFonts w:ascii="Arial" w:cs="Arial" w:eastAsia="Arial" w:hAnsi="Arial"/>
          <w:sz w:val="12"/>
          <w:szCs w:val="12"/>
          <w:color w:val="auto"/>
        </w:rPr>
        <w:t>; HexaBody</w:t>
      </w:r>
      <w:r>
        <w:rPr>
          <w:rFonts w:ascii="Arial" w:cs="Arial" w:eastAsia="Arial" w:hAnsi="Arial"/>
          <w:sz w:val="18"/>
          <w:szCs w:val="18"/>
          <w:color w:val="auto"/>
          <w:vertAlign w:val="superscript"/>
        </w:rPr>
        <w:t>®</w:t>
      </w:r>
      <w:r>
        <w:rPr>
          <w:rFonts w:ascii="Arial" w:cs="Arial" w:eastAsia="Arial" w:hAnsi="Arial"/>
          <w:sz w:val="12"/>
          <w:szCs w:val="12"/>
          <w:color w:val="auto"/>
        </w:rPr>
        <w:t>; HexaBody in combination with the HexaBody logo</w:t>
      </w:r>
      <w:r>
        <w:rPr>
          <w:rFonts w:ascii="Arial" w:cs="Arial" w:eastAsia="Arial" w:hAnsi="Arial"/>
          <w:sz w:val="18"/>
          <w:szCs w:val="18"/>
          <w:color w:val="auto"/>
          <w:vertAlign w:val="superscript"/>
        </w:rPr>
        <w:t>®</w:t>
      </w:r>
      <w:r>
        <w:rPr>
          <w:rFonts w:ascii="Arial" w:cs="Arial" w:eastAsia="Arial" w:hAnsi="Arial"/>
          <w:sz w:val="12"/>
          <w:szCs w:val="12"/>
          <w:color w:val="auto"/>
        </w:rPr>
        <w:t>; DuoHexaBody</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and HexElect</w:t>
      </w:r>
      <w:r>
        <w:rPr>
          <w:rFonts w:ascii="Arial" w:cs="Arial" w:eastAsia="Arial" w:hAnsi="Arial"/>
          <w:sz w:val="18"/>
          <w:szCs w:val="18"/>
          <w:color w:val="auto"/>
          <w:vertAlign w:val="superscript"/>
        </w:rPr>
        <w:t>®</w:t>
      </w:r>
      <w:r>
        <w:rPr>
          <w:rFonts w:ascii="Arial" w:cs="Arial" w:eastAsia="Arial" w:hAnsi="Arial"/>
          <w:sz w:val="12"/>
          <w:szCs w:val="12"/>
          <w:color w:val="auto"/>
        </w:rPr>
        <w:t>. Tivdak</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is a trademark of Seagen Inc.; Arzerra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is a trademark of Novartis Pharma AG. Kesimpta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and Sensoready</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are trademarks of Novartis AG or its affiliates; DARZALEX</w:t>
      </w:r>
      <w:r>
        <w:rPr>
          <w:rFonts w:ascii="Arial" w:cs="Arial" w:eastAsia="Arial" w:hAnsi="Arial"/>
          <w:sz w:val="18"/>
          <w:szCs w:val="18"/>
          <w:color w:val="auto"/>
          <w:vertAlign w:val="superscript"/>
        </w:rPr>
        <w:t>®</w:t>
      </w:r>
      <w:r>
        <w:rPr>
          <w:rFonts w:ascii="Arial" w:cs="Arial" w:eastAsia="Arial" w:hAnsi="Arial"/>
          <w:sz w:val="12"/>
          <w:szCs w:val="12"/>
          <w:color w:val="auto"/>
        </w:rPr>
        <w:t xml:space="preserve">, DARZALEX </w:t>
      </w:r>
      <w:r>
        <w:rPr>
          <w:rFonts w:ascii="Arial" w:cs="Arial" w:eastAsia="Arial" w:hAnsi="Arial"/>
          <w:sz w:val="12"/>
          <w:szCs w:val="12"/>
          <w:i w:val="1"/>
          <w:iCs w:val="1"/>
          <w:color w:val="auto"/>
        </w:rPr>
        <w:t>FASPRO</w:t>
      </w:r>
      <w:r>
        <w:rPr>
          <w:rFonts w:ascii="Arial" w:cs="Arial" w:eastAsia="Arial" w:hAnsi="Arial"/>
          <w:sz w:val="18"/>
          <w:szCs w:val="18"/>
          <w:color w:val="auto"/>
          <w:vertAlign w:val="superscript"/>
        </w:rPr>
        <w:t>®</w:t>
      </w:r>
      <w:r>
        <w:rPr>
          <w:rFonts w:ascii="Arial" w:cs="Arial" w:eastAsia="Arial" w:hAnsi="Arial"/>
          <w:sz w:val="12"/>
          <w:szCs w:val="12"/>
          <w:color w:val="auto"/>
        </w:rPr>
        <w:t>, RYBREVANT</w:t>
      </w:r>
      <w:r>
        <w:rPr>
          <w:rFonts w:ascii="Arial" w:cs="Arial" w:eastAsia="Arial" w:hAnsi="Arial"/>
          <w:sz w:val="18"/>
          <w:szCs w:val="18"/>
          <w:color w:val="auto"/>
          <w:vertAlign w:val="superscript"/>
        </w:rPr>
        <w:t>®</w:t>
      </w:r>
      <w:r>
        <w:rPr>
          <w:rFonts w:ascii="Arial" w:cs="Arial" w:eastAsia="Arial" w:hAnsi="Arial"/>
          <w:sz w:val="12"/>
          <w:szCs w:val="12"/>
          <w:color w:val="auto"/>
        </w:rPr>
        <w:t>, and TECVAYLI</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are trademarks of Johnson &amp; Johnson; EPCORE™ is a trademark of AbbVie Biotechnology Ltd.; TEPEZZA</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is a trademark of Horizon Therapeutics Ireland DAC. ©2023, Genmab A/S. All rights reserved.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Photograph credits: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Andrei Jackamets</w:t>
      </w:r>
    </w:p>
    <w:p>
      <w:pPr>
        <w:ind w:left="20"/>
        <w:spacing w:after="0" w:line="236" w:lineRule="auto"/>
        <w:rPr>
          <w:sz w:val="20"/>
          <w:szCs w:val="20"/>
          <w:color w:val="auto"/>
        </w:rPr>
      </w:pPr>
      <w:r>
        <w:rPr>
          <w:rFonts w:ascii="Arial" w:cs="Arial" w:eastAsia="Arial" w:hAnsi="Arial"/>
          <w:sz w:val="12"/>
          <w:szCs w:val="12"/>
          <w:color w:val="auto"/>
        </w:rPr>
        <w:t>Tuala Hjarnø</w:t>
      </w:r>
    </w:p>
    <w:p>
      <w:pPr>
        <w:ind w:left="20"/>
        <w:spacing w:after="0"/>
        <w:rPr>
          <w:sz w:val="20"/>
          <w:szCs w:val="20"/>
          <w:color w:val="auto"/>
        </w:rPr>
      </w:pPr>
      <w:r>
        <w:rPr>
          <w:rFonts w:ascii="Arial" w:cs="Arial" w:eastAsia="Arial" w:hAnsi="Arial"/>
          <w:sz w:val="12"/>
          <w:szCs w:val="12"/>
          <w:color w:val="auto"/>
        </w:rPr>
        <w:t>3FX,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20"/>
                <w:szCs w:val="20"/>
                <w:color w:val="auto"/>
              </w:rPr>
            </w:pPr>
            <w:r>
              <w:rPr>
                <w:rFonts w:ascii="Arial" w:cs="Arial" w:eastAsia="Arial" w:hAnsi="Arial"/>
                <w:sz w:val="10"/>
                <w:szCs w:val="10"/>
                <w:color w:val="auto"/>
              </w:rPr>
              <w:t>Genmab A/S</w:t>
            </w:r>
          </w:p>
        </w:tc>
        <w:tc>
          <w:tcPr>
            <w:tcW w:w="3520" w:type="dxa"/>
            <w:vAlign w:val="bottom"/>
            <w:gridSpan w:val="3"/>
          </w:tcPr>
          <w:p>
            <w:pPr>
              <w:ind w:left="900"/>
              <w:spacing w:after="0"/>
              <w:rPr>
                <w:sz w:val="20"/>
                <w:szCs w:val="20"/>
                <w:color w:val="auto"/>
              </w:rPr>
            </w:pPr>
            <w:r>
              <w:rPr>
                <w:rFonts w:ascii="Arial" w:cs="Arial" w:eastAsia="Arial" w:hAnsi="Arial"/>
                <w:sz w:val="10"/>
                <w:szCs w:val="10"/>
                <w:color w:val="auto"/>
              </w:rPr>
              <w:t>Tel: +45 7020 2728</w:t>
            </w:r>
          </w:p>
        </w:tc>
        <w:tc>
          <w:tcPr>
            <w:tcW w:w="32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r>
      <w:tr>
        <w:trPr>
          <w:trHeight w:val="109"/>
        </w:trPr>
        <w:tc>
          <w:tcPr>
            <w:tcW w:w="224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jc w:val="right"/>
              <w:spacing w:after="0" w:line="109" w:lineRule="exact"/>
              <w:rPr>
                <w:sz w:val="20"/>
                <w:szCs w:val="20"/>
                <w:color w:val="auto"/>
              </w:rPr>
            </w:pPr>
            <w:r>
              <w:rPr>
                <w:rFonts w:ascii="Arial" w:cs="Arial" w:eastAsia="Arial" w:hAnsi="Arial"/>
                <w:sz w:val="10"/>
                <w:szCs w:val="10"/>
                <w:color w:val="auto"/>
              </w:rPr>
              <w:t>Page 157/158</w:t>
            </w: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3520" w:type="dxa"/>
            <w:vAlign w:val="bottom"/>
            <w:gridSpan w:val="3"/>
          </w:tcPr>
          <w:p>
            <w:pPr>
              <w:ind w:left="900"/>
              <w:spacing w:after="0" w:line="105" w:lineRule="exact"/>
              <w:rPr>
                <w:sz w:val="20"/>
                <w:szCs w:val="20"/>
                <w:color w:val="auto"/>
              </w:rPr>
            </w:pPr>
            <w:r>
              <w:rPr>
                <w:rFonts w:ascii="Arial" w:cs="Arial" w:eastAsia="Arial" w:hAnsi="Arial"/>
                <w:sz w:val="10"/>
                <w:szCs w:val="10"/>
                <w:color w:val="0000FF"/>
              </w:rPr>
              <w:t>www.genmab.com</w:t>
            </w:r>
          </w:p>
        </w:tc>
        <w:tc>
          <w:tcPr>
            <w:tcW w:w="32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r>
      <w:tr>
        <w:trPr>
          <w:trHeight w:val="368"/>
        </w:trPr>
        <w:tc>
          <w:tcPr>
            <w:tcW w:w="2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60" w:name="page161"/>
    <w:bookmarkEnd w:id="160"/>
    <w:p>
      <w:pPr>
        <w:ind w:left="20"/>
        <w:spacing w:after="0"/>
        <w:rPr>
          <w:sz w:val="20"/>
          <w:szCs w:val="20"/>
          <w:color w:val="auto"/>
        </w:rPr>
      </w:pPr>
      <w:r>
        <w:rPr>
          <w:rFonts w:ascii="Arial" w:cs="Arial" w:eastAsia="Arial" w:hAnsi="Arial"/>
          <w:sz w:val="15"/>
          <w:szCs w:val="15"/>
          <w:b w:val="1"/>
          <w:bCs w:val="1"/>
          <w:color w:val="auto"/>
        </w:rPr>
        <w:t>GENMAB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-97155</wp:posOffset>
            </wp:positionV>
            <wp:extent cx="1323975" cy="3854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23975" cy="3854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About Genmab A/S</w:t>
      </w:r>
    </w:p>
    <w:p>
      <w:pPr>
        <w:spacing w:after="0" w:line="8" w:lineRule="exact"/>
        <w:rPr>
          <w:sz w:val="20"/>
          <w:szCs w:val="20"/>
          <w:color w:val="auto"/>
        </w:rPr>
      </w:pPr>
    </w:p>
    <w:p>
      <w:pPr>
        <w:ind w:left="20" w:right="239"/>
        <w:spacing w:after="0" w:line="241" w:lineRule="auto"/>
        <w:rPr>
          <w:sz w:val="20"/>
          <w:szCs w:val="20"/>
          <w:color w:val="auto"/>
        </w:rPr>
      </w:pPr>
      <w:r>
        <w:rPr>
          <w:rFonts w:ascii="Arial" w:cs="Arial" w:eastAsia="Arial" w:hAnsi="Arial"/>
          <w:sz w:val="12"/>
          <w:szCs w:val="12"/>
          <w:color w:val="auto"/>
        </w:rPr>
        <w:t>Genmab is an international biotechnology company with a core purpose guiding its unstoppable team to strive towards improving the lives of patients through innovative and differentiated antibody therapeutics. For more than 20 years, its passionate, innovative and collaborative team has invented next-generation antibody technology platforms and leveraged translational research and data sciences, which has resulted in a proprietary pipeline including bispecific T-cell engagers, next-generation immune checkpoint modulators, effector function enhanced antibodies and antibody-drug conjugates.</w:t>
      </w:r>
    </w:p>
    <w:p>
      <w:pPr>
        <w:spacing w:after="0" w:line="114"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To help develop and deliver novel antibody therapies to patients, Genmab has formed 20+ strategic partnerships with biotechnology and pharmaceutical companies. By 2030, Genmab’s vision is to transform the lives of people with cancer and other serious diseases with Knock-Your-Socks-Off (KYSO) antibody medicines.</w:t>
      </w:r>
    </w:p>
    <w:p>
      <w:pPr>
        <w:spacing w:after="0" w:line="94" w:lineRule="exact"/>
        <w:rPr>
          <w:sz w:val="20"/>
          <w:szCs w:val="20"/>
          <w:color w:val="auto"/>
        </w:rPr>
      </w:pPr>
    </w:p>
    <w:p>
      <w:pPr>
        <w:ind w:left="20" w:right="39"/>
        <w:spacing w:after="0" w:line="273" w:lineRule="auto"/>
        <w:rPr>
          <w:sz w:val="20"/>
          <w:szCs w:val="20"/>
          <w:color w:val="auto"/>
        </w:rPr>
      </w:pPr>
      <w:r>
        <w:rPr>
          <w:rFonts w:ascii="Arial" w:cs="Arial" w:eastAsia="Arial" w:hAnsi="Arial"/>
          <w:sz w:val="12"/>
          <w:szCs w:val="12"/>
          <w:color w:val="auto"/>
        </w:rPr>
        <w:t xml:space="preserve">Established in 1999, Genmab is headquartered in Copenhagen, Denmark with locations in Utrecht, the Netherlands, Princeton, New Jersey, U.S. and Tokyo, Japan. For more information, please visit </w:t>
      </w:r>
      <w:r>
        <w:rPr>
          <w:rFonts w:ascii="Arial" w:cs="Arial" w:eastAsia="Arial" w:hAnsi="Arial"/>
          <w:sz w:val="12"/>
          <w:szCs w:val="12"/>
          <w:color w:val="029C93"/>
        </w:rPr>
        <w:t>Genmab.com</w:t>
      </w:r>
      <w:r>
        <w:rPr>
          <w:rFonts w:ascii="Arial" w:cs="Arial" w:eastAsia="Arial" w:hAnsi="Arial"/>
          <w:sz w:val="12"/>
          <w:szCs w:val="12"/>
          <w:color w:val="auto"/>
        </w:rPr>
        <w:t xml:space="preserve"> and follow us on </w:t>
      </w:r>
      <w:r>
        <w:rPr>
          <w:rFonts w:ascii="Arial" w:cs="Arial" w:eastAsia="Arial" w:hAnsi="Arial"/>
          <w:sz w:val="12"/>
          <w:szCs w:val="12"/>
          <w:color w:val="029C93"/>
        </w:rPr>
        <w:t>Twitter.com/Genmab</w:t>
      </w:r>
      <w:r>
        <w:rPr>
          <w:rFonts w:ascii="Arial" w:cs="Arial" w:eastAsia="Arial" w:hAnsi="Arial"/>
          <w:sz w:val="12"/>
          <w:szCs w:val="12"/>
          <w:color w:val="auto"/>
        </w:rPr>
        <w: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60" w:type="dxa"/>
            <w:vAlign w:val="bottom"/>
          </w:tcPr>
          <w:p>
            <w:pPr>
              <w:ind w:left="100"/>
              <w:spacing w:after="0"/>
              <w:rPr>
                <w:sz w:val="20"/>
                <w:szCs w:val="20"/>
                <w:color w:val="auto"/>
              </w:rPr>
            </w:pPr>
            <w:r>
              <w:rPr>
                <w:rFonts w:ascii="Arial" w:cs="Arial" w:eastAsia="Arial" w:hAnsi="Arial"/>
                <w:sz w:val="15"/>
                <w:szCs w:val="15"/>
                <w:b w:val="1"/>
                <w:bCs w:val="1"/>
                <w:color w:val="auto"/>
              </w:rPr>
              <w:t>Addresses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2"/>
                <w:szCs w:val="12"/>
                <w:b w:val="1"/>
                <w:bCs w:val="1"/>
                <w:color w:val="029C93"/>
              </w:rPr>
              <w:t>GENMAB B.V. &amp; GENMAB HOLDING B.V.</w:t>
            </w:r>
          </w:p>
        </w:tc>
        <w:tc>
          <w:tcPr>
            <w:tcW w:w="0" w:type="dxa"/>
            <w:vAlign w:val="bottom"/>
          </w:tcPr>
          <w:p>
            <w:pPr>
              <w:spacing w:after="0"/>
              <w:rPr>
                <w:sz w:val="1"/>
                <w:szCs w:val="1"/>
                <w:color w:val="auto"/>
              </w:rPr>
            </w:pPr>
          </w:p>
        </w:tc>
      </w:tr>
      <w:tr>
        <w:trPr>
          <w:trHeight w:val="145"/>
        </w:trPr>
        <w:tc>
          <w:tcPr>
            <w:tcW w:w="2260" w:type="dxa"/>
            <w:vAlign w:val="bottom"/>
          </w:tcPr>
          <w:p>
            <w:pPr>
              <w:ind w:left="100"/>
              <w:spacing w:after="0"/>
              <w:rPr>
                <w:sz w:val="20"/>
                <w:szCs w:val="20"/>
                <w:color w:val="auto"/>
              </w:rPr>
            </w:pPr>
            <w:r>
              <w:rPr>
                <w:rFonts w:ascii="Arial" w:cs="Arial" w:eastAsia="Arial" w:hAnsi="Arial"/>
                <w:sz w:val="12"/>
                <w:szCs w:val="12"/>
                <w:b w:val="1"/>
                <w:bCs w:val="1"/>
                <w:color w:val="029C93"/>
              </w:rPr>
              <w:t>GENMAB A/S</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auto"/>
              </w:rPr>
              <w:t>Uppsalalaan 15</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line="136" w:lineRule="exact"/>
              <w:rPr>
                <w:sz w:val="20"/>
                <w:szCs w:val="20"/>
                <w:color w:val="auto"/>
              </w:rPr>
            </w:pPr>
            <w:r>
              <w:rPr>
                <w:rFonts w:ascii="Arial" w:cs="Arial" w:eastAsia="Arial" w:hAnsi="Arial"/>
                <w:sz w:val="12"/>
                <w:szCs w:val="12"/>
                <w:color w:val="auto"/>
              </w:rPr>
              <w:t>Kalvebod Brygge 43</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380" w:type="dxa"/>
            <w:vAlign w:val="bottom"/>
            <w:gridSpan w:val="2"/>
          </w:tcPr>
          <w:p>
            <w:pPr>
              <w:spacing w:after="0" w:line="136" w:lineRule="exact"/>
              <w:rPr>
                <w:sz w:val="20"/>
                <w:szCs w:val="20"/>
                <w:color w:val="auto"/>
              </w:rPr>
            </w:pPr>
            <w:r>
              <w:rPr>
                <w:rFonts w:ascii="Arial" w:cs="Arial" w:eastAsia="Arial" w:hAnsi="Arial"/>
                <w:sz w:val="12"/>
                <w:szCs w:val="12"/>
                <w:color w:val="auto"/>
              </w:rPr>
              <w:t>3584 CT Utrecht</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line="136" w:lineRule="exact"/>
              <w:rPr>
                <w:sz w:val="20"/>
                <w:szCs w:val="20"/>
                <w:color w:val="auto"/>
              </w:rPr>
            </w:pPr>
            <w:r>
              <w:rPr>
                <w:rFonts w:ascii="Arial" w:cs="Arial" w:eastAsia="Arial" w:hAnsi="Arial"/>
                <w:sz w:val="12"/>
                <w:szCs w:val="12"/>
                <w:color w:val="auto"/>
              </w:rPr>
              <w:t>1560 Copenhagen V</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380" w:type="dxa"/>
            <w:vAlign w:val="bottom"/>
            <w:gridSpan w:val="2"/>
          </w:tcPr>
          <w:p>
            <w:pPr>
              <w:spacing w:after="0" w:line="136" w:lineRule="exact"/>
              <w:rPr>
                <w:sz w:val="20"/>
                <w:szCs w:val="20"/>
                <w:color w:val="auto"/>
              </w:rPr>
            </w:pPr>
            <w:r>
              <w:rPr>
                <w:rFonts w:ascii="Arial" w:cs="Arial" w:eastAsia="Arial" w:hAnsi="Arial"/>
                <w:sz w:val="12"/>
                <w:szCs w:val="12"/>
                <w:color w:val="auto"/>
              </w:rPr>
              <w:t>The Netherlands</w:t>
            </w:r>
          </w:p>
        </w:tc>
        <w:tc>
          <w:tcPr>
            <w:tcW w:w="0" w:type="dxa"/>
            <w:vAlign w:val="bottom"/>
          </w:tcPr>
          <w:p>
            <w:pPr>
              <w:spacing w:after="0"/>
              <w:rPr>
                <w:sz w:val="1"/>
                <w:szCs w:val="1"/>
                <w:color w:val="auto"/>
              </w:rPr>
            </w:pPr>
          </w:p>
        </w:tc>
      </w:tr>
      <w:tr>
        <w:trPr>
          <w:trHeight w:val="151"/>
        </w:trPr>
        <w:tc>
          <w:tcPr>
            <w:tcW w:w="2260" w:type="dxa"/>
            <w:vAlign w:val="bottom"/>
          </w:tcPr>
          <w:p>
            <w:pPr>
              <w:ind w:left="100"/>
              <w:spacing w:after="0"/>
              <w:rPr>
                <w:sz w:val="20"/>
                <w:szCs w:val="20"/>
                <w:color w:val="auto"/>
              </w:rPr>
            </w:pPr>
            <w:r>
              <w:rPr>
                <w:rFonts w:ascii="Arial" w:cs="Arial" w:eastAsia="Arial" w:hAnsi="Arial"/>
                <w:sz w:val="12"/>
                <w:szCs w:val="12"/>
                <w:color w:val="auto"/>
              </w:rPr>
              <w:t>Denmark</w:t>
            </w: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auto"/>
              </w:rPr>
              <w:t>T. +31 30 2 123 123</w:t>
            </w:r>
          </w:p>
        </w:tc>
        <w:tc>
          <w:tcPr>
            <w:tcW w:w="0" w:type="dxa"/>
            <w:vAlign w:val="bottom"/>
          </w:tcPr>
          <w:p>
            <w:pPr>
              <w:spacing w:after="0"/>
              <w:rPr>
                <w:sz w:val="1"/>
                <w:szCs w:val="1"/>
                <w:color w:val="auto"/>
              </w:rPr>
            </w:pPr>
          </w:p>
        </w:tc>
      </w:tr>
      <w:tr>
        <w:trPr>
          <w:trHeight w:val="159"/>
        </w:trPr>
        <w:tc>
          <w:tcPr>
            <w:tcW w:w="2260" w:type="dxa"/>
            <w:vAlign w:val="bottom"/>
          </w:tcPr>
          <w:p>
            <w:pPr>
              <w:ind w:left="100"/>
              <w:spacing w:after="0"/>
              <w:rPr>
                <w:sz w:val="20"/>
                <w:szCs w:val="20"/>
                <w:color w:val="auto"/>
              </w:rPr>
            </w:pPr>
            <w:r>
              <w:rPr>
                <w:rFonts w:ascii="Arial" w:cs="Arial" w:eastAsia="Arial" w:hAnsi="Arial"/>
                <w:sz w:val="12"/>
                <w:szCs w:val="12"/>
                <w:color w:val="auto"/>
              </w:rPr>
              <w:t>T. +45 70 20 27 28</w:t>
            </w: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380" w:type="dxa"/>
            <w:vAlign w:val="bottom"/>
            <w:gridSpan w:val="2"/>
            <w:vMerge w:val="restart"/>
          </w:tcPr>
          <w:p>
            <w:pPr>
              <w:spacing w:after="0"/>
              <w:rPr>
                <w:sz w:val="20"/>
                <w:szCs w:val="20"/>
                <w:color w:val="auto"/>
              </w:rPr>
            </w:pPr>
            <w:r>
              <w:rPr>
                <w:rFonts w:ascii="Arial" w:cs="Arial" w:eastAsia="Arial" w:hAnsi="Arial"/>
                <w:sz w:val="12"/>
                <w:szCs w:val="12"/>
                <w:b w:val="1"/>
                <w:bCs w:val="1"/>
                <w:color w:val="029C93"/>
              </w:rPr>
              <w:t>GENMAB K.K.</w:t>
            </w:r>
          </w:p>
        </w:tc>
        <w:tc>
          <w:tcPr>
            <w:tcW w:w="0" w:type="dxa"/>
            <w:vAlign w:val="bottom"/>
          </w:tcPr>
          <w:p>
            <w:pPr>
              <w:spacing w:after="0"/>
              <w:rPr>
                <w:sz w:val="1"/>
                <w:szCs w:val="1"/>
                <w:color w:val="auto"/>
              </w:rPr>
            </w:pPr>
          </w:p>
        </w:tc>
      </w:tr>
      <w:tr>
        <w:trPr>
          <w:trHeight w:val="85"/>
        </w:trPr>
        <w:tc>
          <w:tcPr>
            <w:tcW w:w="2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00"/>
              <w:spacing w:after="0"/>
              <w:rPr>
                <w:sz w:val="20"/>
                <w:szCs w:val="20"/>
                <w:color w:val="auto"/>
              </w:rPr>
            </w:pPr>
            <w:r>
              <w:rPr>
                <w:rFonts w:ascii="Arial" w:cs="Arial" w:eastAsia="Arial" w:hAnsi="Arial"/>
                <w:sz w:val="12"/>
                <w:szCs w:val="12"/>
                <w:b w:val="1"/>
                <w:bCs w:val="1"/>
                <w:color w:val="029C93"/>
              </w:rPr>
              <w:t>GENMAB US, INC.</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auto"/>
              </w:rPr>
              <w:t>35F Midtown Tower</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line="136" w:lineRule="exact"/>
              <w:rPr>
                <w:sz w:val="20"/>
                <w:szCs w:val="20"/>
                <w:color w:val="auto"/>
              </w:rPr>
            </w:pPr>
            <w:r>
              <w:rPr>
                <w:rFonts w:ascii="Arial" w:cs="Arial" w:eastAsia="Arial" w:hAnsi="Arial"/>
                <w:sz w:val="12"/>
                <w:szCs w:val="12"/>
                <w:color w:val="auto"/>
              </w:rPr>
              <w:t>777 Scudders Mill Road</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380" w:type="dxa"/>
            <w:vAlign w:val="bottom"/>
            <w:gridSpan w:val="2"/>
          </w:tcPr>
          <w:p>
            <w:pPr>
              <w:spacing w:after="0" w:line="136" w:lineRule="exact"/>
              <w:rPr>
                <w:sz w:val="20"/>
                <w:szCs w:val="20"/>
                <w:color w:val="auto"/>
              </w:rPr>
            </w:pPr>
            <w:r>
              <w:rPr>
                <w:rFonts w:ascii="Arial" w:cs="Arial" w:eastAsia="Arial" w:hAnsi="Arial"/>
                <w:sz w:val="12"/>
                <w:szCs w:val="12"/>
                <w:color w:val="auto"/>
              </w:rPr>
              <w:t>9-7-1 Akasaka, Minato-ku</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line="136" w:lineRule="exact"/>
              <w:rPr>
                <w:sz w:val="20"/>
                <w:szCs w:val="20"/>
                <w:color w:val="auto"/>
              </w:rPr>
            </w:pPr>
            <w:r>
              <w:rPr>
                <w:rFonts w:ascii="Arial" w:cs="Arial" w:eastAsia="Arial" w:hAnsi="Arial"/>
                <w:sz w:val="12"/>
                <w:szCs w:val="12"/>
                <w:color w:val="auto"/>
              </w:rPr>
              <w:t>Plainsboro, NJ 08536</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380" w:type="dxa"/>
            <w:vAlign w:val="bottom"/>
            <w:gridSpan w:val="2"/>
          </w:tcPr>
          <w:p>
            <w:pPr>
              <w:spacing w:after="0" w:line="136" w:lineRule="exact"/>
              <w:rPr>
                <w:sz w:val="20"/>
                <w:szCs w:val="20"/>
                <w:color w:val="auto"/>
              </w:rPr>
            </w:pPr>
            <w:r>
              <w:rPr>
                <w:rFonts w:ascii="Arial" w:cs="Arial" w:eastAsia="Arial" w:hAnsi="Arial"/>
                <w:sz w:val="12"/>
                <w:szCs w:val="12"/>
                <w:color w:val="auto"/>
              </w:rPr>
              <w:t>Tokyo 107-6235</w:t>
            </w:r>
          </w:p>
        </w:tc>
        <w:tc>
          <w:tcPr>
            <w:tcW w:w="0" w:type="dxa"/>
            <w:vAlign w:val="bottom"/>
          </w:tcPr>
          <w:p>
            <w:pPr>
              <w:spacing w:after="0"/>
              <w:rPr>
                <w:sz w:val="1"/>
                <w:szCs w:val="1"/>
                <w:color w:val="auto"/>
              </w:rPr>
            </w:pPr>
          </w:p>
        </w:tc>
      </w:tr>
      <w:tr>
        <w:trPr>
          <w:trHeight w:val="136"/>
        </w:trPr>
        <w:tc>
          <w:tcPr>
            <w:tcW w:w="2260" w:type="dxa"/>
            <w:vAlign w:val="bottom"/>
          </w:tcPr>
          <w:p>
            <w:pPr>
              <w:ind w:left="100"/>
              <w:spacing w:after="0" w:line="136" w:lineRule="exact"/>
              <w:rPr>
                <w:sz w:val="20"/>
                <w:szCs w:val="20"/>
                <w:color w:val="auto"/>
              </w:rPr>
            </w:pPr>
            <w:r>
              <w:rPr>
                <w:rFonts w:ascii="Arial" w:cs="Arial" w:eastAsia="Arial" w:hAnsi="Arial"/>
                <w:sz w:val="12"/>
                <w:szCs w:val="12"/>
                <w:color w:val="auto"/>
              </w:rPr>
              <w:t>USA</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380" w:type="dxa"/>
            <w:vAlign w:val="bottom"/>
            <w:gridSpan w:val="2"/>
          </w:tcPr>
          <w:p>
            <w:pPr>
              <w:spacing w:after="0" w:line="136" w:lineRule="exact"/>
              <w:rPr>
                <w:sz w:val="20"/>
                <w:szCs w:val="20"/>
                <w:color w:val="auto"/>
              </w:rPr>
            </w:pPr>
            <w:r>
              <w:rPr>
                <w:rFonts w:ascii="Arial" w:cs="Arial" w:eastAsia="Arial" w:hAnsi="Arial"/>
                <w:sz w:val="12"/>
                <w:szCs w:val="12"/>
                <w:color w:val="auto"/>
              </w:rPr>
              <w:t>Japan</w:t>
            </w:r>
          </w:p>
        </w:tc>
        <w:tc>
          <w:tcPr>
            <w:tcW w:w="0" w:type="dxa"/>
            <w:vAlign w:val="bottom"/>
          </w:tcPr>
          <w:p>
            <w:pPr>
              <w:spacing w:after="0"/>
              <w:rPr>
                <w:sz w:val="1"/>
                <w:szCs w:val="1"/>
                <w:color w:val="auto"/>
              </w:rPr>
            </w:pPr>
          </w:p>
        </w:tc>
      </w:tr>
      <w:tr>
        <w:trPr>
          <w:trHeight w:val="174"/>
        </w:trPr>
        <w:tc>
          <w:tcPr>
            <w:tcW w:w="2260" w:type="dxa"/>
            <w:vAlign w:val="bottom"/>
          </w:tcPr>
          <w:p>
            <w:pPr>
              <w:ind w:left="100"/>
              <w:spacing w:after="0"/>
              <w:rPr>
                <w:sz w:val="20"/>
                <w:szCs w:val="20"/>
                <w:color w:val="auto"/>
              </w:rPr>
            </w:pPr>
            <w:r>
              <w:rPr>
                <w:rFonts w:ascii="Arial" w:cs="Arial" w:eastAsia="Arial" w:hAnsi="Arial"/>
                <w:sz w:val="12"/>
                <w:szCs w:val="12"/>
                <w:color w:val="auto"/>
              </w:rPr>
              <w:t>T. +1 609 430 2481</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auto"/>
              </w:rPr>
              <w:t>T. +81 3 5403 6330</w:t>
            </w:r>
          </w:p>
        </w:tc>
        <w:tc>
          <w:tcPr>
            <w:tcW w:w="0" w:type="dxa"/>
            <w:vAlign w:val="bottom"/>
          </w:tcPr>
          <w:p>
            <w:pPr>
              <w:spacing w:after="0"/>
              <w:rPr>
                <w:sz w:val="1"/>
                <w:szCs w:val="1"/>
                <w:color w:val="auto"/>
              </w:rPr>
            </w:pPr>
          </w:p>
        </w:tc>
      </w:tr>
      <w:tr>
        <w:trPr>
          <w:trHeight w:val="352"/>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029C93"/>
              </w:rPr>
              <w:t>www.genmab.com</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shd w:val="clear" w:color="auto" w:fill="029C9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80" w:type="dxa"/>
            <w:vAlign w:val="bottom"/>
            <w:gridSpan w:val="2"/>
          </w:tcPr>
          <w:p>
            <w:pPr>
              <w:spacing w:after="0"/>
              <w:rPr>
                <w:sz w:val="20"/>
                <w:szCs w:val="20"/>
                <w:color w:val="auto"/>
              </w:rPr>
            </w:pPr>
            <w:r>
              <w:rPr>
                <w:rFonts w:ascii="Arial" w:cs="Arial" w:eastAsia="Arial" w:hAnsi="Arial"/>
                <w:sz w:val="12"/>
                <w:szCs w:val="12"/>
                <w:color w:val="auto"/>
              </w:rPr>
              <w:t>LEI Code 529900MTJPDPE4MHJ122</w:t>
            </w:r>
          </w:p>
        </w:tc>
        <w:tc>
          <w:tcPr>
            <w:tcW w:w="0" w:type="dxa"/>
            <w:vAlign w:val="bottom"/>
          </w:tcPr>
          <w:p>
            <w:pPr>
              <w:spacing w:after="0"/>
              <w:rPr>
                <w:sz w:val="1"/>
                <w:szCs w:val="1"/>
                <w:color w:val="auto"/>
              </w:rPr>
            </w:pPr>
          </w:p>
        </w:tc>
      </w:tr>
      <w:tr>
        <w:trPr>
          <w:trHeight w:val="507"/>
        </w:trPr>
        <w:tc>
          <w:tcPr>
            <w:tcW w:w="2260" w:type="dxa"/>
            <w:vAlign w:val="bottom"/>
          </w:tcPr>
          <w:p>
            <w:pPr>
              <w:spacing w:after="0"/>
              <w:rPr>
                <w:sz w:val="20"/>
                <w:szCs w:val="20"/>
                <w:color w:val="auto"/>
              </w:rPr>
            </w:pPr>
            <w:r>
              <w:rPr>
                <w:rFonts w:ascii="Arial" w:cs="Arial" w:eastAsia="Arial" w:hAnsi="Arial"/>
                <w:sz w:val="10"/>
                <w:szCs w:val="10"/>
                <w:color w:val="auto"/>
              </w:rPr>
              <w:t>Genmab A/S</w:t>
            </w:r>
          </w:p>
        </w:tc>
        <w:tc>
          <w:tcPr>
            <w:tcW w:w="2320" w:type="dxa"/>
            <w:vAlign w:val="bottom"/>
            <w:gridSpan w:val="3"/>
          </w:tcPr>
          <w:p>
            <w:pPr>
              <w:ind w:left="880"/>
              <w:spacing w:after="0"/>
              <w:rPr>
                <w:sz w:val="20"/>
                <w:szCs w:val="20"/>
                <w:color w:val="auto"/>
              </w:rPr>
            </w:pPr>
            <w:r>
              <w:rPr>
                <w:rFonts w:ascii="Arial" w:cs="Arial" w:eastAsia="Arial" w:hAnsi="Arial"/>
                <w:sz w:val="10"/>
                <w:szCs w:val="10"/>
                <w:color w:val="auto"/>
              </w:rPr>
              <w:t>Tel: +45 7020 2728</w:t>
            </w:r>
          </w:p>
        </w:tc>
        <w:tc>
          <w:tcPr>
            <w:tcW w:w="98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0"/>
                <w:szCs w:val="10"/>
                <w:color w:val="auto"/>
              </w:rPr>
              <w:t>Company Announcement no. 05</w:t>
            </w:r>
          </w:p>
        </w:tc>
        <w:tc>
          <w:tcPr>
            <w:tcW w:w="0" w:type="dxa"/>
            <w:vAlign w:val="bottom"/>
          </w:tcPr>
          <w:p>
            <w:pPr>
              <w:spacing w:after="0"/>
              <w:rPr>
                <w:sz w:val="1"/>
                <w:szCs w:val="1"/>
                <w:color w:val="auto"/>
              </w:rPr>
            </w:pPr>
          </w:p>
        </w:tc>
      </w:tr>
      <w:tr>
        <w:trPr>
          <w:trHeight w:val="109"/>
        </w:trPr>
        <w:tc>
          <w:tcPr>
            <w:tcW w:w="2260" w:type="dxa"/>
            <w:vAlign w:val="bottom"/>
          </w:tcPr>
          <w:p>
            <w:pPr>
              <w:spacing w:after="0" w:line="109" w:lineRule="exact"/>
              <w:rPr>
                <w:sz w:val="20"/>
                <w:szCs w:val="20"/>
                <w:color w:val="auto"/>
              </w:rPr>
            </w:pPr>
            <w:r>
              <w:rPr>
                <w:rFonts w:ascii="Arial" w:cs="Arial" w:eastAsia="Arial" w:hAnsi="Arial"/>
                <w:sz w:val="10"/>
                <w:szCs w:val="10"/>
                <w:color w:val="auto"/>
              </w:rPr>
              <w:t>Kalvebod Brygge 43</w:t>
            </w: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0" w:type="dxa"/>
            <w:vAlign w:val="bottom"/>
          </w:tcPr>
          <w:p>
            <w:pPr>
              <w:jc w:val="right"/>
              <w:spacing w:after="0" w:line="109" w:lineRule="exact"/>
              <w:rPr>
                <w:sz w:val="20"/>
                <w:szCs w:val="20"/>
                <w:color w:val="auto"/>
              </w:rPr>
            </w:pPr>
            <w:r>
              <w:rPr>
                <w:rFonts w:ascii="Arial" w:cs="Arial" w:eastAsia="Arial" w:hAnsi="Arial"/>
                <w:sz w:val="10"/>
                <w:szCs w:val="10"/>
                <w:color w:val="auto"/>
              </w:rPr>
              <w:t>Page 158/158</w:t>
            </w:r>
          </w:p>
        </w:tc>
        <w:tc>
          <w:tcPr>
            <w:tcW w:w="0" w:type="dxa"/>
            <w:vAlign w:val="bottom"/>
          </w:tcPr>
          <w:p>
            <w:pPr>
              <w:spacing w:after="0"/>
              <w:rPr>
                <w:sz w:val="1"/>
                <w:szCs w:val="1"/>
                <w:color w:val="auto"/>
              </w:rPr>
            </w:pPr>
          </w:p>
        </w:tc>
      </w:tr>
      <w:tr>
        <w:trPr>
          <w:trHeight w:val="105"/>
        </w:trPr>
        <w:tc>
          <w:tcPr>
            <w:tcW w:w="2260" w:type="dxa"/>
            <w:vAlign w:val="bottom"/>
          </w:tcPr>
          <w:p>
            <w:pPr>
              <w:spacing w:after="0" w:line="105" w:lineRule="exact"/>
              <w:rPr>
                <w:sz w:val="20"/>
                <w:szCs w:val="20"/>
                <w:color w:val="auto"/>
              </w:rPr>
            </w:pPr>
            <w:r>
              <w:rPr>
                <w:rFonts w:ascii="Arial" w:cs="Arial" w:eastAsia="Arial" w:hAnsi="Arial"/>
                <w:sz w:val="10"/>
                <w:szCs w:val="10"/>
                <w:color w:val="auto"/>
              </w:rPr>
              <w:t>1560 Copenhagen V, Denmark</w:t>
            </w:r>
          </w:p>
        </w:tc>
        <w:tc>
          <w:tcPr>
            <w:tcW w:w="2320" w:type="dxa"/>
            <w:vAlign w:val="bottom"/>
            <w:gridSpan w:val="3"/>
          </w:tcPr>
          <w:p>
            <w:pPr>
              <w:ind w:left="880"/>
              <w:spacing w:after="0" w:line="105" w:lineRule="exact"/>
              <w:rPr>
                <w:sz w:val="20"/>
                <w:szCs w:val="20"/>
                <w:color w:val="auto"/>
              </w:rPr>
            </w:pPr>
            <w:r>
              <w:rPr>
                <w:rFonts w:ascii="Arial" w:cs="Arial" w:eastAsia="Arial" w:hAnsi="Arial"/>
                <w:sz w:val="10"/>
                <w:szCs w:val="10"/>
                <w:color w:val="0000FF"/>
              </w:rPr>
              <w:t>www.genmab.com</w:t>
            </w:r>
          </w:p>
        </w:tc>
        <w:tc>
          <w:tcPr>
            <w:tcW w:w="980" w:type="dxa"/>
            <w:vAlign w:val="bottom"/>
          </w:tcPr>
          <w:p>
            <w:pPr>
              <w:spacing w:after="0"/>
              <w:rPr>
                <w:sz w:val="9"/>
                <w:szCs w:val="9"/>
                <w:color w:val="auto"/>
              </w:rPr>
            </w:pPr>
          </w:p>
        </w:tc>
        <w:tc>
          <w:tcPr>
            <w:tcW w:w="3400" w:type="dxa"/>
            <w:vAlign w:val="bottom"/>
          </w:tcPr>
          <w:p>
            <w:pPr>
              <w:jc w:val="right"/>
              <w:spacing w:after="0" w:line="105" w:lineRule="exact"/>
              <w:rPr>
                <w:sz w:val="20"/>
                <w:szCs w:val="20"/>
                <w:color w:val="auto"/>
              </w:rPr>
            </w:pPr>
            <w:r>
              <w:rPr>
                <w:rFonts w:ascii="Arial" w:cs="Arial" w:eastAsia="Arial" w:hAnsi="Arial"/>
                <w:sz w:val="10"/>
                <w:szCs w:val="10"/>
                <w:color w:val="auto"/>
              </w:rPr>
              <w:t>CVR no. 2102 3884</w:t>
            </w:r>
          </w:p>
        </w:tc>
        <w:tc>
          <w:tcPr>
            <w:tcW w:w="0" w:type="dxa"/>
            <w:vAlign w:val="bottom"/>
          </w:tcPr>
          <w:p>
            <w:pPr>
              <w:spacing w:after="0"/>
              <w:rPr>
                <w:sz w:val="1"/>
                <w:szCs w:val="1"/>
                <w:color w:val="auto"/>
              </w:rPr>
            </w:pPr>
          </w:p>
        </w:tc>
      </w:tr>
      <w:tr>
        <w:trPr>
          <w:trHeight w:val="368"/>
        </w:trPr>
        <w:tc>
          <w:tcPr>
            <w:tcW w:w="2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top w:val="single" w:sz="8" w:color="0000FF"/>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5067300</wp:posOffset>
            </wp:positionV>
            <wp:extent cx="679767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9767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5067935</wp:posOffset>
            </wp:positionV>
            <wp:extent cx="679767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9767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5067300</wp:posOffset>
            </wp:positionV>
            <wp:extent cx="679767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9767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5067935</wp:posOffset>
            </wp:positionV>
            <wp:extent cx="679767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9767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1185" cy="49961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41185" cy="4996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lvl w:ilvl="1">
      <w:lvlJc w:val="left"/>
      <w:lvlText w:val="o"/>
      <w:numFmt w:val="bullet"/>
      <w:start w:val="1"/>
    </w:lvl>
  </w:abstractNum>
  <w:abstractNum w:abstractNumId="5">
    <w:nsid w:val="79A1DEAA"/>
    <w:multiLevelType w:val="hybridMultilevel"/>
    <w:lvl w:ilvl="0">
      <w:lvlJc w:val="left"/>
      <w:lvlText w:val="o"/>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o"/>
      <w:numFmt w:val="bullet"/>
      <w:start w:val="1"/>
    </w:lvl>
  </w:abstractNum>
  <w:abstractNum w:abstractNumId="10">
    <w:nsid w:val="374A3FE6"/>
    <w:multiLevelType w:val="hybridMultilevel"/>
    <w:lvl w:ilvl="0">
      <w:lvlJc w:val="left"/>
      <w:lvlText w:val="●"/>
      <w:numFmt w:val="bullet"/>
      <w:start w:val="1"/>
    </w:lvl>
    <w:lvl w:ilvl="1">
      <w:lvlJc w:val="left"/>
      <w:lvlText w:val="o"/>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lvl w:ilvl="1">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bullet"/>
      <w:start w:val="1"/>
    </w:lvl>
  </w:abstractNum>
  <w:abstractNum w:abstractNumId="22">
    <w:nsid w:val="741226BB"/>
    <w:multiLevelType w:val="hybridMultilevel"/>
    <w:lvl w:ilvl="0">
      <w:lvlJc w:val="left"/>
      <w:lvlText w:val="2"/>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bullet"/>
      <w:start w:val="1"/>
    </w:lvl>
  </w:abstractNum>
  <w:abstractNum w:abstractNumId="63">
    <w:nsid w:val="4962813B"/>
    <w:multiLevelType w:val="hybridMultilevel"/>
    <w:lvl w:ilvl="0">
      <w:lvlJc w:val="left"/>
      <w:lvlText w:val="2"/>
      <w:numFmt w:val="bullet"/>
      <w:start w:val="1"/>
    </w:lvl>
  </w:abstractNum>
  <w:abstractNum w:abstractNumId="64">
    <w:nsid w:val="60B6DF70"/>
    <w:multiLevelType w:val="hybridMultilevel"/>
    <w:lvl w:ilvl="0">
      <w:lvlJc w:val="left"/>
      <w:lvlText w:val="3"/>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702"/>
    </w:lvl>
  </w:abstractNum>
  <w:abstractNum w:abstractNumId="78">
    <w:nsid w:val="1716703B"/>
    <w:multiLevelType w:val="hybridMultilevel"/>
    <w:lvl w:ilvl="0">
      <w:lvlJc w:val="left"/>
      <w:lvlText w:val="(%1)"/>
      <w:numFmt w:val="decimal"/>
      <w:start w:val="975"/>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2023-02-22T10:40:21Z</dcterms:created>
  <dcterms:modified xsi:type="dcterms:W3CDTF">2023-02-22T10:40:21Z</dcterms:modified>
</cp:coreProperties>
</file>